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6AE1" w14:textId="77777777" w:rsidR="00FC5941" w:rsidRDefault="00FC5941"/>
    <w:p w14:paraId="678402F1" w14:textId="77777777" w:rsidR="00FC5941" w:rsidRDefault="00FC5941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7E41FB">
        <w:rPr>
          <w:b/>
          <w:sz w:val="28"/>
        </w:rPr>
        <w:t>Identifikace zadavatele</w:t>
      </w:r>
    </w:p>
    <w:p w14:paraId="4E71C326" w14:textId="77777777" w:rsidR="00FC5941" w:rsidRDefault="00FC5941" w:rsidP="00CE2C87">
      <w:pPr>
        <w:numPr>
          <w:ilvl w:val="1"/>
          <w:numId w:val="2"/>
        </w:numPr>
        <w:spacing w:line="276" w:lineRule="auto"/>
        <w:jc w:val="both"/>
      </w:pPr>
      <w:r>
        <w:t>Náz</w:t>
      </w:r>
      <w:r w:rsidR="00D96B2C">
        <w:t>ev zadavatele, sídlo</w:t>
      </w:r>
      <w:r w:rsidR="001263C5">
        <w:t xml:space="preserve">, </w:t>
      </w:r>
      <w:r w:rsidR="0024029B">
        <w:t xml:space="preserve">právní forma, </w:t>
      </w:r>
      <w:r w:rsidR="001263C5">
        <w:t>IČ</w:t>
      </w:r>
      <w:r w:rsidR="0027603A">
        <w:t xml:space="preserve"> (pokud bylo přiděleno)</w:t>
      </w:r>
      <w:r w:rsidR="00FB32D8">
        <w:t xml:space="preserve">, osoba zastupující zadavatele, </w:t>
      </w:r>
      <w:r>
        <w:t>kontakt apod.</w:t>
      </w:r>
    </w:p>
    <w:p w14:paraId="7D585C59" w14:textId="77777777" w:rsidR="00FC5941" w:rsidRDefault="00FC5941" w:rsidP="00CE2C87">
      <w:pPr>
        <w:spacing w:line="276" w:lineRule="auto"/>
        <w:jc w:val="both"/>
      </w:pPr>
    </w:p>
    <w:p w14:paraId="41DBB07A" w14:textId="77777777" w:rsidR="00FC5941" w:rsidRDefault="00FB32D8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z w:val="28"/>
        </w:rPr>
        <w:t>Název zakázky</w:t>
      </w:r>
    </w:p>
    <w:p w14:paraId="240E12C3" w14:textId="77777777" w:rsidR="00FC5941" w:rsidRDefault="00FC5941" w:rsidP="00CE2C87">
      <w:pPr>
        <w:spacing w:line="276" w:lineRule="auto"/>
        <w:ind w:left="720"/>
        <w:jc w:val="both"/>
      </w:pPr>
    </w:p>
    <w:p w14:paraId="4AF27F88" w14:textId="77777777" w:rsidR="00FC5941" w:rsidRDefault="00FB32D8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z w:val="28"/>
        </w:rPr>
        <w:t>Druh zakázky</w:t>
      </w:r>
    </w:p>
    <w:p w14:paraId="54136331" w14:textId="77777777" w:rsidR="00FC5941" w:rsidRDefault="00FB32D8" w:rsidP="00CE2C87">
      <w:pPr>
        <w:numPr>
          <w:ilvl w:val="0"/>
          <w:numId w:val="10"/>
        </w:numPr>
        <w:spacing w:line="276" w:lineRule="auto"/>
        <w:jc w:val="both"/>
      </w:pPr>
      <w:r>
        <w:t>Dodávky, služby nebo stavební práce.</w:t>
      </w:r>
    </w:p>
    <w:p w14:paraId="06D12007" w14:textId="77777777" w:rsidR="00760444" w:rsidRDefault="00760444" w:rsidP="00CE2C87">
      <w:pPr>
        <w:spacing w:line="276" w:lineRule="auto"/>
        <w:ind w:left="720"/>
        <w:jc w:val="both"/>
      </w:pPr>
    </w:p>
    <w:p w14:paraId="1FC65C20" w14:textId="77777777" w:rsidR="00FC5941" w:rsidRPr="001544EF" w:rsidRDefault="001544EF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z w:val="28"/>
        </w:rPr>
        <w:t>Předmět zakázky</w:t>
      </w:r>
    </w:p>
    <w:p w14:paraId="17C8F837" w14:textId="77777777" w:rsidR="00075F6A" w:rsidRDefault="0024029B" w:rsidP="00075F6A">
      <w:pPr>
        <w:numPr>
          <w:ilvl w:val="0"/>
          <w:numId w:val="13"/>
        </w:numPr>
        <w:spacing w:line="276" w:lineRule="auto"/>
        <w:jc w:val="both"/>
      </w:pPr>
      <w:r>
        <w:t>Přesný popis předmětu zakázky v podrobnostech nezbytných pro zpracování nabídky a pro podání vzájemně porovnatelných nabídek</w:t>
      </w:r>
      <w:r w:rsidR="00075F6A">
        <w:t xml:space="preserve"> (pozn.: Není-li to odůvodněno předmětem zakázky, zadavatel nesmí zvýhodnit nebo znevýhodnit určité dodavatele nebo výrobky tím, že technické podmínky v rámci zadávacích podmínek stanoví prostřednictvím přímého nebo nepřímého odkazu na: a) určité dodavatele nebo výrobky, nebo b) patenty na vynálezy, užitné vzory, průmyslové vzory, ochranné známky nebo označení původu. Takový o</w:t>
      </w:r>
      <w:r w:rsidR="00075F6A" w:rsidRPr="00075F6A">
        <w:t>dkaz může zadavatel použít, pokud stanovení technických podmínek bez použití takového odkazu nemůže být dostatečně přesné nebo srozumitelné, nebo se jedná o standard (kvalitativní, popisný) v daném odvětví. Zadavatel zároveň vždy uvede možnost nabídnout rovnocenné řešení.</w:t>
      </w:r>
      <w:r w:rsidR="00075F6A">
        <w:t>).</w:t>
      </w:r>
    </w:p>
    <w:p w14:paraId="13E71F7D" w14:textId="77777777" w:rsidR="001544EF" w:rsidRPr="001544EF" w:rsidRDefault="001544EF" w:rsidP="001544EF">
      <w:pPr>
        <w:numPr>
          <w:ilvl w:val="0"/>
          <w:numId w:val="13"/>
        </w:numPr>
        <w:spacing w:line="276" w:lineRule="auto"/>
        <w:jc w:val="both"/>
        <w:rPr>
          <w:b/>
          <w:sz w:val="28"/>
        </w:rPr>
      </w:pPr>
      <w:r>
        <w:t xml:space="preserve">Informace o </w:t>
      </w:r>
      <w:r w:rsidR="005B45A1">
        <w:t>rozdělení zakázky na části.</w:t>
      </w:r>
    </w:p>
    <w:p w14:paraId="24AFB928" w14:textId="77777777" w:rsidR="00FC5941" w:rsidRDefault="00FC5941" w:rsidP="00CE2C87">
      <w:pPr>
        <w:spacing w:line="276" w:lineRule="auto"/>
        <w:jc w:val="both"/>
      </w:pPr>
    </w:p>
    <w:p w14:paraId="045EF699" w14:textId="77777777" w:rsidR="00FC5941" w:rsidRDefault="001544EF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z w:val="28"/>
        </w:rPr>
        <w:t>Lhůta a místo pro podání nabídky</w:t>
      </w:r>
    </w:p>
    <w:p w14:paraId="4A26EE80" w14:textId="77777777" w:rsidR="009E4C49" w:rsidRDefault="005B45A1" w:rsidP="0093358D">
      <w:pPr>
        <w:numPr>
          <w:ilvl w:val="1"/>
          <w:numId w:val="2"/>
        </w:numPr>
        <w:spacing w:line="276" w:lineRule="auto"/>
        <w:jc w:val="both"/>
      </w:pPr>
      <w:r>
        <w:t xml:space="preserve">Lhůta </w:t>
      </w:r>
      <w:r w:rsidRPr="005B45A1">
        <w:t xml:space="preserve">počíná dnem, který následuje po dni uveřejnění </w:t>
      </w:r>
      <w:r>
        <w:t>v</w:t>
      </w:r>
      <w:r w:rsidRPr="005B45A1">
        <w:t xml:space="preserve">ýzvy na profilu zadavatele </w:t>
      </w:r>
      <w:r w:rsidR="008747DE">
        <w:t xml:space="preserve">(otevřená výzva) nebo </w:t>
      </w:r>
      <w:r w:rsidRPr="005B45A1">
        <w:t xml:space="preserve">odeslání výzvy k podání nabídky </w:t>
      </w:r>
      <w:r>
        <w:t>(</w:t>
      </w:r>
      <w:r w:rsidR="008747DE">
        <w:t xml:space="preserve">uzavřená výzva) </w:t>
      </w:r>
      <w:r w:rsidR="00EB23BC">
        <w:t xml:space="preserve">a </w:t>
      </w:r>
      <w:proofErr w:type="gramStart"/>
      <w:r w:rsidR="00EB23BC">
        <w:t>končí</w:t>
      </w:r>
      <w:proofErr w:type="gramEnd"/>
      <w:r w:rsidR="0093358D">
        <w:t xml:space="preserve"> </w:t>
      </w:r>
      <w:r w:rsidR="0093358D" w:rsidRPr="0093358D">
        <w:rPr>
          <w:i/>
        </w:rPr>
        <w:t>datum a hodina</w:t>
      </w:r>
      <w:r w:rsidR="0093358D">
        <w:t xml:space="preserve"> (pozn.:</w:t>
      </w:r>
      <w:r w:rsidR="008747DE">
        <w:t xml:space="preserve"> </w:t>
      </w:r>
      <w:r w:rsidR="00075F6A">
        <w:t>L</w:t>
      </w:r>
      <w:r w:rsidR="008747DE" w:rsidRPr="008747DE">
        <w:t>hůta pro podání nabídek nesmí být kratší než 10 dnů u zakázek malého rozsahu, kratší než 15 dnů u zakázek vyšší hodnoty, kratší než 30 dnů v případě zakázek, jejichž předpokládaná hodnota dosáhne nejméně hodnoty nadlimitní sektorové veřejné zakázky podle nařízení vlády č. 172/2016 Sb.</w:t>
      </w:r>
      <w:r w:rsidR="0093358D">
        <w:t>).</w:t>
      </w:r>
    </w:p>
    <w:p w14:paraId="529870B4" w14:textId="77777777" w:rsidR="00FC5941" w:rsidRDefault="0041162A" w:rsidP="0027603A">
      <w:pPr>
        <w:numPr>
          <w:ilvl w:val="1"/>
          <w:numId w:val="2"/>
        </w:numPr>
        <w:spacing w:line="276" w:lineRule="auto"/>
        <w:jc w:val="both"/>
      </w:pPr>
      <w:r>
        <w:t>Adresa</w:t>
      </w:r>
      <w:r w:rsidR="00BC4167">
        <w:t xml:space="preserve"> (fyzická</w:t>
      </w:r>
      <w:r w:rsidR="00AC0E76">
        <w:t xml:space="preserve"> – listinné nabídky a</w:t>
      </w:r>
      <w:r w:rsidR="00BC4167">
        <w:t>/</w:t>
      </w:r>
      <w:r w:rsidR="00AC0E76">
        <w:t xml:space="preserve">nebo </w:t>
      </w:r>
      <w:r w:rsidR="00BC4167">
        <w:t>elektronick</w:t>
      </w:r>
      <w:r w:rsidR="005F5946">
        <w:t>ý nástroj</w:t>
      </w:r>
      <w:r w:rsidR="00AC0E76">
        <w:t xml:space="preserve"> – elektronické nabídky</w:t>
      </w:r>
      <w:r w:rsidR="00BC4167">
        <w:t>)</w:t>
      </w:r>
      <w:r>
        <w:t xml:space="preserve"> pro podání nabídek.</w:t>
      </w:r>
    </w:p>
    <w:p w14:paraId="3D2878D1" w14:textId="77777777" w:rsidR="00BB1811" w:rsidRDefault="00BB1811" w:rsidP="00BB1811">
      <w:pPr>
        <w:spacing w:line="276" w:lineRule="auto"/>
        <w:jc w:val="both"/>
      </w:pPr>
    </w:p>
    <w:p w14:paraId="54AFB215" w14:textId="77777777" w:rsidR="00BB1811" w:rsidRDefault="008E737E" w:rsidP="00BB1811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E737E">
        <w:rPr>
          <w:b/>
          <w:sz w:val="28"/>
          <w:szCs w:val="28"/>
        </w:rPr>
        <w:t>Pravidla pro hodnocení nabídek</w:t>
      </w:r>
      <w:r>
        <w:rPr>
          <w:b/>
          <w:sz w:val="28"/>
          <w:szCs w:val="28"/>
        </w:rPr>
        <w:t xml:space="preserve"> </w:t>
      </w:r>
    </w:p>
    <w:p w14:paraId="734FA665" w14:textId="77777777" w:rsidR="0001728C" w:rsidRDefault="008E737E" w:rsidP="0001728C">
      <w:pPr>
        <w:numPr>
          <w:ilvl w:val="0"/>
          <w:numId w:val="15"/>
        </w:numPr>
        <w:spacing w:line="276" w:lineRule="auto"/>
        <w:jc w:val="both"/>
      </w:pPr>
      <w:r>
        <w:t>Tato pravidla musí zahrnovat:</w:t>
      </w:r>
    </w:p>
    <w:p w14:paraId="51AF5791" w14:textId="77777777" w:rsidR="008E737E" w:rsidRDefault="008E737E" w:rsidP="00ED460A">
      <w:pPr>
        <w:numPr>
          <w:ilvl w:val="0"/>
          <w:numId w:val="17"/>
        </w:numPr>
        <w:spacing w:line="276" w:lineRule="auto"/>
        <w:jc w:val="both"/>
      </w:pPr>
      <w:r>
        <w:t>kritéria hodnocení,</w:t>
      </w:r>
    </w:p>
    <w:p w14:paraId="4EBF3EA6" w14:textId="77777777" w:rsidR="008E737E" w:rsidRDefault="008E737E" w:rsidP="00ED460A">
      <w:pPr>
        <w:numPr>
          <w:ilvl w:val="0"/>
          <w:numId w:val="17"/>
        </w:numPr>
        <w:spacing w:line="276" w:lineRule="auto"/>
        <w:jc w:val="both"/>
      </w:pPr>
      <w:r>
        <w:t>metodu vyhodnocení nabídek v jednotlivých kritériích,</w:t>
      </w:r>
    </w:p>
    <w:p w14:paraId="19D35281" w14:textId="77777777" w:rsidR="008E737E" w:rsidRPr="0001728C" w:rsidRDefault="008E737E" w:rsidP="00ED460A">
      <w:pPr>
        <w:numPr>
          <w:ilvl w:val="0"/>
          <w:numId w:val="17"/>
        </w:numPr>
        <w:spacing w:line="276" w:lineRule="auto"/>
        <w:jc w:val="both"/>
      </w:pPr>
      <w:r>
        <w:t>váhu nebo jiný matematický vztah mezi kritérii.</w:t>
      </w:r>
    </w:p>
    <w:p w14:paraId="5B10DD6D" w14:textId="77777777" w:rsidR="00FC5941" w:rsidRDefault="00FC5941" w:rsidP="00CE2C87">
      <w:pPr>
        <w:spacing w:line="276" w:lineRule="auto"/>
        <w:jc w:val="both"/>
      </w:pPr>
    </w:p>
    <w:p w14:paraId="310B9223" w14:textId="77777777" w:rsidR="008356A4" w:rsidRDefault="008356A4" w:rsidP="00CE2C87">
      <w:pPr>
        <w:spacing w:line="276" w:lineRule="auto"/>
        <w:jc w:val="both"/>
      </w:pPr>
    </w:p>
    <w:p w14:paraId="23F22601" w14:textId="77777777" w:rsidR="008356A4" w:rsidRDefault="008356A4" w:rsidP="00CE2C87">
      <w:pPr>
        <w:spacing w:line="276" w:lineRule="auto"/>
        <w:jc w:val="both"/>
      </w:pPr>
    </w:p>
    <w:p w14:paraId="1BA8AD50" w14:textId="77777777" w:rsidR="00AD1ADD" w:rsidRDefault="00AD1ADD" w:rsidP="00AD1ADD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Způsob jednání s účastníky </w:t>
      </w:r>
    </w:p>
    <w:p w14:paraId="310D8B56" w14:textId="77777777" w:rsidR="00C81B96" w:rsidRDefault="00AD1ADD" w:rsidP="00AD1ADD">
      <w:pPr>
        <w:numPr>
          <w:ilvl w:val="0"/>
          <w:numId w:val="15"/>
        </w:numPr>
        <w:spacing w:line="276" w:lineRule="auto"/>
        <w:jc w:val="both"/>
      </w:pPr>
      <w:r>
        <w:t>P</w:t>
      </w:r>
      <w:r w:rsidRPr="00ED460A">
        <w:t xml:space="preserve">okud hodlá zadavatel s účastníky jednat podle odst. 5.4 </w:t>
      </w:r>
      <w:proofErr w:type="spellStart"/>
      <w:r w:rsidR="006F7897" w:rsidRPr="006F7897">
        <w:t>PpVD</w:t>
      </w:r>
      <w:proofErr w:type="spellEnd"/>
      <w:r w:rsidR="008330DD">
        <w:t>, tak</w:t>
      </w:r>
      <w:r w:rsidR="006F7897">
        <w:t xml:space="preserve"> zadavatel</w:t>
      </w:r>
      <w:r w:rsidR="009767AA" w:rsidRPr="009767AA">
        <w:t xml:space="preserve"> postupuje obdobně podle § 61 odst. 7 a 9 až 11 ZZVZ</w:t>
      </w:r>
      <w:r w:rsidR="00510F20">
        <w:t xml:space="preserve"> (pozn.: </w:t>
      </w:r>
      <w:r w:rsidR="00075F6A">
        <w:t>P</w:t>
      </w:r>
      <w:r w:rsidR="00510F20">
        <w:t>okud si z</w:t>
      </w:r>
      <w:r w:rsidR="00510F20" w:rsidRPr="00510F20">
        <w:t>adavatel vyhrad</w:t>
      </w:r>
      <w:r w:rsidR="00510F20">
        <w:t>í</w:t>
      </w:r>
      <w:r w:rsidR="00510F20" w:rsidRPr="00510F20">
        <w:t>, že o podaných nabídkách bude s</w:t>
      </w:r>
      <w:r w:rsidR="00075F6A">
        <w:t> </w:t>
      </w:r>
      <w:r w:rsidR="00510F20" w:rsidRPr="00510F20">
        <w:t>účastníky jednat, musí toto jednání proběhnout</w:t>
      </w:r>
      <w:r w:rsidR="00075F6A">
        <w:t>.</w:t>
      </w:r>
      <w:r w:rsidR="00510F20">
        <w:t>)</w:t>
      </w:r>
      <w:r>
        <w:t>.</w:t>
      </w:r>
      <w:r w:rsidR="009767AA">
        <w:t xml:space="preserve"> </w:t>
      </w:r>
    </w:p>
    <w:p w14:paraId="6FA741B3" w14:textId="77777777" w:rsidR="001C006D" w:rsidRDefault="001C006D" w:rsidP="00AD1ADD">
      <w:pPr>
        <w:numPr>
          <w:ilvl w:val="0"/>
          <w:numId w:val="15"/>
        </w:numPr>
        <w:spacing w:line="276" w:lineRule="auto"/>
        <w:jc w:val="both"/>
      </w:pPr>
      <w:r>
        <w:t xml:space="preserve">Pokud zadavatel jednání o podaných nabídkách nepřipouští, tuto informaci </w:t>
      </w:r>
      <w:r w:rsidR="00087C88">
        <w:t>doporučujeme uvést</w:t>
      </w:r>
      <w:r>
        <w:t xml:space="preserve">. </w:t>
      </w:r>
    </w:p>
    <w:p w14:paraId="7E905999" w14:textId="77777777" w:rsidR="00377547" w:rsidRDefault="00377547" w:rsidP="00ED460A">
      <w:pPr>
        <w:spacing w:line="276" w:lineRule="auto"/>
        <w:jc w:val="both"/>
        <w:rPr>
          <w:b/>
          <w:sz w:val="28"/>
          <w:szCs w:val="28"/>
        </w:rPr>
      </w:pPr>
    </w:p>
    <w:p w14:paraId="02CA403E" w14:textId="77777777" w:rsidR="00377547" w:rsidRDefault="00377547" w:rsidP="00377547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377547">
        <w:rPr>
          <w:b/>
          <w:sz w:val="28"/>
          <w:szCs w:val="28"/>
        </w:rPr>
        <w:t>odmínky a požadavky na zpracování nabídky</w:t>
      </w:r>
    </w:p>
    <w:p w14:paraId="240F2F2A" w14:textId="77777777" w:rsidR="00377547" w:rsidRDefault="00377547" w:rsidP="00377547">
      <w:pPr>
        <w:numPr>
          <w:ilvl w:val="0"/>
          <w:numId w:val="15"/>
        </w:numPr>
        <w:spacing w:line="276" w:lineRule="auto"/>
        <w:jc w:val="both"/>
      </w:pPr>
      <w:r>
        <w:t>Jaké údaje týkající se předmětu zakázky a jeho realizace mají účastníci v nabídkách uvést, aby mohl zadavatel posoudit soulad nabídky se zadávacími podmínkami.</w:t>
      </w:r>
    </w:p>
    <w:p w14:paraId="75913147" w14:textId="77777777" w:rsidR="00F54799" w:rsidRDefault="00CA2EC0" w:rsidP="00CA2EC0">
      <w:pPr>
        <w:numPr>
          <w:ilvl w:val="0"/>
          <w:numId w:val="15"/>
        </w:numPr>
        <w:spacing w:line="276" w:lineRule="auto"/>
        <w:jc w:val="both"/>
      </w:pPr>
      <w:r>
        <w:t>Např. členění nabídky, krycí list obsahující identifikační údaje účastníka, nabídkovou cenu a další hodnocené parametry nabídky, nabízené plnění, harmonogram realizace zakázky, kontaktní osoby, doklady prokazující splnění kvalifikace, návrh smlouvy apod.</w:t>
      </w:r>
    </w:p>
    <w:p w14:paraId="5E1C6B86" w14:textId="77777777" w:rsidR="003511E8" w:rsidRDefault="003511E8" w:rsidP="003511E8">
      <w:pPr>
        <w:numPr>
          <w:ilvl w:val="0"/>
          <w:numId w:val="15"/>
        </w:numPr>
        <w:spacing w:line="276" w:lineRule="auto"/>
        <w:jc w:val="both"/>
      </w:pPr>
      <w:r>
        <w:t xml:space="preserve">Např. v jakém jazyce musí být nabídka zpracována (může být umožněno více jazyků), zda je nabídku potřeba předat v listinné a zároveň i elektronické podobě (na CD či jiném datovém nosiči - z důvodu nutnosti předávat dokumentaci spojenou s výběrovým řízením ke kontrole, doporučujeme zadat účastníkovi povinnost do zapečetěné obálky přiložit také naskenovanou kopii nabídky i s podpisy na datovém nosiči), zda je vyžadováno doručení nabídky v zapečetěné obálce s nápisem neotvírat, zda se nabídky zasílají výhradně elektronicky prostřednictvím vybraného elektronického nástroje, zda jednotlivé strany nabídky musí být číslovány apod. </w:t>
      </w:r>
    </w:p>
    <w:p w14:paraId="0355E1E7" w14:textId="77777777" w:rsidR="008330DD" w:rsidRDefault="008330DD" w:rsidP="00C0579F">
      <w:pPr>
        <w:spacing w:line="276" w:lineRule="auto"/>
        <w:ind w:left="360"/>
        <w:jc w:val="both"/>
        <w:rPr>
          <w:b/>
          <w:sz w:val="28"/>
          <w:szCs w:val="28"/>
        </w:rPr>
      </w:pPr>
    </w:p>
    <w:p w14:paraId="10C815D1" w14:textId="77777777" w:rsidR="008330DD" w:rsidRPr="008330DD" w:rsidRDefault="008330DD" w:rsidP="008330DD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0579F">
        <w:rPr>
          <w:b/>
          <w:sz w:val="28"/>
          <w:szCs w:val="28"/>
        </w:rPr>
        <w:t>Požadavk</w:t>
      </w:r>
      <w:r w:rsidR="00F42193">
        <w:rPr>
          <w:b/>
          <w:sz w:val="28"/>
          <w:szCs w:val="28"/>
        </w:rPr>
        <w:t>y</w:t>
      </w:r>
      <w:r w:rsidRPr="00C0579F">
        <w:rPr>
          <w:b/>
          <w:sz w:val="28"/>
          <w:szCs w:val="28"/>
        </w:rPr>
        <w:t xml:space="preserve"> na způsob zpracování nabídkové ceny</w:t>
      </w:r>
    </w:p>
    <w:p w14:paraId="66F99D8F" w14:textId="77777777" w:rsidR="002C6729" w:rsidRDefault="002C6729" w:rsidP="002C6729">
      <w:pPr>
        <w:numPr>
          <w:ilvl w:val="0"/>
          <w:numId w:val="15"/>
        </w:numPr>
        <w:spacing w:line="276" w:lineRule="auto"/>
        <w:jc w:val="both"/>
      </w:pPr>
      <w:r>
        <w:t>Požadavky na způsob zpracování nabídkové ceny je nutné stanovit takovým způsobem, aby účastníci mohli podat vzájemně porovnatelné nabídky.</w:t>
      </w:r>
    </w:p>
    <w:p w14:paraId="111E5E5A" w14:textId="77777777" w:rsidR="002C6729" w:rsidRDefault="00855003" w:rsidP="002C6729">
      <w:pPr>
        <w:numPr>
          <w:ilvl w:val="0"/>
          <w:numId w:val="15"/>
        </w:numPr>
        <w:spacing w:line="276" w:lineRule="auto"/>
        <w:jc w:val="both"/>
      </w:pPr>
      <w:r>
        <w:t>Např. u</w:t>
      </w:r>
      <w:r w:rsidR="002C6729">
        <w:t>vést, zda má být nabídková cena členěna na položkové ceny dle jednotlivých částí zakázky / etap zakázky apod.</w:t>
      </w:r>
    </w:p>
    <w:p w14:paraId="55166FA5" w14:textId="77777777" w:rsidR="008356A4" w:rsidRDefault="008356A4" w:rsidP="008356A4">
      <w:pPr>
        <w:numPr>
          <w:ilvl w:val="0"/>
          <w:numId w:val="15"/>
        </w:numPr>
        <w:spacing w:line="276" w:lineRule="auto"/>
        <w:jc w:val="both"/>
      </w:pPr>
      <w:r>
        <w:t>Např. celková nabídková cena bude uvedena v českých korunách (je možné uvést i jinou měnu) v členění cena bez DPH, DPH a celková cena včetně DPH.</w:t>
      </w:r>
      <w:r>
        <w:rPr>
          <w:rStyle w:val="Znakapoznpodarou"/>
        </w:rPr>
        <w:footnoteReference w:id="1"/>
      </w:r>
    </w:p>
    <w:p w14:paraId="58C5FBAF" w14:textId="77777777" w:rsidR="002C6729" w:rsidRDefault="002C6729" w:rsidP="002C6729">
      <w:pPr>
        <w:numPr>
          <w:ilvl w:val="0"/>
          <w:numId w:val="15"/>
        </w:numPr>
        <w:spacing w:line="276" w:lineRule="auto"/>
        <w:jc w:val="both"/>
      </w:pPr>
      <w:r>
        <w:t xml:space="preserve">Cena bude zahrnovat veškeré náklady nezbytné k řádnému, úplnému a kvalitnímu plnění předmětu zakázky včetně všech rizik a vlivů souvisejících s plněním předmětu zakázky. Nabídková cena musí rovněž zahrnovat pojištění, garance, daně, cla, </w:t>
      </w:r>
      <w:r w:rsidRPr="00ED460A">
        <w:t>poplatky</w:t>
      </w:r>
      <w:r w:rsidR="008356A4" w:rsidRPr="00ED460A">
        <w:t>, inflační vlivy</w:t>
      </w:r>
      <w:r w:rsidR="00BD5FFB" w:rsidRPr="00ED460A">
        <w:t xml:space="preserve"> </w:t>
      </w:r>
      <w:r w:rsidRPr="00ED460A">
        <w:t>a</w:t>
      </w:r>
      <w:r>
        <w:t xml:space="preserve"> jakékoli další výdaje nutné pro realizaci zakázky. Nabídková cena je konečná a není přípustné ji v průběhu realizace zakázky navyšovat (případně, že ji lze navyšovat pouze při zákonné změně sazby DPH</w:t>
      </w:r>
      <w:r w:rsidR="00AD3A71">
        <w:t xml:space="preserve">, nebo pokud je v zadávacích podmínkách </w:t>
      </w:r>
      <w:r w:rsidR="008356A4">
        <w:t xml:space="preserve">vyhrazená změna závazku </w:t>
      </w:r>
      <w:r w:rsidR="0057489A">
        <w:t>(ceny)</w:t>
      </w:r>
      <w:r w:rsidR="008356A4">
        <w:t>)</w:t>
      </w:r>
      <w:r>
        <w:t>.</w:t>
      </w:r>
    </w:p>
    <w:p w14:paraId="3E55543F" w14:textId="77777777" w:rsidR="008330DD" w:rsidRDefault="008330DD" w:rsidP="00C0579F">
      <w:pPr>
        <w:spacing w:line="276" w:lineRule="auto"/>
        <w:ind w:left="360"/>
        <w:jc w:val="both"/>
        <w:rPr>
          <w:b/>
          <w:sz w:val="28"/>
          <w:szCs w:val="28"/>
        </w:rPr>
      </w:pPr>
    </w:p>
    <w:p w14:paraId="6A8DCF66" w14:textId="77777777" w:rsidR="008330DD" w:rsidRPr="008330DD" w:rsidRDefault="008330DD" w:rsidP="008330DD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0579F">
        <w:rPr>
          <w:b/>
          <w:sz w:val="28"/>
          <w:szCs w:val="28"/>
        </w:rPr>
        <w:lastRenderedPageBreak/>
        <w:t>Doba a místo plnění zakázky</w:t>
      </w:r>
    </w:p>
    <w:p w14:paraId="5D5A6614" w14:textId="77777777" w:rsidR="008330DD" w:rsidRDefault="00087C88" w:rsidP="008330DD">
      <w:pPr>
        <w:numPr>
          <w:ilvl w:val="0"/>
          <w:numId w:val="15"/>
        </w:numPr>
        <w:spacing w:line="276" w:lineRule="auto"/>
        <w:jc w:val="both"/>
      </w:pPr>
      <w:r w:rsidRPr="00087C88">
        <w:t>Termín realizace doporučujeme uvádět jako předpokládaný z důvodu jeho častých následných posunů, které pak mohou být posouzeny jako podstatná změna závazku ze smlouvy.</w:t>
      </w:r>
    </w:p>
    <w:p w14:paraId="700AE7ED" w14:textId="77777777" w:rsidR="008330DD" w:rsidRDefault="008330DD" w:rsidP="00ED460A">
      <w:pPr>
        <w:pStyle w:val="Odstavecseseznamem"/>
        <w:ind w:left="0"/>
        <w:rPr>
          <w:b/>
          <w:sz w:val="28"/>
          <w:szCs w:val="28"/>
        </w:rPr>
      </w:pPr>
    </w:p>
    <w:p w14:paraId="6D70670E" w14:textId="77777777" w:rsidR="008330DD" w:rsidRDefault="008330DD" w:rsidP="008330DD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0579F">
        <w:rPr>
          <w:b/>
          <w:sz w:val="28"/>
          <w:szCs w:val="28"/>
        </w:rPr>
        <w:t>Požadavky na varianty nabídek</w:t>
      </w:r>
    </w:p>
    <w:p w14:paraId="0C2E7CF3" w14:textId="77777777" w:rsidR="008330DD" w:rsidRDefault="008330DD" w:rsidP="008330DD">
      <w:pPr>
        <w:numPr>
          <w:ilvl w:val="0"/>
          <w:numId w:val="15"/>
        </w:numPr>
        <w:spacing w:line="276" w:lineRule="auto"/>
        <w:jc w:val="both"/>
      </w:pPr>
      <w:r>
        <w:t>Pokud je zadavatel připouští</w:t>
      </w:r>
      <w:r w:rsidR="001C006D">
        <w:t xml:space="preserve">, </w:t>
      </w:r>
      <w:r w:rsidR="001C006D" w:rsidRPr="001C006D">
        <w:t>je pak nutné jasně specifikovat, v čem a kde umožňuje variantnost nabídek. Každá variantní nabídka musí splňovat veškeré zadávací podmínky a lišit se může právě a jen v parametrech, které jsou stanoveny jako variabilní.</w:t>
      </w:r>
    </w:p>
    <w:p w14:paraId="6E7C294D" w14:textId="77777777" w:rsidR="001C006D" w:rsidRDefault="001C006D" w:rsidP="008330DD">
      <w:pPr>
        <w:numPr>
          <w:ilvl w:val="0"/>
          <w:numId w:val="15"/>
        </w:numPr>
        <w:spacing w:line="276" w:lineRule="auto"/>
        <w:jc w:val="both"/>
      </w:pPr>
      <w:r>
        <w:t xml:space="preserve">Pokud zadavatel </w:t>
      </w:r>
      <w:r w:rsidR="001E26C3">
        <w:t xml:space="preserve">varianty nabídek </w:t>
      </w:r>
      <w:r>
        <w:t xml:space="preserve">nepřipouští, tuto informaci </w:t>
      </w:r>
      <w:r w:rsidR="00087C88">
        <w:t>doporučujeme uvést</w:t>
      </w:r>
      <w:r>
        <w:t xml:space="preserve">. </w:t>
      </w:r>
    </w:p>
    <w:p w14:paraId="2C496390" w14:textId="77777777" w:rsidR="008330DD" w:rsidRDefault="008330DD" w:rsidP="00ED460A">
      <w:pPr>
        <w:pStyle w:val="Odstavecseseznamem"/>
        <w:rPr>
          <w:b/>
          <w:sz w:val="28"/>
          <w:szCs w:val="28"/>
        </w:rPr>
      </w:pPr>
    </w:p>
    <w:p w14:paraId="167D5711" w14:textId="77777777" w:rsidR="00685CEC" w:rsidRPr="0041162A" w:rsidRDefault="00685CEC" w:rsidP="00685CEC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0579F">
        <w:rPr>
          <w:b/>
          <w:sz w:val="28"/>
          <w:szCs w:val="28"/>
        </w:rPr>
        <w:t>Pravidla pro vysvětlení zadávacích podmínek</w:t>
      </w:r>
    </w:p>
    <w:p w14:paraId="6181F327" w14:textId="77777777" w:rsidR="002915BD" w:rsidRDefault="002915BD" w:rsidP="002915BD">
      <w:pPr>
        <w:numPr>
          <w:ilvl w:val="0"/>
          <w:numId w:val="15"/>
        </w:numPr>
        <w:spacing w:line="276" w:lineRule="auto"/>
        <w:jc w:val="both"/>
      </w:pPr>
      <w:r>
        <w:t>Dodavatel je oprávněn po zadavateli požadovat písemn</w:t>
      </w:r>
      <w:r w:rsidR="001155D4">
        <w:t>ě</w:t>
      </w:r>
      <w:r>
        <w:t xml:space="preserve"> vysvětlení zadávacích podmínek. Písemná žádost musí být zadavateli doručena nejpozději 4 pracovní dny před uplynutím lhůty pro podání nabídek. Vysvětlení zadávacích podmínek může zadavatel poskytnout i bez předchozí žádosti nebo na základě pozdě doručené žádosti. Zadavatel v případě otevřené výzvy uveřejní stejným způsobem, jakým byla uveřejněna výzva a v případě uzavřené výzvy prokazatelným způsobem odešle vysvětlení zadávacích podmínek, případně související dokumenty, nejpozději do 2 pracovních dnů po doručení žádosti podle předchozí věty. Pokud je žádost o vysvětlení zadávacích podmínek doručena včas a zadavatel neuveřejní, neodešle nebo nepředá vysvětlení do 2 pracovních dnů, </w:t>
      </w:r>
      <w:proofErr w:type="gramStart"/>
      <w:r>
        <w:t>prodlouží</w:t>
      </w:r>
      <w:proofErr w:type="gramEnd"/>
      <w:r>
        <w:t xml:space="preserve"> lhůtu pro podání nabídek nejméně o tolik pracovních dnů, o kolik přesáhla doba od doručení žádosti o vysvětlení zadávacích podmínek do uveřejnění, odeslání nebo předání vysvětlení 2 pracovní dny.</w:t>
      </w:r>
    </w:p>
    <w:p w14:paraId="515A000D" w14:textId="77777777" w:rsidR="00685CEC" w:rsidRDefault="002915BD" w:rsidP="002915BD">
      <w:pPr>
        <w:numPr>
          <w:ilvl w:val="0"/>
          <w:numId w:val="15"/>
        </w:numPr>
        <w:spacing w:line="276" w:lineRule="auto"/>
        <w:jc w:val="both"/>
      </w:pPr>
      <w:r>
        <w:t>Vysvětlení zadávacích podmínek bez identifikace dodavatele, který o vysvětlení požádal, včetně přesného znění požadavku (dotazu), odešle zadavatel současně všem dodavatelům, které vyzval v rámci uzavřené výzvy, nebo uveřejní stejným způsobem, jakým uveřejnil výzvu k podání nabídek.</w:t>
      </w:r>
    </w:p>
    <w:p w14:paraId="04C0C73F" w14:textId="77777777" w:rsidR="00AD1ADD" w:rsidRDefault="00AD1ADD" w:rsidP="00CE2C87">
      <w:pPr>
        <w:spacing w:line="276" w:lineRule="auto"/>
        <w:jc w:val="both"/>
      </w:pPr>
    </w:p>
    <w:p w14:paraId="72A86B2A" w14:textId="77777777" w:rsidR="00C0579F" w:rsidRPr="0041162A" w:rsidRDefault="00C0579F" w:rsidP="00C0579F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41162A">
        <w:rPr>
          <w:b/>
          <w:sz w:val="28"/>
          <w:szCs w:val="28"/>
        </w:rPr>
        <w:t>Kontaktní osoba zadavatele</w:t>
      </w:r>
    </w:p>
    <w:p w14:paraId="42241BB3" w14:textId="77777777" w:rsidR="00C0579F" w:rsidRDefault="00C0579F" w:rsidP="00C0579F">
      <w:pPr>
        <w:numPr>
          <w:ilvl w:val="0"/>
          <w:numId w:val="15"/>
        </w:numPr>
        <w:spacing w:line="276" w:lineRule="auto"/>
        <w:jc w:val="both"/>
      </w:pPr>
      <w:r>
        <w:t>Jméno kontaktní osoby, e-mail apod.</w:t>
      </w:r>
    </w:p>
    <w:p w14:paraId="7E477C2A" w14:textId="77777777" w:rsidR="00AD1ADD" w:rsidRDefault="00AD1ADD" w:rsidP="00CE2C87">
      <w:pPr>
        <w:spacing w:line="276" w:lineRule="auto"/>
        <w:jc w:val="both"/>
      </w:pPr>
    </w:p>
    <w:p w14:paraId="177344CE" w14:textId="77777777" w:rsidR="00C0579F" w:rsidRPr="0041162A" w:rsidRDefault="00C0579F" w:rsidP="00C0579F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0579F">
        <w:rPr>
          <w:b/>
          <w:sz w:val="28"/>
          <w:szCs w:val="28"/>
        </w:rPr>
        <w:t>Datum, čas a místo otevírání listinných nabídek</w:t>
      </w:r>
    </w:p>
    <w:p w14:paraId="3C235BE4" w14:textId="77777777" w:rsidR="001347C0" w:rsidRDefault="001347C0" w:rsidP="00C0579F">
      <w:pPr>
        <w:numPr>
          <w:ilvl w:val="0"/>
          <w:numId w:val="15"/>
        </w:numPr>
        <w:spacing w:line="276" w:lineRule="auto"/>
        <w:jc w:val="both"/>
      </w:pPr>
      <w:r>
        <w:t>Datum, čas (n</w:t>
      </w:r>
      <w:r w:rsidRPr="001347C0">
        <w:t>abídky v listinné podobě musí být otevřeny bez zbytečného odkladu po skončení lhůty pro podání nabídek</w:t>
      </w:r>
      <w:r>
        <w:t xml:space="preserve">) a místo otevírání. </w:t>
      </w:r>
    </w:p>
    <w:p w14:paraId="3389177D" w14:textId="77777777" w:rsidR="007A01C2" w:rsidRDefault="00C0579F" w:rsidP="007A01C2">
      <w:pPr>
        <w:numPr>
          <w:ilvl w:val="0"/>
          <w:numId w:val="15"/>
        </w:numPr>
        <w:spacing w:line="276" w:lineRule="auto"/>
        <w:jc w:val="both"/>
      </w:pPr>
      <w:r>
        <w:t xml:space="preserve">V </w:t>
      </w:r>
      <w:r w:rsidRPr="00C0579F">
        <w:t>případě zakázky vyšší hodnoty</w:t>
      </w:r>
      <w:r w:rsidR="00E76979">
        <w:t xml:space="preserve"> (tj. </w:t>
      </w:r>
      <w:r w:rsidR="00E76979" w:rsidRPr="00E76979">
        <w:t>zakázk</w:t>
      </w:r>
      <w:r w:rsidR="00E76979">
        <w:t>y</w:t>
      </w:r>
      <w:r w:rsidR="00E76979" w:rsidRPr="00E76979">
        <w:t xml:space="preserve"> na dodávky a/nebo služby</w:t>
      </w:r>
      <w:r w:rsidR="007A01C2">
        <w:t xml:space="preserve"> / stavební práce</w:t>
      </w:r>
      <w:r w:rsidR="00E76979" w:rsidRPr="00E76979">
        <w:t xml:space="preserve">, jejíž předpokládaná hodnota činí více než 2 000 000 </w:t>
      </w:r>
      <w:r w:rsidR="007A01C2">
        <w:t>/</w:t>
      </w:r>
      <w:r w:rsidR="00E76979" w:rsidRPr="00E76979">
        <w:t xml:space="preserve"> 6 000 000 Kč bez DPH</w:t>
      </w:r>
      <w:r w:rsidR="007A01C2">
        <w:t xml:space="preserve">) </w:t>
      </w:r>
      <w:r w:rsidRPr="00C0579F">
        <w:t xml:space="preserve">je povinnost uvést informaci, že otevírání </w:t>
      </w:r>
      <w:r>
        <w:t xml:space="preserve">listinných </w:t>
      </w:r>
      <w:r w:rsidRPr="00C0579F">
        <w:t>nabídek se mohou zúčastnit účastníci, kteří podali nabídku ve lhůtě pro podání nabídek.</w:t>
      </w:r>
    </w:p>
    <w:p w14:paraId="2D56F233" w14:textId="77777777" w:rsidR="00C0579F" w:rsidRDefault="007A01C2" w:rsidP="007A01C2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ED460A">
        <w:rPr>
          <w:b/>
          <w:sz w:val="28"/>
          <w:szCs w:val="28"/>
        </w:rPr>
        <w:t>Výhrada změny závazku ze smlouvy</w:t>
      </w:r>
    </w:p>
    <w:p w14:paraId="7B96558E" w14:textId="77777777" w:rsidR="007A01C2" w:rsidRPr="007A01C2" w:rsidRDefault="007A01C2" w:rsidP="00ED460A">
      <w:pPr>
        <w:numPr>
          <w:ilvl w:val="0"/>
          <w:numId w:val="15"/>
        </w:numPr>
        <w:spacing w:line="276" w:lineRule="auto"/>
        <w:jc w:val="both"/>
      </w:pPr>
      <w:r>
        <w:lastRenderedPageBreak/>
        <w:t xml:space="preserve">Zadavatel si může vyhradit změnu závazku ze smlouvy na zakázku, </w:t>
      </w:r>
      <w:r w:rsidR="001155D4">
        <w:t>pokud jsou</w:t>
      </w:r>
      <w:r>
        <w:t xml:space="preserve"> podmínky pro tuto změnu a její obsah jednoznačně vymezeny a změna nemění celkovou povahu zakázky. Taková změna se může týkat rozsahu dodávek, služeb nebo stavebních prací, ceny nebo jiných obchodních nebo technických podmínek (může jít např. o inflační doložku)</w:t>
      </w:r>
      <w:r w:rsidR="001155D4">
        <w:t>.</w:t>
      </w:r>
    </w:p>
    <w:p w14:paraId="515D3048" w14:textId="77777777" w:rsidR="007A01C2" w:rsidRDefault="007A01C2" w:rsidP="00ED460A">
      <w:pPr>
        <w:spacing w:line="276" w:lineRule="auto"/>
        <w:ind w:left="360"/>
        <w:jc w:val="both"/>
      </w:pPr>
    </w:p>
    <w:p w14:paraId="7F121232" w14:textId="77777777" w:rsidR="005F5946" w:rsidRDefault="005F5946" w:rsidP="005F5946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47C3D">
        <w:rPr>
          <w:b/>
          <w:sz w:val="28"/>
          <w:szCs w:val="28"/>
        </w:rPr>
        <w:t>Další (nepovinné) informace</w:t>
      </w:r>
    </w:p>
    <w:p w14:paraId="7350F269" w14:textId="77777777" w:rsidR="00D64EB0" w:rsidRDefault="00D64EB0" w:rsidP="00D64EB0">
      <w:pPr>
        <w:numPr>
          <w:ilvl w:val="0"/>
          <w:numId w:val="15"/>
        </w:numPr>
        <w:spacing w:line="276" w:lineRule="auto"/>
        <w:jc w:val="both"/>
      </w:pPr>
      <w:r>
        <w:t>Požadavky na prokázání kvalifikace účastníka</w:t>
      </w:r>
      <w:r w:rsidR="00FE22CB">
        <w:t>.</w:t>
      </w:r>
    </w:p>
    <w:p w14:paraId="037095DE" w14:textId="77777777" w:rsidR="00D64EB0" w:rsidRDefault="00D64EB0" w:rsidP="00D64EB0">
      <w:pPr>
        <w:numPr>
          <w:ilvl w:val="0"/>
          <w:numId w:val="15"/>
        </w:numPr>
        <w:spacing w:line="276" w:lineRule="auto"/>
        <w:jc w:val="both"/>
      </w:pPr>
      <w:r>
        <w:t>Obchodní podmínky a jiné smluvní podmínky nebo závazný vzor smlouvy na plnění zakázky</w:t>
      </w:r>
      <w:r w:rsidR="00FE22CB">
        <w:t>.</w:t>
      </w:r>
    </w:p>
    <w:p w14:paraId="11321289" w14:textId="77777777" w:rsidR="00D64EB0" w:rsidRDefault="00D64EB0" w:rsidP="00D64EB0">
      <w:pPr>
        <w:numPr>
          <w:ilvl w:val="0"/>
          <w:numId w:val="15"/>
        </w:numPr>
        <w:spacing w:line="276" w:lineRule="auto"/>
        <w:jc w:val="both"/>
      </w:pPr>
      <w:r>
        <w:t>Požadavky na specifikaci případných poddodavatelů (identifikační údaje) a věcné vymezení plnění dodaného jejich prostřednictvím</w:t>
      </w:r>
      <w:r w:rsidR="00FE22CB">
        <w:t>.</w:t>
      </w:r>
    </w:p>
    <w:p w14:paraId="48FDBDAD" w14:textId="77777777" w:rsidR="00D64EB0" w:rsidRDefault="00D64EB0" w:rsidP="001155D4">
      <w:pPr>
        <w:numPr>
          <w:ilvl w:val="0"/>
          <w:numId w:val="15"/>
        </w:numPr>
        <w:spacing w:line="276" w:lineRule="auto"/>
        <w:jc w:val="both"/>
      </w:pPr>
      <w:r>
        <w:t>Věcné vymezení významných činností, které v případě zakázky na služby nebo stavební práce</w:t>
      </w:r>
      <w:r w:rsidR="001155D4">
        <w:t xml:space="preserve"> </w:t>
      </w:r>
      <w:r>
        <w:t>nebo v případě zakázky na dodávky zahrnující umístění nebo montáž musí být plněny výlučně přímo vybraným dodavatelem, nikoliv poddodavatelem</w:t>
      </w:r>
      <w:r w:rsidR="00FE22CB">
        <w:t>.</w:t>
      </w:r>
    </w:p>
    <w:p w14:paraId="4962809F" w14:textId="77777777" w:rsidR="00FE22CB" w:rsidRDefault="00FE22CB" w:rsidP="00FE22CB">
      <w:pPr>
        <w:numPr>
          <w:ilvl w:val="0"/>
          <w:numId w:val="15"/>
        </w:numPr>
        <w:spacing w:line="276" w:lineRule="auto"/>
        <w:jc w:val="both"/>
      </w:pPr>
      <w:r>
        <w:t>Podmínky, při jejichž splnění budou na žádost poddodavatele převedeny splatné částky úhrady zakázky přímo poddodavateli.</w:t>
      </w:r>
    </w:p>
    <w:p w14:paraId="62ED2761" w14:textId="77777777" w:rsidR="00FE22CB" w:rsidRDefault="00FE22CB" w:rsidP="00FE22CB">
      <w:pPr>
        <w:numPr>
          <w:ilvl w:val="0"/>
          <w:numId w:val="15"/>
        </w:numPr>
        <w:spacing w:line="276" w:lineRule="auto"/>
        <w:jc w:val="both"/>
      </w:pPr>
      <w:r>
        <w:t>Zvláštní podmínky plnění zakázky.</w:t>
      </w:r>
    </w:p>
    <w:p w14:paraId="3F0CA95A" w14:textId="77777777" w:rsidR="00FE22CB" w:rsidRDefault="00FE22CB" w:rsidP="00FE22CB">
      <w:pPr>
        <w:numPr>
          <w:ilvl w:val="0"/>
          <w:numId w:val="15"/>
        </w:numPr>
        <w:spacing w:line="276" w:lineRule="auto"/>
        <w:jc w:val="both"/>
      </w:pPr>
      <w:r>
        <w:t>Kritéria hodnocení spojená s předmětem zakázky, která vyjadřují kvalitativní, environmentální nebo sociální hlediska.</w:t>
      </w:r>
    </w:p>
    <w:p w14:paraId="63C9B7DC" w14:textId="77777777" w:rsidR="00D64EB0" w:rsidRDefault="00D64EB0" w:rsidP="00D64EB0">
      <w:pPr>
        <w:numPr>
          <w:ilvl w:val="0"/>
          <w:numId w:val="15"/>
        </w:numPr>
        <w:spacing w:line="276" w:lineRule="auto"/>
        <w:jc w:val="both"/>
      </w:pPr>
      <w:r w:rsidRPr="0001728C">
        <w:t>Předpokládaná hodnota zakázky</w:t>
      </w:r>
      <w:r>
        <w:t>.</w:t>
      </w:r>
    </w:p>
    <w:p w14:paraId="4C9F6EC7" w14:textId="77777777" w:rsidR="005F5946" w:rsidRDefault="005F5946" w:rsidP="005F5946">
      <w:pPr>
        <w:numPr>
          <w:ilvl w:val="0"/>
          <w:numId w:val="15"/>
        </w:numPr>
        <w:spacing w:line="276" w:lineRule="auto"/>
        <w:jc w:val="both"/>
      </w:pPr>
      <w:r>
        <w:t>N</w:t>
      </w:r>
      <w:r w:rsidRPr="00847C3D">
        <w:t>ejedná se o veřejnou zakázk</w:t>
      </w:r>
      <w:r>
        <w:t>u realizovanou dle zákona č. 134/201</w:t>
      </w:r>
      <w:r w:rsidRPr="00847C3D">
        <w:t>6 Sb.</w:t>
      </w:r>
      <w:r>
        <w:t>,</w:t>
      </w:r>
      <w:r w:rsidRPr="00847C3D">
        <w:t xml:space="preserve"> o </w:t>
      </w:r>
      <w:r>
        <w:t>zadávání veřejných zakázek, ve znění pozdějších předpisů.</w:t>
      </w:r>
    </w:p>
    <w:p w14:paraId="1B69ABCD" w14:textId="77777777" w:rsidR="005F5946" w:rsidRDefault="005F5946" w:rsidP="005F5946">
      <w:pPr>
        <w:numPr>
          <w:ilvl w:val="0"/>
          <w:numId w:val="15"/>
        </w:numPr>
        <w:spacing w:line="276" w:lineRule="auto"/>
        <w:jc w:val="both"/>
      </w:pPr>
      <w:r>
        <w:t>Informace</w:t>
      </w:r>
      <w:r w:rsidRPr="00847C3D">
        <w:t xml:space="preserve"> o tom, v jakém jazyce musí být nabídka podána (není-li uvedeno, má se za to, že nabídky mají být podávány v českém či slovenském jazyce).</w:t>
      </w:r>
    </w:p>
    <w:p w14:paraId="3FF09357" w14:textId="77777777" w:rsidR="005F5946" w:rsidRDefault="005F5946" w:rsidP="005F5946">
      <w:pPr>
        <w:numPr>
          <w:ilvl w:val="0"/>
          <w:numId w:val="15"/>
        </w:numPr>
        <w:spacing w:line="276" w:lineRule="auto"/>
        <w:jc w:val="both"/>
      </w:pPr>
      <w:r>
        <w:t>D</w:t>
      </w:r>
      <w:r w:rsidRPr="00847C3D">
        <w:t>le § 2 e) zákona č. 320/2001 Sb., o finanční kontrole ve veřejné správě, ve znění pozdějších předpisů, je vybraný dodavatel osobou povinnou spolupůsobit při výkonu finanční kontroly</w:t>
      </w:r>
      <w:r>
        <w:t>.</w:t>
      </w:r>
    </w:p>
    <w:p w14:paraId="0B514F78" w14:textId="77777777" w:rsidR="005F5946" w:rsidRDefault="005F5946" w:rsidP="005F5946">
      <w:pPr>
        <w:spacing w:line="276" w:lineRule="auto"/>
        <w:jc w:val="both"/>
      </w:pPr>
    </w:p>
    <w:p w14:paraId="4962606C" w14:textId="77777777" w:rsidR="005F5946" w:rsidRDefault="005F5946" w:rsidP="005F5946">
      <w:pPr>
        <w:spacing w:line="276" w:lineRule="auto"/>
        <w:jc w:val="both"/>
      </w:pPr>
    </w:p>
    <w:p w14:paraId="5E19E10E" w14:textId="77777777" w:rsidR="007E41FB" w:rsidRDefault="007E41FB" w:rsidP="007E41FB">
      <w:pPr>
        <w:spacing w:line="276" w:lineRule="auto"/>
        <w:jc w:val="both"/>
      </w:pPr>
    </w:p>
    <w:sectPr w:rsidR="007E4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2049" w14:textId="77777777" w:rsidR="00486DC8" w:rsidRDefault="00486DC8">
      <w:r>
        <w:separator/>
      </w:r>
    </w:p>
  </w:endnote>
  <w:endnote w:type="continuationSeparator" w:id="0">
    <w:p w14:paraId="5EC7DCF2" w14:textId="77777777" w:rsidR="00486DC8" w:rsidRDefault="0048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50BE" w14:textId="77777777" w:rsidR="00997B93" w:rsidRDefault="00997B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C6F1" w14:textId="4A2D7735" w:rsidR="003B143E" w:rsidRPr="003B143E" w:rsidRDefault="003B143E" w:rsidP="003B143E">
    <w:pPr>
      <w:pStyle w:val="Zpat"/>
      <w:jc w:val="center"/>
    </w:pPr>
    <w:r w:rsidRPr="003B143E">
      <w:fldChar w:fldCharType="begin"/>
    </w:r>
    <w:r w:rsidRPr="003B143E">
      <w:instrText>PAGE  \* Arabic  \* MERGEFORMAT</w:instrText>
    </w:r>
    <w:r w:rsidRPr="003B143E">
      <w:fldChar w:fldCharType="separate"/>
    </w:r>
    <w:r w:rsidRPr="003B143E">
      <w:t>1</w:t>
    </w:r>
    <w:r w:rsidRPr="003B143E">
      <w:fldChar w:fldCharType="end"/>
    </w:r>
    <w:r w:rsidRPr="003B143E">
      <w:t>/</w:t>
    </w:r>
    <w:fldSimple w:instr="NUMPAGES  \* Arabic  \* MERGEFORMAT">
      <w:r w:rsidRPr="003B143E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0E94" w14:textId="77777777" w:rsidR="00997B93" w:rsidRDefault="00997B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7D33" w14:textId="77777777" w:rsidR="00486DC8" w:rsidRDefault="00486DC8">
      <w:r>
        <w:separator/>
      </w:r>
    </w:p>
  </w:footnote>
  <w:footnote w:type="continuationSeparator" w:id="0">
    <w:p w14:paraId="4472344D" w14:textId="77777777" w:rsidR="00486DC8" w:rsidRDefault="00486DC8">
      <w:r>
        <w:continuationSeparator/>
      </w:r>
    </w:p>
  </w:footnote>
  <w:footnote w:id="1">
    <w:p w14:paraId="1509843F" w14:textId="77777777" w:rsidR="008356A4" w:rsidRDefault="008356A4" w:rsidP="008356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A1779">
        <w:t>Lze požadovat pouze uvedení ceny bez DPH. Pokud se tak zadavatel rozhodne a následně bude v nabídce a ve smlouvě uvedena pouze cena bez DPH, musí být tato skutečnost ze smlouvy zřejmá, v opačném případě musí smlouva zahrnovat cenu bez DPH, vč. DPH a uvedení samotného DPH.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C5B1" w14:textId="77777777" w:rsidR="00997B93" w:rsidRDefault="00997B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7E41FB" w14:paraId="44D0ADE3" w14:textId="77777777" w:rsidTr="000A6159">
      <w:trPr>
        <w:trHeight w:val="1051"/>
      </w:trPr>
      <w:tc>
        <w:tcPr>
          <w:tcW w:w="5145" w:type="dxa"/>
          <w:vAlign w:val="center"/>
        </w:tcPr>
        <w:p w14:paraId="6FE7C7DD" w14:textId="1C9EFB3F" w:rsidR="007E41FB" w:rsidRPr="001211C6" w:rsidRDefault="00912137" w:rsidP="007E41FB">
          <w:pPr>
            <w:pStyle w:val="Zhlav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t xml:space="preserve">VÝZVA K PODÁNÍ NABÍDEK </w:t>
          </w:r>
        </w:p>
      </w:tc>
      <w:tc>
        <w:tcPr>
          <w:tcW w:w="5065" w:type="dxa"/>
          <w:vAlign w:val="center"/>
        </w:tcPr>
        <w:p w14:paraId="29EB5961" w14:textId="4CF5C074" w:rsidR="007E41FB" w:rsidRDefault="00FB2407" w:rsidP="007E41FB">
          <w:pPr>
            <w:pStyle w:val="Zhlav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FD838D8" wp14:editId="1416E256">
                <wp:simplePos x="0" y="0"/>
                <wp:positionH relativeFrom="column">
                  <wp:posOffset>1281430</wp:posOffset>
                </wp:positionH>
                <wp:positionV relativeFrom="paragraph">
                  <wp:posOffset>172085</wp:posOffset>
                </wp:positionV>
                <wp:extent cx="1611630" cy="360045"/>
                <wp:effectExtent l="0" t="0" r="0" b="0"/>
                <wp:wrapNone/>
                <wp:docPr id="2" name="Grafický 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cký 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360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4ABBA87" w14:textId="77777777" w:rsidR="00413BFE" w:rsidRDefault="00413B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1F1D" w14:textId="77777777" w:rsidR="00997B93" w:rsidRDefault="00997B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E70"/>
    <w:multiLevelType w:val="hybridMultilevel"/>
    <w:tmpl w:val="B6845D0C"/>
    <w:lvl w:ilvl="0" w:tplc="182A4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06136"/>
    <w:multiLevelType w:val="hybridMultilevel"/>
    <w:tmpl w:val="69929EF0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5C1"/>
    <w:multiLevelType w:val="hybridMultilevel"/>
    <w:tmpl w:val="85908ED0"/>
    <w:lvl w:ilvl="0" w:tplc="6AE2D6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31828C2">
      <w:start w:val="5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182A4E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F7B46"/>
    <w:multiLevelType w:val="hybridMultilevel"/>
    <w:tmpl w:val="0A4A29A6"/>
    <w:lvl w:ilvl="0" w:tplc="97229A4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1050C"/>
    <w:multiLevelType w:val="hybridMultilevel"/>
    <w:tmpl w:val="9884741A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754"/>
    <w:multiLevelType w:val="hybridMultilevel"/>
    <w:tmpl w:val="E1029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AB3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5798D"/>
    <w:multiLevelType w:val="hybridMultilevel"/>
    <w:tmpl w:val="224C0554"/>
    <w:lvl w:ilvl="0" w:tplc="ABBAB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F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CB063DD"/>
    <w:multiLevelType w:val="hybridMultilevel"/>
    <w:tmpl w:val="A0DEDCD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70291"/>
    <w:multiLevelType w:val="hybridMultilevel"/>
    <w:tmpl w:val="56B86CD2"/>
    <w:lvl w:ilvl="0" w:tplc="182A4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A5F5F"/>
    <w:multiLevelType w:val="hybridMultilevel"/>
    <w:tmpl w:val="2810510C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2F3BEB"/>
    <w:multiLevelType w:val="hybridMultilevel"/>
    <w:tmpl w:val="D4A8CE94"/>
    <w:lvl w:ilvl="0" w:tplc="0405001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890823"/>
    <w:multiLevelType w:val="hybridMultilevel"/>
    <w:tmpl w:val="75245178"/>
    <w:lvl w:ilvl="0" w:tplc="98ECFF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B7779"/>
    <w:multiLevelType w:val="hybridMultilevel"/>
    <w:tmpl w:val="62A851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D7857"/>
    <w:multiLevelType w:val="multilevel"/>
    <w:tmpl w:val="67548D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169291B"/>
    <w:multiLevelType w:val="hybridMultilevel"/>
    <w:tmpl w:val="8C200B22"/>
    <w:lvl w:ilvl="0" w:tplc="97229A44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71516545">
    <w:abstractNumId w:val="6"/>
  </w:num>
  <w:num w:numId="2" w16cid:durableId="527455678">
    <w:abstractNumId w:val="16"/>
  </w:num>
  <w:num w:numId="3" w16cid:durableId="829907817">
    <w:abstractNumId w:val="8"/>
  </w:num>
  <w:num w:numId="4" w16cid:durableId="216471771">
    <w:abstractNumId w:val="1"/>
  </w:num>
  <w:num w:numId="5" w16cid:durableId="878129289">
    <w:abstractNumId w:val="12"/>
  </w:num>
  <w:num w:numId="6" w16cid:durableId="1191259189">
    <w:abstractNumId w:val="5"/>
  </w:num>
  <w:num w:numId="7" w16cid:durableId="452096875">
    <w:abstractNumId w:val="3"/>
  </w:num>
  <w:num w:numId="8" w16cid:durableId="443116938">
    <w:abstractNumId w:val="13"/>
  </w:num>
  <w:num w:numId="9" w16cid:durableId="418453127">
    <w:abstractNumId w:val="10"/>
  </w:num>
  <w:num w:numId="10" w16cid:durableId="2073499370">
    <w:abstractNumId w:val="2"/>
  </w:num>
  <w:num w:numId="11" w16cid:durableId="1168445082">
    <w:abstractNumId w:val="0"/>
  </w:num>
  <w:num w:numId="12" w16cid:durableId="1837646881">
    <w:abstractNumId w:val="11"/>
  </w:num>
  <w:num w:numId="13" w16cid:durableId="1644314043">
    <w:abstractNumId w:val="17"/>
  </w:num>
  <w:num w:numId="14" w16cid:durableId="1894388263">
    <w:abstractNumId w:val="4"/>
  </w:num>
  <w:num w:numId="15" w16cid:durableId="56172674">
    <w:abstractNumId w:val="7"/>
  </w:num>
  <w:num w:numId="16" w16cid:durableId="1194265889">
    <w:abstractNumId w:val="15"/>
  </w:num>
  <w:num w:numId="17" w16cid:durableId="1815414289">
    <w:abstractNumId w:val="9"/>
  </w:num>
  <w:num w:numId="18" w16cid:durableId="18377620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41"/>
    <w:rsid w:val="0001728C"/>
    <w:rsid w:val="00021EC7"/>
    <w:rsid w:val="00026274"/>
    <w:rsid w:val="00031BF4"/>
    <w:rsid w:val="00034358"/>
    <w:rsid w:val="000418BF"/>
    <w:rsid w:val="00055AAE"/>
    <w:rsid w:val="00075F6A"/>
    <w:rsid w:val="00087C88"/>
    <w:rsid w:val="000A4F35"/>
    <w:rsid w:val="000A6159"/>
    <w:rsid w:val="000E3A2B"/>
    <w:rsid w:val="000E595B"/>
    <w:rsid w:val="000F1FE4"/>
    <w:rsid w:val="001155D4"/>
    <w:rsid w:val="001263C5"/>
    <w:rsid w:val="001347C0"/>
    <w:rsid w:val="001544EF"/>
    <w:rsid w:val="001A6A89"/>
    <w:rsid w:val="001B166B"/>
    <w:rsid w:val="001C006D"/>
    <w:rsid w:val="001D3CF9"/>
    <w:rsid w:val="001E26C3"/>
    <w:rsid w:val="001E4DCE"/>
    <w:rsid w:val="00231FA4"/>
    <w:rsid w:val="0024029B"/>
    <w:rsid w:val="0027603A"/>
    <w:rsid w:val="00276730"/>
    <w:rsid w:val="002915BD"/>
    <w:rsid w:val="002B3065"/>
    <w:rsid w:val="002C6729"/>
    <w:rsid w:val="002D216D"/>
    <w:rsid w:val="002D3497"/>
    <w:rsid w:val="002D678A"/>
    <w:rsid w:val="002E2FF8"/>
    <w:rsid w:val="003312D3"/>
    <w:rsid w:val="003357BD"/>
    <w:rsid w:val="003511E8"/>
    <w:rsid w:val="003611C1"/>
    <w:rsid w:val="00377547"/>
    <w:rsid w:val="003A4A36"/>
    <w:rsid w:val="003B143E"/>
    <w:rsid w:val="003C20A4"/>
    <w:rsid w:val="003F149E"/>
    <w:rsid w:val="00403256"/>
    <w:rsid w:val="0041162A"/>
    <w:rsid w:val="00413BFE"/>
    <w:rsid w:val="004162AC"/>
    <w:rsid w:val="004656B1"/>
    <w:rsid w:val="0047242D"/>
    <w:rsid w:val="00480100"/>
    <w:rsid w:val="00486DC8"/>
    <w:rsid w:val="00494B94"/>
    <w:rsid w:val="004B57E8"/>
    <w:rsid w:val="004B6319"/>
    <w:rsid w:val="004D4B9D"/>
    <w:rsid w:val="00510F20"/>
    <w:rsid w:val="00511C7A"/>
    <w:rsid w:val="005463E9"/>
    <w:rsid w:val="005625CA"/>
    <w:rsid w:val="0057222C"/>
    <w:rsid w:val="0057489A"/>
    <w:rsid w:val="005B45A1"/>
    <w:rsid w:val="005E5E3B"/>
    <w:rsid w:val="005F5946"/>
    <w:rsid w:val="0062021D"/>
    <w:rsid w:val="006240CF"/>
    <w:rsid w:val="00677702"/>
    <w:rsid w:val="00685CEC"/>
    <w:rsid w:val="006A3B35"/>
    <w:rsid w:val="006D623A"/>
    <w:rsid w:val="006E596C"/>
    <w:rsid w:val="006F7897"/>
    <w:rsid w:val="00760444"/>
    <w:rsid w:val="00760D2B"/>
    <w:rsid w:val="007763B1"/>
    <w:rsid w:val="007A01C2"/>
    <w:rsid w:val="007A082B"/>
    <w:rsid w:val="007A1779"/>
    <w:rsid w:val="007D0BD9"/>
    <w:rsid w:val="007D7972"/>
    <w:rsid w:val="007E13CB"/>
    <w:rsid w:val="007E32E2"/>
    <w:rsid w:val="007E41FB"/>
    <w:rsid w:val="007E7113"/>
    <w:rsid w:val="00803AE7"/>
    <w:rsid w:val="00810AD5"/>
    <w:rsid w:val="00816D27"/>
    <w:rsid w:val="008330DD"/>
    <w:rsid w:val="0083351E"/>
    <w:rsid w:val="008356A4"/>
    <w:rsid w:val="00845781"/>
    <w:rsid w:val="00847C3D"/>
    <w:rsid w:val="00855003"/>
    <w:rsid w:val="008747DE"/>
    <w:rsid w:val="008822B6"/>
    <w:rsid w:val="00885DE4"/>
    <w:rsid w:val="008B4803"/>
    <w:rsid w:val="008D35F8"/>
    <w:rsid w:val="008E4A2E"/>
    <w:rsid w:val="008E65BF"/>
    <w:rsid w:val="008E737E"/>
    <w:rsid w:val="00912137"/>
    <w:rsid w:val="0093358D"/>
    <w:rsid w:val="00941E0F"/>
    <w:rsid w:val="00951B5E"/>
    <w:rsid w:val="00965E20"/>
    <w:rsid w:val="0097120E"/>
    <w:rsid w:val="009767AA"/>
    <w:rsid w:val="0098335D"/>
    <w:rsid w:val="009852A7"/>
    <w:rsid w:val="00997B93"/>
    <w:rsid w:val="009C6E0B"/>
    <w:rsid w:val="009E4C49"/>
    <w:rsid w:val="009F3436"/>
    <w:rsid w:val="00A0283F"/>
    <w:rsid w:val="00A144D4"/>
    <w:rsid w:val="00A570D5"/>
    <w:rsid w:val="00A94039"/>
    <w:rsid w:val="00AC0E76"/>
    <w:rsid w:val="00AD1ADD"/>
    <w:rsid w:val="00AD1F95"/>
    <w:rsid w:val="00AD3A71"/>
    <w:rsid w:val="00B64D86"/>
    <w:rsid w:val="00B77B59"/>
    <w:rsid w:val="00B8121E"/>
    <w:rsid w:val="00BB1811"/>
    <w:rsid w:val="00BC4167"/>
    <w:rsid w:val="00BC5C8F"/>
    <w:rsid w:val="00BD5FFB"/>
    <w:rsid w:val="00BF752F"/>
    <w:rsid w:val="00C0579F"/>
    <w:rsid w:val="00C26C2B"/>
    <w:rsid w:val="00C37B8B"/>
    <w:rsid w:val="00C51730"/>
    <w:rsid w:val="00C5298C"/>
    <w:rsid w:val="00C81B96"/>
    <w:rsid w:val="00C96278"/>
    <w:rsid w:val="00C96D93"/>
    <w:rsid w:val="00CA2EC0"/>
    <w:rsid w:val="00CA727B"/>
    <w:rsid w:val="00CE2C87"/>
    <w:rsid w:val="00D033FE"/>
    <w:rsid w:val="00D04861"/>
    <w:rsid w:val="00D12F44"/>
    <w:rsid w:val="00D14EA5"/>
    <w:rsid w:val="00D225B1"/>
    <w:rsid w:val="00D23AA7"/>
    <w:rsid w:val="00D40EC8"/>
    <w:rsid w:val="00D562B0"/>
    <w:rsid w:val="00D602FB"/>
    <w:rsid w:val="00D64EB0"/>
    <w:rsid w:val="00D70533"/>
    <w:rsid w:val="00D96B2C"/>
    <w:rsid w:val="00DB0FD7"/>
    <w:rsid w:val="00DB4D8F"/>
    <w:rsid w:val="00DC6969"/>
    <w:rsid w:val="00DD5581"/>
    <w:rsid w:val="00DE00F9"/>
    <w:rsid w:val="00DE401D"/>
    <w:rsid w:val="00DF3D11"/>
    <w:rsid w:val="00DF4303"/>
    <w:rsid w:val="00E379EB"/>
    <w:rsid w:val="00E661A6"/>
    <w:rsid w:val="00E74127"/>
    <w:rsid w:val="00E76979"/>
    <w:rsid w:val="00E80656"/>
    <w:rsid w:val="00E93B8C"/>
    <w:rsid w:val="00EA361E"/>
    <w:rsid w:val="00EB23BC"/>
    <w:rsid w:val="00EB6DAE"/>
    <w:rsid w:val="00ED460A"/>
    <w:rsid w:val="00F329D1"/>
    <w:rsid w:val="00F40082"/>
    <w:rsid w:val="00F42193"/>
    <w:rsid w:val="00F4784F"/>
    <w:rsid w:val="00F54799"/>
    <w:rsid w:val="00F63A8D"/>
    <w:rsid w:val="00F72E07"/>
    <w:rsid w:val="00F74491"/>
    <w:rsid w:val="00FB2407"/>
    <w:rsid w:val="00FB32D8"/>
    <w:rsid w:val="00FC5941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9547F"/>
  <w15:chartTrackingRefBased/>
  <w15:docId w15:val="{E58EEA4D-8F80-499F-A654-D4F722A0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semiHidden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5C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E5921-DFA2-4A5F-BF94-F0D2EEC9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CzechInvest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Klara.Kalousova</dc:creator>
  <cp:keywords/>
  <dc:description/>
  <cp:lastModifiedBy>Bauernöplová Jana</cp:lastModifiedBy>
  <cp:revision>5</cp:revision>
  <cp:lastPrinted>2013-09-18T12:45:00Z</cp:lastPrinted>
  <dcterms:created xsi:type="dcterms:W3CDTF">2023-04-04T09:20:00Z</dcterms:created>
  <dcterms:modified xsi:type="dcterms:W3CDTF">2023-04-19T13:04:00Z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2022-10-04T08:37:14Z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c92050fb-3953-4d9e-aa91-0b26537d3afe</vt:lpwstr>
  </property>
  <property fmtid="{D5CDD505-2E9C-101B-9397-08002B2CF9AE}" pid="8" name="MSIP_Label_d79dbf13-dba3-469b-a7af-e84a8c38b3fd_ContentBits">
    <vt:lpwstr>0</vt:lpwstr>
  </property>
</Properties>
</file>