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B2D39" w14:textId="77777777" w:rsidR="0022503D" w:rsidRPr="00F23CDB" w:rsidRDefault="0022503D">
      <w:pPr>
        <w:overflowPunct/>
        <w:autoSpaceDE/>
        <w:autoSpaceDN/>
        <w:adjustRightInd/>
        <w:textAlignment w:val="auto"/>
        <w:rPr>
          <w:rFonts w:ascii="Calibri" w:hAnsi="Calibri" w:cs="Calibri"/>
        </w:rPr>
      </w:pPr>
    </w:p>
    <w:p w14:paraId="2F129EE7" w14:textId="77777777" w:rsidR="0022503D" w:rsidRPr="00F23CDB" w:rsidRDefault="0022503D">
      <w:pPr>
        <w:overflowPunct/>
        <w:autoSpaceDE/>
        <w:autoSpaceDN/>
        <w:adjustRightInd/>
        <w:textAlignment w:val="auto"/>
        <w:rPr>
          <w:rFonts w:ascii="Calibri" w:hAnsi="Calibri" w:cs="Calibri"/>
        </w:rPr>
      </w:pPr>
    </w:p>
    <w:p w14:paraId="7866CA6C" w14:textId="77777777" w:rsidR="0022503D" w:rsidRPr="00F23CDB" w:rsidRDefault="0022503D">
      <w:pPr>
        <w:overflowPunct/>
        <w:autoSpaceDE/>
        <w:autoSpaceDN/>
        <w:adjustRightInd/>
        <w:textAlignment w:val="auto"/>
        <w:rPr>
          <w:rFonts w:ascii="Calibri" w:hAnsi="Calibri" w:cs="Calibri"/>
        </w:rPr>
      </w:pPr>
    </w:p>
    <w:p w14:paraId="1A708E84" w14:textId="77777777" w:rsidR="0022503D" w:rsidRDefault="0022503D">
      <w:pPr>
        <w:overflowPunct/>
        <w:autoSpaceDE/>
        <w:autoSpaceDN/>
        <w:adjustRightInd/>
        <w:textAlignment w:val="auto"/>
        <w:rPr>
          <w:rFonts w:ascii="Calibri" w:hAnsi="Calibri" w:cs="Calibri"/>
        </w:rPr>
      </w:pPr>
    </w:p>
    <w:p w14:paraId="6B182C67" w14:textId="77777777" w:rsidR="00A86EB3" w:rsidRPr="00F23CDB" w:rsidRDefault="00A86EB3">
      <w:pPr>
        <w:overflowPunct/>
        <w:autoSpaceDE/>
        <w:autoSpaceDN/>
        <w:adjustRightInd/>
        <w:textAlignment w:val="auto"/>
        <w:rPr>
          <w:rFonts w:ascii="Calibri" w:hAnsi="Calibri" w:cs="Calibri"/>
        </w:rPr>
      </w:pPr>
    </w:p>
    <w:p w14:paraId="196C4C14" w14:textId="77777777" w:rsidR="0022503D" w:rsidRPr="00F23CDB" w:rsidRDefault="0022503D">
      <w:pPr>
        <w:overflowPunct/>
        <w:autoSpaceDE/>
        <w:autoSpaceDN/>
        <w:adjustRightInd/>
        <w:textAlignment w:val="auto"/>
        <w:rPr>
          <w:rFonts w:ascii="Calibri" w:hAnsi="Calibri" w:cs="Calibri"/>
        </w:rPr>
      </w:pPr>
    </w:p>
    <w:p w14:paraId="6AAF5B07" w14:textId="77777777" w:rsidR="0022503D" w:rsidRPr="00F23CDB" w:rsidRDefault="0022503D">
      <w:pPr>
        <w:overflowPunct/>
        <w:autoSpaceDE/>
        <w:autoSpaceDN/>
        <w:adjustRightInd/>
        <w:textAlignment w:val="auto"/>
        <w:rPr>
          <w:rFonts w:ascii="Calibri" w:hAnsi="Calibri" w:cs="Calibri"/>
        </w:rPr>
      </w:pPr>
    </w:p>
    <w:p w14:paraId="64440B7C" w14:textId="77777777" w:rsidR="0022503D" w:rsidRPr="00F23CDB" w:rsidRDefault="0022503D">
      <w:pPr>
        <w:overflowPunct/>
        <w:autoSpaceDE/>
        <w:autoSpaceDN/>
        <w:adjustRightInd/>
        <w:textAlignment w:val="auto"/>
        <w:rPr>
          <w:rFonts w:ascii="Calibri" w:hAnsi="Calibri" w:cs="Calibri"/>
        </w:rPr>
      </w:pPr>
    </w:p>
    <w:p w14:paraId="21797C20" w14:textId="77777777" w:rsidR="0022503D" w:rsidRPr="00DD47DF" w:rsidRDefault="0022503D" w:rsidP="0022503D">
      <w:pPr>
        <w:overflowPunct/>
        <w:autoSpaceDE/>
        <w:autoSpaceDN/>
        <w:adjustRightInd/>
        <w:jc w:val="center"/>
        <w:textAlignment w:val="auto"/>
        <w:rPr>
          <w:rFonts w:ascii="Calibri" w:hAnsi="Calibri" w:cs="Calibri"/>
          <w:b/>
          <w:caps/>
          <w:sz w:val="36"/>
        </w:rPr>
      </w:pPr>
      <w:r w:rsidRPr="00DD47DF">
        <w:rPr>
          <w:rFonts w:ascii="Calibri" w:hAnsi="Calibri" w:cs="Calibri"/>
          <w:b/>
          <w:caps/>
          <w:sz w:val="36"/>
        </w:rPr>
        <w:t>Ministerstvo průmyslu a obchodu</w:t>
      </w:r>
    </w:p>
    <w:p w14:paraId="4C9B9690" w14:textId="77777777" w:rsidR="0022503D" w:rsidRPr="00DD47DF" w:rsidRDefault="0022503D" w:rsidP="0022503D">
      <w:pPr>
        <w:overflowPunct/>
        <w:autoSpaceDE/>
        <w:autoSpaceDN/>
        <w:adjustRightInd/>
        <w:jc w:val="center"/>
        <w:textAlignment w:val="auto"/>
        <w:rPr>
          <w:rFonts w:ascii="Calibri" w:hAnsi="Calibri" w:cs="Calibri"/>
          <w:b/>
          <w:caps/>
          <w:sz w:val="36"/>
        </w:rPr>
      </w:pPr>
      <w:r w:rsidRPr="00DD47DF">
        <w:rPr>
          <w:rFonts w:ascii="Calibri" w:hAnsi="Calibri" w:cs="Calibri"/>
          <w:b/>
          <w:caps/>
          <w:sz w:val="36"/>
        </w:rPr>
        <w:t>České republiky</w:t>
      </w:r>
    </w:p>
    <w:p w14:paraId="07EC0256" w14:textId="77777777" w:rsidR="0022503D" w:rsidRPr="00DD47DF" w:rsidRDefault="0022503D">
      <w:pPr>
        <w:overflowPunct/>
        <w:autoSpaceDE/>
        <w:autoSpaceDN/>
        <w:adjustRightInd/>
        <w:textAlignment w:val="auto"/>
        <w:rPr>
          <w:rFonts w:ascii="Calibri" w:hAnsi="Calibri" w:cs="Calibri"/>
        </w:rPr>
      </w:pPr>
    </w:p>
    <w:p w14:paraId="04223F90" w14:textId="77777777" w:rsidR="0022503D" w:rsidRPr="00DD47DF" w:rsidRDefault="0022503D">
      <w:pPr>
        <w:overflowPunct/>
        <w:autoSpaceDE/>
        <w:autoSpaceDN/>
        <w:adjustRightInd/>
        <w:textAlignment w:val="auto"/>
        <w:rPr>
          <w:rFonts w:ascii="Calibri" w:hAnsi="Calibri" w:cs="Calibri"/>
        </w:rPr>
      </w:pPr>
    </w:p>
    <w:p w14:paraId="30ED3222" w14:textId="77777777" w:rsidR="0022503D" w:rsidRPr="00DD47DF" w:rsidRDefault="0022503D">
      <w:pPr>
        <w:overflowPunct/>
        <w:autoSpaceDE/>
        <w:autoSpaceDN/>
        <w:adjustRightInd/>
        <w:textAlignment w:val="auto"/>
        <w:rPr>
          <w:rFonts w:ascii="Calibri" w:hAnsi="Calibri" w:cs="Calibri"/>
        </w:rPr>
      </w:pPr>
    </w:p>
    <w:p w14:paraId="16A90C62" w14:textId="77777777" w:rsidR="0022503D" w:rsidRPr="00DD47DF" w:rsidRDefault="0022503D">
      <w:pPr>
        <w:overflowPunct/>
        <w:autoSpaceDE/>
        <w:autoSpaceDN/>
        <w:adjustRightInd/>
        <w:textAlignment w:val="auto"/>
        <w:rPr>
          <w:rFonts w:ascii="Calibri" w:hAnsi="Calibri" w:cs="Calibri"/>
        </w:rPr>
      </w:pPr>
    </w:p>
    <w:p w14:paraId="6E4CD0C2" w14:textId="77777777" w:rsidR="0022503D" w:rsidRPr="00DD47DF" w:rsidRDefault="0022503D">
      <w:pPr>
        <w:overflowPunct/>
        <w:autoSpaceDE/>
        <w:autoSpaceDN/>
        <w:adjustRightInd/>
        <w:textAlignment w:val="auto"/>
        <w:rPr>
          <w:rFonts w:ascii="Calibri" w:hAnsi="Calibri" w:cs="Calibri"/>
        </w:rPr>
      </w:pPr>
    </w:p>
    <w:p w14:paraId="13F1956B" w14:textId="77777777" w:rsidR="0022503D" w:rsidRPr="00DD47DF" w:rsidRDefault="0022503D">
      <w:pPr>
        <w:overflowPunct/>
        <w:autoSpaceDE/>
        <w:autoSpaceDN/>
        <w:adjustRightInd/>
        <w:textAlignment w:val="auto"/>
        <w:rPr>
          <w:rFonts w:ascii="Calibri" w:hAnsi="Calibri" w:cs="Calibri"/>
        </w:rPr>
      </w:pPr>
    </w:p>
    <w:p w14:paraId="35FDF5ED" w14:textId="77777777" w:rsidR="0022503D" w:rsidRPr="00DD47DF" w:rsidRDefault="0022503D">
      <w:pPr>
        <w:overflowPunct/>
        <w:autoSpaceDE/>
        <w:autoSpaceDN/>
        <w:adjustRightInd/>
        <w:textAlignment w:val="auto"/>
        <w:rPr>
          <w:rFonts w:ascii="Calibri" w:hAnsi="Calibri" w:cs="Calibri"/>
        </w:rPr>
      </w:pPr>
    </w:p>
    <w:p w14:paraId="6AD04695" w14:textId="77777777" w:rsidR="0022503D" w:rsidRPr="00DD47DF" w:rsidRDefault="0022503D">
      <w:pPr>
        <w:overflowPunct/>
        <w:autoSpaceDE/>
        <w:autoSpaceDN/>
        <w:adjustRightInd/>
        <w:textAlignment w:val="auto"/>
        <w:rPr>
          <w:rFonts w:ascii="Calibri" w:hAnsi="Calibri" w:cs="Calibri"/>
        </w:rPr>
      </w:pPr>
    </w:p>
    <w:p w14:paraId="5330B8E4" w14:textId="77777777" w:rsidR="0022503D" w:rsidRPr="00DD47DF" w:rsidRDefault="0022503D">
      <w:pPr>
        <w:overflowPunct/>
        <w:autoSpaceDE/>
        <w:autoSpaceDN/>
        <w:adjustRightInd/>
        <w:textAlignment w:val="auto"/>
        <w:rPr>
          <w:rFonts w:ascii="Calibri" w:hAnsi="Calibri" w:cs="Calibri"/>
        </w:rPr>
      </w:pPr>
    </w:p>
    <w:p w14:paraId="0F31D8ED" w14:textId="77777777" w:rsidR="0022503D" w:rsidRPr="00DD47DF" w:rsidRDefault="0022503D">
      <w:pPr>
        <w:overflowPunct/>
        <w:autoSpaceDE/>
        <w:autoSpaceDN/>
        <w:adjustRightInd/>
        <w:textAlignment w:val="auto"/>
        <w:rPr>
          <w:rFonts w:ascii="Calibri" w:hAnsi="Calibri" w:cs="Calibri"/>
        </w:rPr>
      </w:pPr>
    </w:p>
    <w:p w14:paraId="065BA443" w14:textId="77777777" w:rsidR="0022503D" w:rsidRPr="00DD47DF" w:rsidRDefault="0022503D">
      <w:pPr>
        <w:overflowPunct/>
        <w:autoSpaceDE/>
        <w:autoSpaceDN/>
        <w:adjustRightInd/>
        <w:textAlignment w:val="auto"/>
        <w:rPr>
          <w:rFonts w:ascii="Calibri" w:hAnsi="Calibri" w:cs="Calibri"/>
        </w:rPr>
      </w:pPr>
    </w:p>
    <w:p w14:paraId="04B95F9B" w14:textId="77777777" w:rsidR="0022503D" w:rsidRPr="00DD47DF" w:rsidRDefault="00495B3E" w:rsidP="0022503D">
      <w:pPr>
        <w:overflowPunct/>
        <w:autoSpaceDE/>
        <w:autoSpaceDN/>
        <w:adjustRightInd/>
        <w:jc w:val="center"/>
        <w:textAlignment w:val="auto"/>
        <w:rPr>
          <w:rFonts w:ascii="Calibri" w:hAnsi="Calibri" w:cs="Calibri"/>
          <w:b/>
          <w:sz w:val="36"/>
        </w:rPr>
      </w:pPr>
      <w:r w:rsidRPr="00DD47DF">
        <w:rPr>
          <w:rFonts w:ascii="Calibri" w:hAnsi="Calibri" w:cs="Calibri"/>
          <w:b/>
          <w:sz w:val="36"/>
        </w:rPr>
        <w:t>Operačn</w:t>
      </w:r>
      <w:r w:rsidR="0022503D" w:rsidRPr="00DD47DF">
        <w:rPr>
          <w:rFonts w:ascii="Calibri" w:hAnsi="Calibri" w:cs="Calibri"/>
          <w:b/>
          <w:sz w:val="36"/>
        </w:rPr>
        <w:t>í program Podnikání a inovace pro konkurenceschopnost 2014 – 2020</w:t>
      </w:r>
    </w:p>
    <w:p w14:paraId="569578CD" w14:textId="77777777" w:rsidR="0022503D" w:rsidRPr="00DD47DF" w:rsidRDefault="0022503D" w:rsidP="0022503D">
      <w:pPr>
        <w:overflowPunct/>
        <w:autoSpaceDE/>
        <w:autoSpaceDN/>
        <w:adjustRightInd/>
        <w:jc w:val="center"/>
        <w:textAlignment w:val="auto"/>
        <w:rPr>
          <w:rFonts w:ascii="Calibri" w:hAnsi="Calibri" w:cs="Calibri"/>
          <w:b/>
          <w:sz w:val="36"/>
        </w:rPr>
      </w:pPr>
    </w:p>
    <w:p w14:paraId="3F4832DB" w14:textId="77777777" w:rsidR="00FF1575" w:rsidRPr="00DD47DF" w:rsidRDefault="00FF1575" w:rsidP="00FE0012">
      <w:pPr>
        <w:overflowPunct/>
        <w:autoSpaceDE/>
        <w:autoSpaceDN/>
        <w:adjustRightInd/>
        <w:jc w:val="center"/>
        <w:textAlignment w:val="auto"/>
        <w:rPr>
          <w:rFonts w:ascii="Calibri" w:hAnsi="Calibri" w:cs="Calibri"/>
          <w:i/>
          <w:strike/>
          <w:sz w:val="32"/>
          <w:szCs w:val="32"/>
        </w:rPr>
      </w:pPr>
    </w:p>
    <w:p w14:paraId="4FD3C1FE" w14:textId="77777777" w:rsidR="00896EDF" w:rsidRPr="00DD47DF" w:rsidRDefault="00896EDF" w:rsidP="00FE0012">
      <w:pPr>
        <w:overflowPunct/>
        <w:autoSpaceDE/>
        <w:autoSpaceDN/>
        <w:adjustRightInd/>
        <w:jc w:val="center"/>
        <w:textAlignment w:val="auto"/>
        <w:rPr>
          <w:rFonts w:ascii="Calibri" w:hAnsi="Calibri" w:cs="Calibri"/>
          <w:i/>
          <w:sz w:val="32"/>
          <w:szCs w:val="32"/>
        </w:rPr>
      </w:pPr>
    </w:p>
    <w:p w14:paraId="09C5FD3A" w14:textId="77777777" w:rsidR="0022503D" w:rsidRPr="00DD47DF" w:rsidRDefault="0022503D" w:rsidP="00FE0012">
      <w:pPr>
        <w:overflowPunct/>
        <w:autoSpaceDE/>
        <w:autoSpaceDN/>
        <w:adjustRightInd/>
        <w:jc w:val="center"/>
        <w:textAlignment w:val="auto"/>
        <w:rPr>
          <w:rFonts w:ascii="Calibri" w:hAnsi="Calibri" w:cs="Calibri"/>
          <w:i/>
          <w:sz w:val="32"/>
          <w:szCs w:val="32"/>
        </w:rPr>
      </w:pPr>
    </w:p>
    <w:p w14:paraId="0B904648" w14:textId="77777777" w:rsidR="0022503D" w:rsidRPr="00DD47DF" w:rsidRDefault="0022503D">
      <w:pPr>
        <w:overflowPunct/>
        <w:autoSpaceDE/>
        <w:autoSpaceDN/>
        <w:adjustRightInd/>
        <w:textAlignment w:val="auto"/>
        <w:rPr>
          <w:rFonts w:ascii="Calibri" w:hAnsi="Calibri" w:cs="Calibri"/>
        </w:rPr>
      </w:pPr>
    </w:p>
    <w:p w14:paraId="38E4F214" w14:textId="77777777" w:rsidR="0022503D" w:rsidRPr="00DD47DF" w:rsidRDefault="0022503D">
      <w:pPr>
        <w:overflowPunct/>
        <w:autoSpaceDE/>
        <w:autoSpaceDN/>
        <w:adjustRightInd/>
        <w:textAlignment w:val="auto"/>
        <w:rPr>
          <w:rFonts w:ascii="Calibri" w:hAnsi="Calibri" w:cs="Calibri"/>
        </w:rPr>
      </w:pPr>
    </w:p>
    <w:p w14:paraId="4227AC67" w14:textId="77777777" w:rsidR="0022503D" w:rsidRPr="00DD47DF" w:rsidRDefault="0022503D">
      <w:pPr>
        <w:overflowPunct/>
        <w:autoSpaceDE/>
        <w:autoSpaceDN/>
        <w:adjustRightInd/>
        <w:textAlignment w:val="auto"/>
        <w:rPr>
          <w:rFonts w:ascii="Calibri" w:hAnsi="Calibri" w:cs="Calibri"/>
        </w:rPr>
      </w:pPr>
    </w:p>
    <w:p w14:paraId="070DBBAC" w14:textId="77777777" w:rsidR="0022503D" w:rsidRPr="00DD47DF" w:rsidRDefault="0022503D" w:rsidP="00B4010A">
      <w:pPr>
        <w:overflowPunct/>
        <w:autoSpaceDE/>
        <w:autoSpaceDN/>
        <w:adjustRightInd/>
        <w:jc w:val="center"/>
        <w:textAlignment w:val="auto"/>
        <w:rPr>
          <w:rFonts w:ascii="Calibri" w:hAnsi="Calibri" w:cs="Calibri"/>
        </w:rPr>
      </w:pPr>
    </w:p>
    <w:p w14:paraId="34E55734" w14:textId="77777777" w:rsidR="0022503D" w:rsidRPr="00DD47DF" w:rsidRDefault="0022503D">
      <w:pPr>
        <w:overflowPunct/>
        <w:autoSpaceDE/>
        <w:autoSpaceDN/>
        <w:adjustRightInd/>
        <w:textAlignment w:val="auto"/>
        <w:rPr>
          <w:rFonts w:ascii="Calibri" w:hAnsi="Calibri" w:cs="Calibri"/>
        </w:rPr>
      </w:pPr>
    </w:p>
    <w:p w14:paraId="5D4F35B0" w14:textId="77777777" w:rsidR="0022503D" w:rsidRPr="00DD47DF" w:rsidRDefault="0022503D">
      <w:pPr>
        <w:overflowPunct/>
        <w:autoSpaceDE/>
        <w:autoSpaceDN/>
        <w:adjustRightInd/>
        <w:textAlignment w:val="auto"/>
        <w:rPr>
          <w:rFonts w:ascii="Calibri" w:hAnsi="Calibri" w:cs="Calibri"/>
        </w:rPr>
      </w:pPr>
    </w:p>
    <w:p w14:paraId="42CB8BEF" w14:textId="77777777" w:rsidR="0022503D" w:rsidRPr="00DD47DF" w:rsidRDefault="0022503D">
      <w:pPr>
        <w:overflowPunct/>
        <w:autoSpaceDE/>
        <w:autoSpaceDN/>
        <w:adjustRightInd/>
        <w:textAlignment w:val="auto"/>
        <w:rPr>
          <w:rFonts w:ascii="Calibri" w:hAnsi="Calibri" w:cs="Calibri"/>
        </w:rPr>
      </w:pPr>
    </w:p>
    <w:p w14:paraId="15C4385A" w14:textId="77777777" w:rsidR="0022503D" w:rsidRPr="00DD47DF" w:rsidRDefault="0022503D">
      <w:pPr>
        <w:overflowPunct/>
        <w:autoSpaceDE/>
        <w:autoSpaceDN/>
        <w:adjustRightInd/>
        <w:textAlignment w:val="auto"/>
        <w:rPr>
          <w:rFonts w:ascii="Calibri" w:hAnsi="Calibri" w:cs="Calibri"/>
        </w:rPr>
      </w:pPr>
    </w:p>
    <w:p w14:paraId="23B29715" w14:textId="77777777" w:rsidR="0022503D" w:rsidRPr="00DD47DF" w:rsidRDefault="0022503D">
      <w:pPr>
        <w:overflowPunct/>
        <w:autoSpaceDE/>
        <w:autoSpaceDN/>
        <w:adjustRightInd/>
        <w:textAlignment w:val="auto"/>
        <w:rPr>
          <w:rFonts w:ascii="Calibri" w:hAnsi="Calibri" w:cs="Calibri"/>
        </w:rPr>
      </w:pPr>
    </w:p>
    <w:p w14:paraId="155AD7EC" w14:textId="77777777" w:rsidR="0022503D" w:rsidRPr="00DD47DF" w:rsidRDefault="0022503D">
      <w:pPr>
        <w:overflowPunct/>
        <w:autoSpaceDE/>
        <w:autoSpaceDN/>
        <w:adjustRightInd/>
        <w:textAlignment w:val="auto"/>
        <w:rPr>
          <w:rFonts w:ascii="Calibri" w:hAnsi="Calibri" w:cs="Calibri"/>
        </w:rPr>
      </w:pPr>
    </w:p>
    <w:p w14:paraId="591A43A9" w14:textId="77777777" w:rsidR="0022503D" w:rsidRPr="00DD47DF" w:rsidRDefault="0022503D">
      <w:pPr>
        <w:overflowPunct/>
        <w:autoSpaceDE/>
        <w:autoSpaceDN/>
        <w:adjustRightInd/>
        <w:textAlignment w:val="auto"/>
        <w:rPr>
          <w:rFonts w:ascii="Calibri" w:hAnsi="Calibri" w:cs="Calibri"/>
        </w:rPr>
      </w:pPr>
    </w:p>
    <w:p w14:paraId="5FA29CCF" w14:textId="77777777" w:rsidR="0022503D" w:rsidRPr="00DD47DF" w:rsidRDefault="0022503D">
      <w:pPr>
        <w:overflowPunct/>
        <w:autoSpaceDE/>
        <w:autoSpaceDN/>
        <w:adjustRightInd/>
        <w:textAlignment w:val="auto"/>
        <w:rPr>
          <w:rFonts w:ascii="Calibri" w:hAnsi="Calibri" w:cs="Calibri"/>
        </w:rPr>
      </w:pPr>
    </w:p>
    <w:p w14:paraId="7C66990C" w14:textId="77777777" w:rsidR="00D369D8" w:rsidRPr="00DD47DF" w:rsidRDefault="00D369D8">
      <w:pPr>
        <w:overflowPunct/>
        <w:autoSpaceDE/>
        <w:autoSpaceDN/>
        <w:adjustRightInd/>
        <w:textAlignment w:val="auto"/>
        <w:rPr>
          <w:rFonts w:ascii="Calibri" w:hAnsi="Calibri" w:cs="Calibri"/>
        </w:rPr>
      </w:pPr>
    </w:p>
    <w:p w14:paraId="070A5820" w14:textId="77777777" w:rsidR="00D369D8" w:rsidRPr="00DD47DF" w:rsidRDefault="00D369D8">
      <w:pPr>
        <w:overflowPunct/>
        <w:autoSpaceDE/>
        <w:autoSpaceDN/>
        <w:adjustRightInd/>
        <w:textAlignment w:val="auto"/>
        <w:rPr>
          <w:rFonts w:ascii="Calibri" w:hAnsi="Calibri" w:cs="Calibri"/>
        </w:rPr>
      </w:pPr>
    </w:p>
    <w:p w14:paraId="32E3735B" w14:textId="77777777" w:rsidR="0022503D" w:rsidRPr="00DD47DF" w:rsidRDefault="0022503D">
      <w:pPr>
        <w:overflowPunct/>
        <w:autoSpaceDE/>
        <w:autoSpaceDN/>
        <w:adjustRightInd/>
        <w:textAlignment w:val="auto"/>
        <w:rPr>
          <w:rFonts w:ascii="Calibri" w:hAnsi="Calibri" w:cs="Calibri"/>
        </w:rPr>
      </w:pPr>
    </w:p>
    <w:p w14:paraId="5ACD3895" w14:textId="77777777" w:rsidR="0022503D" w:rsidRPr="00DD47DF" w:rsidRDefault="0022503D">
      <w:pPr>
        <w:overflowPunct/>
        <w:autoSpaceDE/>
        <w:autoSpaceDN/>
        <w:adjustRightInd/>
        <w:textAlignment w:val="auto"/>
        <w:rPr>
          <w:rFonts w:ascii="Calibri" w:hAnsi="Calibri" w:cs="Calibri"/>
        </w:rPr>
      </w:pPr>
    </w:p>
    <w:p w14:paraId="0E0093C2" w14:textId="4CC97D16" w:rsidR="009B3FA2" w:rsidRPr="00DD47DF" w:rsidRDefault="00623F64" w:rsidP="0022503D">
      <w:pPr>
        <w:overflowPunct/>
        <w:autoSpaceDE/>
        <w:autoSpaceDN/>
        <w:adjustRightInd/>
        <w:jc w:val="center"/>
        <w:textAlignment w:val="auto"/>
        <w:rPr>
          <w:rFonts w:ascii="Calibri" w:hAnsi="Calibri" w:cs="Calibri"/>
          <w:b/>
          <w:sz w:val="28"/>
        </w:rPr>
        <w:sectPr w:rsidR="009B3FA2" w:rsidRPr="00DD47DF" w:rsidSect="00926525">
          <w:headerReference w:type="default" r:id="rId8"/>
          <w:footerReference w:type="default" r:id="rId9"/>
          <w:headerReference w:type="first" r:id="rId10"/>
          <w:footerReference w:type="first" r:id="rId11"/>
          <w:pgSz w:w="11906" w:h="16838"/>
          <w:pgMar w:top="1418" w:right="1276" w:bottom="1276" w:left="1418" w:header="709" w:footer="709" w:gutter="0"/>
          <w:cols w:space="708"/>
          <w:titlePg/>
          <w:docGrid w:linePitch="272"/>
        </w:sectPr>
      </w:pPr>
      <w:r>
        <w:rPr>
          <w:rFonts w:ascii="Calibri" w:hAnsi="Calibri" w:cs="Calibri"/>
          <w:b/>
          <w:sz w:val="28"/>
        </w:rPr>
        <w:t>červen 2018</w:t>
      </w:r>
      <w:r w:rsidR="0052716E" w:rsidRPr="00DD47DF">
        <w:rPr>
          <w:rFonts w:ascii="Calibri" w:hAnsi="Calibri" w:cs="Calibri"/>
          <w:b/>
          <w:sz w:val="28"/>
        </w:rPr>
        <w:t xml:space="preserve"> </w:t>
      </w:r>
    </w:p>
    <w:p w14:paraId="473134F8" w14:textId="77777777" w:rsidR="0022503D" w:rsidRPr="00DD47DF" w:rsidRDefault="00CF0F84" w:rsidP="00300283">
      <w:pPr>
        <w:overflowPunct/>
        <w:autoSpaceDE/>
        <w:autoSpaceDN/>
        <w:adjustRightInd/>
        <w:spacing w:before="120" w:after="60"/>
        <w:textAlignment w:val="auto"/>
        <w:rPr>
          <w:rFonts w:ascii="Calibri" w:hAnsi="Calibri" w:cs="Calibri"/>
          <w:b/>
          <w:caps/>
          <w:spacing w:val="20"/>
          <w:sz w:val="28"/>
          <w:szCs w:val="28"/>
        </w:rPr>
      </w:pPr>
      <w:r w:rsidRPr="00DD47DF">
        <w:rPr>
          <w:rFonts w:ascii="Calibri" w:hAnsi="Calibri" w:cs="Calibri"/>
          <w:b/>
          <w:caps/>
          <w:spacing w:val="20"/>
          <w:sz w:val="28"/>
          <w:szCs w:val="28"/>
        </w:rPr>
        <w:lastRenderedPageBreak/>
        <w:t>Obsah</w:t>
      </w:r>
    </w:p>
    <w:p w14:paraId="45C9F079" w14:textId="77777777" w:rsidR="00F23DF3" w:rsidRPr="00DD47DF" w:rsidRDefault="00F23DF3" w:rsidP="00300283">
      <w:pPr>
        <w:overflowPunct/>
        <w:autoSpaceDE/>
        <w:autoSpaceDN/>
        <w:adjustRightInd/>
        <w:spacing w:before="120" w:after="60"/>
        <w:textAlignment w:val="auto"/>
        <w:rPr>
          <w:rFonts w:ascii="Calibri" w:hAnsi="Calibri" w:cs="Calibri"/>
          <w:b/>
          <w:caps/>
          <w:sz w:val="28"/>
          <w:szCs w:val="28"/>
        </w:rPr>
      </w:pPr>
    </w:p>
    <w:p w14:paraId="412C22B9" w14:textId="77777777" w:rsidR="00AF6FE3" w:rsidRDefault="002756E7">
      <w:pPr>
        <w:pStyle w:val="Obsah1"/>
        <w:tabs>
          <w:tab w:val="left" w:pos="1320"/>
          <w:tab w:val="right" w:leader="dot" w:pos="9202"/>
        </w:tabs>
        <w:rPr>
          <w:rFonts w:asciiTheme="minorHAnsi" w:eastAsiaTheme="minorEastAsia" w:hAnsiTheme="minorHAnsi" w:cstheme="minorBidi"/>
          <w:b w:val="0"/>
          <w:noProof/>
          <w:sz w:val="22"/>
          <w:szCs w:val="22"/>
        </w:rPr>
      </w:pPr>
      <w:r w:rsidRPr="00DD47DF">
        <w:rPr>
          <w:rFonts w:cs="Calibri"/>
          <w:b w:val="0"/>
          <w:caps/>
          <w:sz w:val="28"/>
          <w:szCs w:val="28"/>
        </w:rPr>
        <w:fldChar w:fldCharType="begin"/>
      </w:r>
      <w:r w:rsidR="002E4CA7" w:rsidRPr="00DD47DF">
        <w:rPr>
          <w:rFonts w:cs="Calibri"/>
          <w:b w:val="0"/>
          <w:caps/>
          <w:sz w:val="28"/>
          <w:szCs w:val="28"/>
        </w:rPr>
        <w:instrText xml:space="preserve"> TOC \o "1-3" \h \z \u </w:instrText>
      </w:r>
      <w:r w:rsidRPr="00DD47DF">
        <w:rPr>
          <w:rFonts w:cs="Calibri"/>
          <w:b w:val="0"/>
          <w:caps/>
          <w:sz w:val="28"/>
          <w:szCs w:val="28"/>
        </w:rPr>
        <w:fldChar w:fldCharType="separate"/>
      </w:r>
      <w:hyperlink w:anchor="_Toc520445237" w:history="1">
        <w:r w:rsidR="00AF6FE3" w:rsidRPr="00966EA5">
          <w:rPr>
            <w:rStyle w:val="Hypertextovodkaz"/>
            <w:noProof/>
            <w:spacing w:val="20"/>
          </w:rPr>
          <w:t>ODDÍL 1</w:t>
        </w:r>
        <w:r w:rsidR="00AF6FE3">
          <w:rPr>
            <w:rFonts w:asciiTheme="minorHAnsi" w:eastAsiaTheme="minorEastAsia" w:hAnsiTheme="minorHAnsi" w:cstheme="minorBidi"/>
            <w:b w:val="0"/>
            <w:noProof/>
            <w:sz w:val="22"/>
            <w:szCs w:val="22"/>
          </w:rPr>
          <w:tab/>
        </w:r>
        <w:r w:rsidR="00AF6FE3" w:rsidRPr="00966EA5">
          <w:rPr>
            <w:rStyle w:val="Hypertextovodkaz"/>
            <w:noProof/>
          </w:rPr>
          <w:t>Strategie, na jejímž základě bude operační program přispívat ke strategii Unie pro inteligentní a udržitelný růst podporující začlenění a k dosažení hospodářské, sociální a územní soudržnosti</w:t>
        </w:r>
        <w:r w:rsidR="00AF6FE3">
          <w:rPr>
            <w:noProof/>
            <w:webHidden/>
          </w:rPr>
          <w:tab/>
        </w:r>
        <w:r w:rsidR="00AF6FE3">
          <w:rPr>
            <w:noProof/>
            <w:webHidden/>
          </w:rPr>
          <w:fldChar w:fldCharType="begin"/>
        </w:r>
        <w:r w:rsidR="00AF6FE3">
          <w:rPr>
            <w:noProof/>
            <w:webHidden/>
          </w:rPr>
          <w:instrText xml:space="preserve"> PAGEREF _Toc520445237 \h </w:instrText>
        </w:r>
        <w:r w:rsidR="00AF6FE3">
          <w:rPr>
            <w:noProof/>
            <w:webHidden/>
          </w:rPr>
        </w:r>
        <w:r w:rsidR="00AF6FE3">
          <w:rPr>
            <w:noProof/>
            <w:webHidden/>
          </w:rPr>
          <w:fldChar w:fldCharType="separate"/>
        </w:r>
        <w:r w:rsidR="00AF6FE3">
          <w:rPr>
            <w:noProof/>
            <w:webHidden/>
          </w:rPr>
          <w:t>12</w:t>
        </w:r>
        <w:r w:rsidR="00AF6FE3">
          <w:rPr>
            <w:noProof/>
            <w:webHidden/>
          </w:rPr>
          <w:fldChar w:fldCharType="end"/>
        </w:r>
      </w:hyperlink>
    </w:p>
    <w:p w14:paraId="553CFC7B" w14:textId="77777777" w:rsidR="00AF6FE3" w:rsidRDefault="00AF6FE3">
      <w:pPr>
        <w:pStyle w:val="Obsah2"/>
        <w:tabs>
          <w:tab w:val="left" w:pos="880"/>
          <w:tab w:val="right" w:leader="dot" w:pos="9202"/>
        </w:tabs>
        <w:rPr>
          <w:rFonts w:asciiTheme="minorHAnsi" w:eastAsiaTheme="minorEastAsia" w:hAnsiTheme="minorHAnsi" w:cstheme="minorBidi"/>
          <w:noProof/>
          <w:sz w:val="22"/>
          <w:szCs w:val="22"/>
        </w:rPr>
      </w:pPr>
      <w:hyperlink w:anchor="_Toc520445238" w:history="1">
        <w:r w:rsidRPr="00966EA5">
          <w:rPr>
            <w:rStyle w:val="Hypertextovodkaz"/>
            <w:rFonts w:cs="Calibri"/>
            <w:noProof/>
          </w:rPr>
          <w:t>1.1</w:t>
        </w:r>
        <w:r>
          <w:rPr>
            <w:rFonts w:asciiTheme="minorHAnsi" w:eastAsiaTheme="minorEastAsia" w:hAnsiTheme="minorHAnsi" w:cstheme="minorBidi"/>
            <w:noProof/>
            <w:sz w:val="22"/>
            <w:szCs w:val="22"/>
          </w:rPr>
          <w:tab/>
        </w:r>
        <w:r w:rsidRPr="00966EA5">
          <w:rPr>
            <w:rStyle w:val="Hypertextovodkaz"/>
            <w:rFonts w:cs="Calibri"/>
            <w:noProof/>
          </w:rPr>
          <w:t>Strategie, na jejímž základě bude operační program přispívat ke strategii Unie pro inteligentní a udržitelný růst podporující začlenění a k dosažení hospodářské, sociální a územní soudržnosti</w:t>
        </w:r>
        <w:r>
          <w:rPr>
            <w:noProof/>
            <w:webHidden/>
          </w:rPr>
          <w:tab/>
        </w:r>
        <w:r>
          <w:rPr>
            <w:noProof/>
            <w:webHidden/>
          </w:rPr>
          <w:fldChar w:fldCharType="begin"/>
        </w:r>
        <w:r>
          <w:rPr>
            <w:noProof/>
            <w:webHidden/>
          </w:rPr>
          <w:instrText xml:space="preserve"> PAGEREF _Toc520445238 \h </w:instrText>
        </w:r>
        <w:r>
          <w:rPr>
            <w:noProof/>
            <w:webHidden/>
          </w:rPr>
        </w:r>
        <w:r>
          <w:rPr>
            <w:noProof/>
            <w:webHidden/>
          </w:rPr>
          <w:fldChar w:fldCharType="separate"/>
        </w:r>
        <w:r>
          <w:rPr>
            <w:noProof/>
            <w:webHidden/>
          </w:rPr>
          <w:t>12</w:t>
        </w:r>
        <w:r>
          <w:rPr>
            <w:noProof/>
            <w:webHidden/>
          </w:rPr>
          <w:fldChar w:fldCharType="end"/>
        </w:r>
      </w:hyperlink>
    </w:p>
    <w:p w14:paraId="1FAEDC64" w14:textId="77777777" w:rsidR="00AF6FE3" w:rsidRDefault="00AF6FE3">
      <w:pPr>
        <w:pStyle w:val="Obsah3"/>
        <w:rPr>
          <w:rFonts w:asciiTheme="minorHAnsi" w:eastAsiaTheme="minorEastAsia" w:hAnsiTheme="minorHAnsi" w:cstheme="minorBidi"/>
          <w:i w:val="0"/>
          <w:sz w:val="22"/>
          <w:szCs w:val="22"/>
        </w:rPr>
      </w:pPr>
      <w:hyperlink w:anchor="_Toc520445239" w:history="1">
        <w:r w:rsidRPr="00966EA5">
          <w:rPr>
            <w:rStyle w:val="Hypertextovodkaz"/>
            <w:rFonts w:cs="Calibri"/>
          </w:rPr>
          <w:t>1.1.1</w:t>
        </w:r>
        <w:r>
          <w:rPr>
            <w:rFonts w:asciiTheme="minorHAnsi" w:eastAsiaTheme="minorEastAsia" w:hAnsiTheme="minorHAnsi" w:cstheme="minorBidi"/>
            <w:i w:val="0"/>
            <w:sz w:val="22"/>
            <w:szCs w:val="22"/>
          </w:rPr>
          <w:tab/>
        </w:r>
        <w:r w:rsidRPr="00966EA5">
          <w:rPr>
            <w:rStyle w:val="Hypertextovodkaz"/>
            <w:rFonts w:cs="Calibri"/>
          </w:rPr>
          <w:t>Popis strategie programu, pokud jde o jeho příspěvek k plnění strategie Unie pro inteligentní a udržitelný růst podporující začlenění a k dosažení hospodářské, sociální a územní soudržnosti.</w:t>
        </w:r>
        <w:r>
          <w:rPr>
            <w:webHidden/>
          </w:rPr>
          <w:tab/>
        </w:r>
        <w:r>
          <w:rPr>
            <w:webHidden/>
          </w:rPr>
          <w:fldChar w:fldCharType="begin"/>
        </w:r>
        <w:r>
          <w:rPr>
            <w:webHidden/>
          </w:rPr>
          <w:instrText xml:space="preserve"> PAGEREF _Toc520445239 \h </w:instrText>
        </w:r>
        <w:r>
          <w:rPr>
            <w:webHidden/>
          </w:rPr>
        </w:r>
        <w:r>
          <w:rPr>
            <w:webHidden/>
          </w:rPr>
          <w:fldChar w:fldCharType="separate"/>
        </w:r>
        <w:r>
          <w:rPr>
            <w:webHidden/>
          </w:rPr>
          <w:t>12</w:t>
        </w:r>
        <w:r>
          <w:rPr>
            <w:webHidden/>
          </w:rPr>
          <w:fldChar w:fldCharType="end"/>
        </w:r>
      </w:hyperlink>
    </w:p>
    <w:p w14:paraId="1249BCC7" w14:textId="77777777" w:rsidR="00AF6FE3" w:rsidRDefault="00AF6FE3">
      <w:pPr>
        <w:pStyle w:val="Obsah3"/>
        <w:rPr>
          <w:rFonts w:asciiTheme="minorHAnsi" w:eastAsiaTheme="minorEastAsia" w:hAnsiTheme="minorHAnsi" w:cstheme="minorBidi"/>
          <w:i w:val="0"/>
          <w:sz w:val="22"/>
          <w:szCs w:val="22"/>
        </w:rPr>
      </w:pPr>
      <w:hyperlink w:anchor="_Toc520445240" w:history="1">
        <w:r w:rsidRPr="00966EA5">
          <w:rPr>
            <w:rStyle w:val="Hypertextovodkaz"/>
            <w:rFonts w:cs="Calibri"/>
          </w:rPr>
          <w:t>1.1.2</w:t>
        </w:r>
        <w:r>
          <w:rPr>
            <w:rFonts w:asciiTheme="minorHAnsi" w:eastAsiaTheme="minorEastAsia" w:hAnsiTheme="minorHAnsi" w:cstheme="minorBidi"/>
            <w:i w:val="0"/>
            <w:sz w:val="22"/>
            <w:szCs w:val="22"/>
          </w:rPr>
          <w:tab/>
        </w:r>
        <w:r w:rsidRPr="00966EA5">
          <w:rPr>
            <w:rStyle w:val="Hypertextovodkaz"/>
            <w:rFonts w:cs="Calibri"/>
          </w:rPr>
          <w:t>Odůvodnění výběru tematických cílů a odpovídajících investičních priorit s ohledem na dohodu o partnerství na základě určení regionálních a případně vnitrostátních potřeb, včetně potřeby řešit výzvy vymezené v příslušných doporučeních pro jednotlivé země, které byly přijaty v souladu s čl. 121 odst. 2 SFEU a příslušnými doporučeními Rady přijatými v souladu s čl. 148 odst. 4 SFEU, s přihlédnutím k hodnocení ex ante.</w:t>
        </w:r>
        <w:r>
          <w:rPr>
            <w:webHidden/>
          </w:rPr>
          <w:tab/>
        </w:r>
        <w:r>
          <w:rPr>
            <w:webHidden/>
          </w:rPr>
          <w:fldChar w:fldCharType="begin"/>
        </w:r>
        <w:r>
          <w:rPr>
            <w:webHidden/>
          </w:rPr>
          <w:instrText xml:space="preserve"> PAGEREF _Toc520445240 \h </w:instrText>
        </w:r>
        <w:r>
          <w:rPr>
            <w:webHidden/>
          </w:rPr>
        </w:r>
        <w:r>
          <w:rPr>
            <w:webHidden/>
          </w:rPr>
          <w:fldChar w:fldCharType="separate"/>
        </w:r>
        <w:r>
          <w:rPr>
            <w:webHidden/>
          </w:rPr>
          <w:t>42</w:t>
        </w:r>
        <w:r>
          <w:rPr>
            <w:webHidden/>
          </w:rPr>
          <w:fldChar w:fldCharType="end"/>
        </w:r>
      </w:hyperlink>
    </w:p>
    <w:p w14:paraId="31DBC69B" w14:textId="77777777" w:rsidR="00AF6FE3" w:rsidRDefault="00AF6FE3">
      <w:pPr>
        <w:pStyle w:val="Obsah2"/>
        <w:tabs>
          <w:tab w:val="left" w:pos="880"/>
          <w:tab w:val="right" w:leader="dot" w:pos="9202"/>
        </w:tabs>
        <w:rPr>
          <w:rFonts w:asciiTheme="minorHAnsi" w:eastAsiaTheme="minorEastAsia" w:hAnsiTheme="minorHAnsi" w:cstheme="minorBidi"/>
          <w:noProof/>
          <w:sz w:val="22"/>
          <w:szCs w:val="22"/>
        </w:rPr>
      </w:pPr>
      <w:hyperlink w:anchor="_Toc520445241" w:history="1">
        <w:r w:rsidRPr="00966EA5">
          <w:rPr>
            <w:rStyle w:val="Hypertextovodkaz"/>
            <w:rFonts w:cs="Calibri"/>
            <w:noProof/>
          </w:rPr>
          <w:t>1.2</w:t>
        </w:r>
        <w:r>
          <w:rPr>
            <w:rFonts w:asciiTheme="minorHAnsi" w:eastAsiaTheme="minorEastAsia" w:hAnsiTheme="minorHAnsi" w:cstheme="minorBidi"/>
            <w:noProof/>
            <w:sz w:val="22"/>
            <w:szCs w:val="22"/>
          </w:rPr>
          <w:tab/>
        </w:r>
        <w:r w:rsidRPr="00966EA5">
          <w:rPr>
            <w:rStyle w:val="Hypertextovodkaz"/>
            <w:rFonts w:cs="Calibri"/>
            <w:noProof/>
          </w:rPr>
          <w:t>Odůvodnění přidělení finančních alokací</w:t>
        </w:r>
        <w:r>
          <w:rPr>
            <w:noProof/>
            <w:webHidden/>
          </w:rPr>
          <w:tab/>
        </w:r>
        <w:r>
          <w:rPr>
            <w:noProof/>
            <w:webHidden/>
          </w:rPr>
          <w:fldChar w:fldCharType="begin"/>
        </w:r>
        <w:r>
          <w:rPr>
            <w:noProof/>
            <w:webHidden/>
          </w:rPr>
          <w:instrText xml:space="preserve"> PAGEREF _Toc520445241 \h </w:instrText>
        </w:r>
        <w:r>
          <w:rPr>
            <w:noProof/>
            <w:webHidden/>
          </w:rPr>
        </w:r>
        <w:r>
          <w:rPr>
            <w:noProof/>
            <w:webHidden/>
          </w:rPr>
          <w:fldChar w:fldCharType="separate"/>
        </w:r>
        <w:r>
          <w:rPr>
            <w:noProof/>
            <w:webHidden/>
          </w:rPr>
          <w:t>49</w:t>
        </w:r>
        <w:r>
          <w:rPr>
            <w:noProof/>
            <w:webHidden/>
          </w:rPr>
          <w:fldChar w:fldCharType="end"/>
        </w:r>
      </w:hyperlink>
    </w:p>
    <w:p w14:paraId="575EF782" w14:textId="77777777" w:rsidR="00AF6FE3" w:rsidRDefault="00AF6FE3">
      <w:pPr>
        <w:pStyle w:val="Obsah1"/>
        <w:tabs>
          <w:tab w:val="left" w:pos="1320"/>
          <w:tab w:val="right" w:leader="dot" w:pos="9202"/>
        </w:tabs>
        <w:rPr>
          <w:rFonts w:asciiTheme="minorHAnsi" w:eastAsiaTheme="minorEastAsia" w:hAnsiTheme="minorHAnsi" w:cstheme="minorBidi"/>
          <w:b w:val="0"/>
          <w:noProof/>
          <w:sz w:val="22"/>
          <w:szCs w:val="22"/>
        </w:rPr>
      </w:pPr>
      <w:hyperlink w:anchor="_Toc520445242" w:history="1">
        <w:r w:rsidRPr="00966EA5">
          <w:rPr>
            <w:rStyle w:val="Hypertextovodkaz"/>
            <w:noProof/>
            <w:spacing w:val="20"/>
          </w:rPr>
          <w:t>ODDÍL 2</w:t>
        </w:r>
        <w:r>
          <w:rPr>
            <w:rFonts w:asciiTheme="minorHAnsi" w:eastAsiaTheme="minorEastAsia" w:hAnsiTheme="minorHAnsi" w:cstheme="minorBidi"/>
            <w:b w:val="0"/>
            <w:noProof/>
            <w:sz w:val="22"/>
            <w:szCs w:val="22"/>
          </w:rPr>
          <w:tab/>
        </w:r>
        <w:r w:rsidRPr="00966EA5">
          <w:rPr>
            <w:rStyle w:val="Hypertextovodkaz"/>
            <w:noProof/>
          </w:rPr>
          <w:t>Prioritní osy</w:t>
        </w:r>
        <w:r>
          <w:rPr>
            <w:noProof/>
            <w:webHidden/>
          </w:rPr>
          <w:tab/>
        </w:r>
        <w:r>
          <w:rPr>
            <w:noProof/>
            <w:webHidden/>
          </w:rPr>
          <w:fldChar w:fldCharType="begin"/>
        </w:r>
        <w:r>
          <w:rPr>
            <w:noProof/>
            <w:webHidden/>
          </w:rPr>
          <w:instrText xml:space="preserve"> PAGEREF _Toc520445242 \h </w:instrText>
        </w:r>
        <w:r>
          <w:rPr>
            <w:noProof/>
            <w:webHidden/>
          </w:rPr>
        </w:r>
        <w:r>
          <w:rPr>
            <w:noProof/>
            <w:webHidden/>
          </w:rPr>
          <w:fldChar w:fldCharType="separate"/>
        </w:r>
        <w:r>
          <w:rPr>
            <w:noProof/>
            <w:webHidden/>
          </w:rPr>
          <w:t>56</w:t>
        </w:r>
        <w:r>
          <w:rPr>
            <w:noProof/>
            <w:webHidden/>
          </w:rPr>
          <w:fldChar w:fldCharType="end"/>
        </w:r>
      </w:hyperlink>
    </w:p>
    <w:p w14:paraId="714A0FD7" w14:textId="77777777" w:rsidR="00AF6FE3" w:rsidRDefault="00AF6FE3">
      <w:pPr>
        <w:pStyle w:val="Obsah1"/>
        <w:tabs>
          <w:tab w:val="left" w:pos="600"/>
          <w:tab w:val="right" w:leader="dot" w:pos="9202"/>
        </w:tabs>
        <w:rPr>
          <w:rFonts w:asciiTheme="minorHAnsi" w:eastAsiaTheme="minorEastAsia" w:hAnsiTheme="minorHAnsi" w:cstheme="minorBidi"/>
          <w:b w:val="0"/>
          <w:noProof/>
          <w:sz w:val="22"/>
          <w:szCs w:val="22"/>
        </w:rPr>
      </w:pPr>
      <w:hyperlink w:anchor="_Toc520445243" w:history="1">
        <w:r w:rsidRPr="00966EA5">
          <w:rPr>
            <w:rStyle w:val="Hypertextovodkaz"/>
            <w:noProof/>
          </w:rPr>
          <w:t>2.A</w:t>
        </w:r>
        <w:r>
          <w:rPr>
            <w:rFonts w:asciiTheme="minorHAnsi" w:eastAsiaTheme="minorEastAsia" w:hAnsiTheme="minorHAnsi" w:cstheme="minorBidi"/>
            <w:b w:val="0"/>
            <w:noProof/>
            <w:sz w:val="22"/>
            <w:szCs w:val="22"/>
          </w:rPr>
          <w:tab/>
        </w:r>
        <w:r w:rsidRPr="00966EA5">
          <w:rPr>
            <w:rStyle w:val="Hypertextovodkaz"/>
            <w:noProof/>
          </w:rPr>
          <w:t>Popis prioritních os jiných než technická pomoc</w:t>
        </w:r>
        <w:r>
          <w:rPr>
            <w:noProof/>
            <w:webHidden/>
          </w:rPr>
          <w:tab/>
        </w:r>
        <w:r>
          <w:rPr>
            <w:noProof/>
            <w:webHidden/>
          </w:rPr>
          <w:fldChar w:fldCharType="begin"/>
        </w:r>
        <w:r>
          <w:rPr>
            <w:noProof/>
            <w:webHidden/>
          </w:rPr>
          <w:instrText xml:space="preserve"> PAGEREF _Toc520445243 \h </w:instrText>
        </w:r>
        <w:r>
          <w:rPr>
            <w:noProof/>
            <w:webHidden/>
          </w:rPr>
        </w:r>
        <w:r>
          <w:rPr>
            <w:noProof/>
            <w:webHidden/>
          </w:rPr>
          <w:fldChar w:fldCharType="separate"/>
        </w:r>
        <w:r>
          <w:rPr>
            <w:noProof/>
            <w:webHidden/>
          </w:rPr>
          <w:t>56</w:t>
        </w:r>
        <w:r>
          <w:rPr>
            <w:noProof/>
            <w:webHidden/>
          </w:rPr>
          <w:fldChar w:fldCharType="end"/>
        </w:r>
      </w:hyperlink>
    </w:p>
    <w:p w14:paraId="414E8E3C" w14:textId="77777777" w:rsidR="00AF6FE3" w:rsidRDefault="00AF6FE3">
      <w:pPr>
        <w:pStyle w:val="Obsah3"/>
        <w:rPr>
          <w:rFonts w:asciiTheme="minorHAnsi" w:eastAsiaTheme="minorEastAsia" w:hAnsiTheme="minorHAnsi" w:cstheme="minorBidi"/>
          <w:i w:val="0"/>
          <w:sz w:val="22"/>
          <w:szCs w:val="22"/>
        </w:rPr>
      </w:pPr>
      <w:hyperlink w:anchor="_Toc520445244" w:history="1">
        <w:r w:rsidRPr="00966EA5">
          <w:rPr>
            <w:rStyle w:val="Hypertextovodkaz"/>
          </w:rPr>
          <w:t>2.A.1</w:t>
        </w:r>
        <w:r>
          <w:rPr>
            <w:rFonts w:asciiTheme="minorHAnsi" w:eastAsiaTheme="minorEastAsia" w:hAnsiTheme="minorHAnsi" w:cstheme="minorBidi"/>
            <w:i w:val="0"/>
            <w:sz w:val="22"/>
            <w:szCs w:val="22"/>
          </w:rPr>
          <w:tab/>
        </w:r>
        <w:r w:rsidRPr="00966EA5">
          <w:rPr>
            <w:rStyle w:val="Hypertextovodkaz"/>
          </w:rPr>
          <w:t>PRIORITNÍ OSA 1: Rozvoj výzkumu a vývoje pro inovace</w:t>
        </w:r>
        <w:r>
          <w:rPr>
            <w:webHidden/>
          </w:rPr>
          <w:tab/>
        </w:r>
        <w:r>
          <w:rPr>
            <w:webHidden/>
          </w:rPr>
          <w:fldChar w:fldCharType="begin"/>
        </w:r>
        <w:r>
          <w:rPr>
            <w:webHidden/>
          </w:rPr>
          <w:instrText xml:space="preserve"> PAGEREF _Toc520445244 \h </w:instrText>
        </w:r>
        <w:r>
          <w:rPr>
            <w:webHidden/>
          </w:rPr>
        </w:r>
        <w:r>
          <w:rPr>
            <w:webHidden/>
          </w:rPr>
          <w:fldChar w:fldCharType="separate"/>
        </w:r>
        <w:r>
          <w:rPr>
            <w:webHidden/>
          </w:rPr>
          <w:t>56</w:t>
        </w:r>
        <w:r>
          <w:rPr>
            <w:webHidden/>
          </w:rPr>
          <w:fldChar w:fldCharType="end"/>
        </w:r>
      </w:hyperlink>
    </w:p>
    <w:p w14:paraId="7DB3799F" w14:textId="77777777" w:rsidR="00AF6FE3" w:rsidRDefault="00AF6FE3">
      <w:pPr>
        <w:pStyle w:val="Obsah3"/>
        <w:rPr>
          <w:rFonts w:asciiTheme="minorHAnsi" w:eastAsiaTheme="minorEastAsia" w:hAnsiTheme="minorHAnsi" w:cstheme="minorBidi"/>
          <w:i w:val="0"/>
          <w:sz w:val="22"/>
          <w:szCs w:val="22"/>
        </w:rPr>
      </w:pPr>
      <w:hyperlink w:anchor="_Toc520445245" w:history="1">
        <w:r w:rsidRPr="00966EA5">
          <w:rPr>
            <w:rStyle w:val="Hypertextovodkaz"/>
          </w:rPr>
          <w:t>2.A.2</w:t>
        </w:r>
        <w:r>
          <w:rPr>
            <w:rFonts w:asciiTheme="minorHAnsi" w:eastAsiaTheme="minorEastAsia" w:hAnsiTheme="minorHAnsi" w:cstheme="minorBidi"/>
            <w:i w:val="0"/>
            <w:sz w:val="22"/>
            <w:szCs w:val="22"/>
          </w:rPr>
          <w:tab/>
        </w:r>
        <w:r w:rsidRPr="00966EA5">
          <w:rPr>
            <w:rStyle w:val="Hypertextovodkaz"/>
          </w:rPr>
          <w:t>Odůvodnění pro vytvoření prioritní osy, která zahrnuje více než jednu kategorii regionů nebo více než jeden tematický cíl či fond (použije-li se)</w:t>
        </w:r>
        <w:r>
          <w:rPr>
            <w:webHidden/>
          </w:rPr>
          <w:tab/>
        </w:r>
        <w:r>
          <w:rPr>
            <w:webHidden/>
          </w:rPr>
          <w:fldChar w:fldCharType="begin"/>
        </w:r>
        <w:r>
          <w:rPr>
            <w:webHidden/>
          </w:rPr>
          <w:instrText xml:space="preserve"> PAGEREF _Toc520445245 \h </w:instrText>
        </w:r>
        <w:r>
          <w:rPr>
            <w:webHidden/>
          </w:rPr>
        </w:r>
        <w:r>
          <w:rPr>
            <w:webHidden/>
          </w:rPr>
          <w:fldChar w:fldCharType="separate"/>
        </w:r>
        <w:r>
          <w:rPr>
            <w:webHidden/>
          </w:rPr>
          <w:t>56</w:t>
        </w:r>
        <w:r>
          <w:rPr>
            <w:webHidden/>
          </w:rPr>
          <w:fldChar w:fldCharType="end"/>
        </w:r>
      </w:hyperlink>
    </w:p>
    <w:p w14:paraId="694DC331" w14:textId="77777777" w:rsidR="00AF6FE3" w:rsidRDefault="00AF6FE3">
      <w:pPr>
        <w:pStyle w:val="Obsah3"/>
        <w:rPr>
          <w:rFonts w:asciiTheme="minorHAnsi" w:eastAsiaTheme="minorEastAsia" w:hAnsiTheme="minorHAnsi" w:cstheme="minorBidi"/>
          <w:i w:val="0"/>
          <w:sz w:val="22"/>
          <w:szCs w:val="22"/>
        </w:rPr>
      </w:pPr>
      <w:hyperlink w:anchor="_Toc520445246" w:history="1">
        <w:r w:rsidRPr="00966EA5">
          <w:rPr>
            <w:rStyle w:val="Hypertextovodkaz"/>
          </w:rPr>
          <w:t>2.A.3</w:t>
        </w:r>
        <w:r>
          <w:rPr>
            <w:rFonts w:asciiTheme="minorHAnsi" w:eastAsiaTheme="minorEastAsia" w:hAnsiTheme="minorHAnsi" w:cstheme="minorBidi"/>
            <w:i w:val="0"/>
            <w:sz w:val="22"/>
            <w:szCs w:val="22"/>
          </w:rPr>
          <w:tab/>
        </w:r>
        <w:r w:rsidRPr="00966EA5">
          <w:rPr>
            <w:rStyle w:val="Hypertextovodkaz"/>
          </w:rPr>
          <w:t>Fond, kategorie regionů a základ pro výpočet podpory Unie</w:t>
        </w:r>
        <w:r>
          <w:rPr>
            <w:webHidden/>
          </w:rPr>
          <w:tab/>
        </w:r>
        <w:r>
          <w:rPr>
            <w:webHidden/>
          </w:rPr>
          <w:fldChar w:fldCharType="begin"/>
        </w:r>
        <w:r>
          <w:rPr>
            <w:webHidden/>
          </w:rPr>
          <w:instrText xml:space="preserve"> PAGEREF _Toc520445246 \h </w:instrText>
        </w:r>
        <w:r>
          <w:rPr>
            <w:webHidden/>
          </w:rPr>
        </w:r>
        <w:r>
          <w:rPr>
            <w:webHidden/>
          </w:rPr>
          <w:fldChar w:fldCharType="separate"/>
        </w:r>
        <w:r>
          <w:rPr>
            <w:webHidden/>
          </w:rPr>
          <w:t>56</w:t>
        </w:r>
        <w:r>
          <w:rPr>
            <w:webHidden/>
          </w:rPr>
          <w:fldChar w:fldCharType="end"/>
        </w:r>
      </w:hyperlink>
    </w:p>
    <w:p w14:paraId="67462782" w14:textId="77777777" w:rsidR="00AF6FE3" w:rsidRDefault="00AF6FE3">
      <w:pPr>
        <w:pStyle w:val="Obsah3"/>
        <w:rPr>
          <w:rFonts w:asciiTheme="minorHAnsi" w:eastAsiaTheme="minorEastAsia" w:hAnsiTheme="minorHAnsi" w:cstheme="minorBidi"/>
          <w:i w:val="0"/>
          <w:sz w:val="22"/>
          <w:szCs w:val="22"/>
        </w:rPr>
      </w:pPr>
      <w:hyperlink w:anchor="_Toc520445247" w:history="1">
        <w:r w:rsidRPr="00966EA5">
          <w:rPr>
            <w:rStyle w:val="Hypertextovodkaz"/>
          </w:rPr>
          <w:t>2.A.4</w:t>
        </w:r>
        <w:r>
          <w:rPr>
            <w:rFonts w:asciiTheme="minorHAnsi" w:eastAsiaTheme="minorEastAsia" w:hAnsiTheme="minorHAnsi" w:cstheme="minorBidi"/>
            <w:i w:val="0"/>
            <w:sz w:val="22"/>
            <w:szCs w:val="22"/>
          </w:rPr>
          <w:tab/>
        </w:r>
        <w:r w:rsidRPr="00966EA5">
          <w:rPr>
            <w:rStyle w:val="Hypertextovodkaz"/>
          </w:rPr>
          <w:t>INVESTIČNÍ PRIORITA 1 prioritní osy 1: Podpora podnikových investic do výzkumu a inovací a vytváření vazeb a součinnosti mezi podniky, středisky výzkumu a vývoje a odvětvím vysokoškolského vzdělávání, zejména podpora investic v oblasti vývoje produktů a služeb, přenosu technologií, sociálních inovací, ekologických inovací, aplikací veřejných služeb, stimulace poptávky, vytváření sítí, klastrů a otevřených inovací prostřednictvím inteligentní specializace a podpora technického a aplikovaného výzkumu, pilotních linek, opatření k včasnému ověřování produktů, schopností vyspělé výroby a prvovýroby, zejména v oblasti klíčových technologií a šíření technologií pro všeobecné použití</w:t>
        </w:r>
        <w:r>
          <w:rPr>
            <w:webHidden/>
          </w:rPr>
          <w:tab/>
        </w:r>
        <w:r>
          <w:rPr>
            <w:webHidden/>
          </w:rPr>
          <w:fldChar w:fldCharType="begin"/>
        </w:r>
        <w:r>
          <w:rPr>
            <w:webHidden/>
          </w:rPr>
          <w:instrText xml:space="preserve"> PAGEREF _Toc520445247 \h </w:instrText>
        </w:r>
        <w:r>
          <w:rPr>
            <w:webHidden/>
          </w:rPr>
        </w:r>
        <w:r>
          <w:rPr>
            <w:webHidden/>
          </w:rPr>
          <w:fldChar w:fldCharType="separate"/>
        </w:r>
        <w:r>
          <w:rPr>
            <w:webHidden/>
          </w:rPr>
          <w:t>56</w:t>
        </w:r>
        <w:r>
          <w:rPr>
            <w:webHidden/>
          </w:rPr>
          <w:fldChar w:fldCharType="end"/>
        </w:r>
      </w:hyperlink>
    </w:p>
    <w:p w14:paraId="096697F9" w14:textId="77777777" w:rsidR="00AF6FE3" w:rsidRDefault="00AF6FE3">
      <w:pPr>
        <w:pStyle w:val="Obsah3"/>
        <w:rPr>
          <w:rFonts w:asciiTheme="minorHAnsi" w:eastAsiaTheme="minorEastAsia" w:hAnsiTheme="minorHAnsi" w:cstheme="minorBidi"/>
          <w:i w:val="0"/>
          <w:sz w:val="22"/>
          <w:szCs w:val="22"/>
        </w:rPr>
      </w:pPr>
      <w:hyperlink w:anchor="_Toc520445248" w:history="1">
        <w:r w:rsidRPr="00966EA5">
          <w:rPr>
            <w:rStyle w:val="Hypertextovodkaz"/>
          </w:rPr>
          <w:t>2.A.5</w:t>
        </w:r>
        <w:r>
          <w:rPr>
            <w:rFonts w:asciiTheme="minorHAnsi" w:eastAsiaTheme="minorEastAsia" w:hAnsiTheme="minorHAnsi" w:cstheme="minorBidi"/>
            <w:i w:val="0"/>
            <w:sz w:val="22"/>
            <w:szCs w:val="22"/>
          </w:rPr>
          <w:tab/>
        </w:r>
        <w:r w:rsidRPr="00966EA5">
          <w:rPr>
            <w:rStyle w:val="Hypertextovodkaz"/>
          </w:rPr>
          <w:t>Specifické cíle odpovídající investiční prioritě a očekávané výsledky</w:t>
        </w:r>
        <w:r>
          <w:rPr>
            <w:webHidden/>
          </w:rPr>
          <w:tab/>
        </w:r>
        <w:r>
          <w:rPr>
            <w:webHidden/>
          </w:rPr>
          <w:fldChar w:fldCharType="begin"/>
        </w:r>
        <w:r>
          <w:rPr>
            <w:webHidden/>
          </w:rPr>
          <w:instrText xml:space="preserve"> PAGEREF _Toc520445248 \h </w:instrText>
        </w:r>
        <w:r>
          <w:rPr>
            <w:webHidden/>
          </w:rPr>
        </w:r>
        <w:r>
          <w:rPr>
            <w:webHidden/>
          </w:rPr>
          <w:fldChar w:fldCharType="separate"/>
        </w:r>
        <w:r>
          <w:rPr>
            <w:webHidden/>
          </w:rPr>
          <w:t>56</w:t>
        </w:r>
        <w:r>
          <w:rPr>
            <w:webHidden/>
          </w:rPr>
          <w:fldChar w:fldCharType="end"/>
        </w:r>
      </w:hyperlink>
    </w:p>
    <w:p w14:paraId="3FE0D498" w14:textId="77777777" w:rsidR="00AF6FE3" w:rsidRDefault="00AF6FE3">
      <w:pPr>
        <w:pStyle w:val="Obsah3"/>
        <w:rPr>
          <w:rFonts w:asciiTheme="minorHAnsi" w:eastAsiaTheme="minorEastAsia" w:hAnsiTheme="minorHAnsi" w:cstheme="minorBidi"/>
          <w:i w:val="0"/>
          <w:sz w:val="22"/>
          <w:szCs w:val="22"/>
        </w:rPr>
      </w:pPr>
      <w:hyperlink w:anchor="_Toc520445249" w:history="1">
        <w:r w:rsidRPr="00966EA5">
          <w:rPr>
            <w:rStyle w:val="Hypertextovodkaz"/>
          </w:rPr>
          <w:t>2.A.6</w:t>
        </w:r>
        <w:r>
          <w:rPr>
            <w:rFonts w:asciiTheme="minorHAnsi" w:eastAsiaTheme="minorEastAsia" w:hAnsiTheme="minorHAnsi" w:cstheme="minorBidi"/>
            <w:i w:val="0"/>
            <w:sz w:val="22"/>
            <w:szCs w:val="22"/>
          </w:rPr>
          <w:tab/>
        </w:r>
        <w:r w:rsidRPr="00966EA5">
          <w:rPr>
            <w:rStyle w:val="Hypertextovodkaz"/>
          </w:rPr>
          <w:t>Opatření, jež má být podpořeno v rámci investiční priority</w:t>
        </w:r>
        <w:r>
          <w:rPr>
            <w:webHidden/>
          </w:rPr>
          <w:tab/>
        </w:r>
        <w:r>
          <w:rPr>
            <w:webHidden/>
          </w:rPr>
          <w:fldChar w:fldCharType="begin"/>
        </w:r>
        <w:r>
          <w:rPr>
            <w:webHidden/>
          </w:rPr>
          <w:instrText xml:space="preserve"> PAGEREF _Toc520445249 \h </w:instrText>
        </w:r>
        <w:r>
          <w:rPr>
            <w:webHidden/>
          </w:rPr>
        </w:r>
        <w:r>
          <w:rPr>
            <w:webHidden/>
          </w:rPr>
          <w:fldChar w:fldCharType="separate"/>
        </w:r>
        <w:r>
          <w:rPr>
            <w:webHidden/>
          </w:rPr>
          <w:t>58</w:t>
        </w:r>
        <w:r>
          <w:rPr>
            <w:webHidden/>
          </w:rPr>
          <w:fldChar w:fldCharType="end"/>
        </w:r>
      </w:hyperlink>
    </w:p>
    <w:p w14:paraId="2F489A58" w14:textId="77777777" w:rsidR="00AF6FE3" w:rsidRDefault="00AF6FE3">
      <w:pPr>
        <w:pStyle w:val="Obsah3"/>
        <w:rPr>
          <w:rFonts w:asciiTheme="minorHAnsi" w:eastAsiaTheme="minorEastAsia" w:hAnsiTheme="minorHAnsi" w:cstheme="minorBidi"/>
          <w:i w:val="0"/>
          <w:sz w:val="22"/>
          <w:szCs w:val="22"/>
        </w:rPr>
      </w:pPr>
      <w:hyperlink w:anchor="_Toc520445250" w:history="1">
        <w:r w:rsidRPr="00966EA5">
          <w:rPr>
            <w:rStyle w:val="Hypertextovodkaz"/>
          </w:rPr>
          <w:t>2.A.5</w:t>
        </w:r>
        <w:r>
          <w:rPr>
            <w:rFonts w:asciiTheme="minorHAnsi" w:eastAsiaTheme="minorEastAsia" w:hAnsiTheme="minorHAnsi" w:cstheme="minorBidi"/>
            <w:i w:val="0"/>
            <w:sz w:val="22"/>
            <w:szCs w:val="22"/>
          </w:rPr>
          <w:tab/>
        </w:r>
        <w:r w:rsidRPr="00966EA5">
          <w:rPr>
            <w:rStyle w:val="Hypertextovodkaz"/>
          </w:rPr>
          <w:t>Specifické cíle odpovídající investiční prioritě a očekávané výsledky</w:t>
        </w:r>
        <w:r>
          <w:rPr>
            <w:webHidden/>
          </w:rPr>
          <w:tab/>
        </w:r>
        <w:r>
          <w:rPr>
            <w:webHidden/>
          </w:rPr>
          <w:fldChar w:fldCharType="begin"/>
        </w:r>
        <w:r>
          <w:rPr>
            <w:webHidden/>
          </w:rPr>
          <w:instrText xml:space="preserve"> PAGEREF _Toc520445250 \h </w:instrText>
        </w:r>
        <w:r>
          <w:rPr>
            <w:webHidden/>
          </w:rPr>
        </w:r>
        <w:r>
          <w:rPr>
            <w:webHidden/>
          </w:rPr>
          <w:fldChar w:fldCharType="separate"/>
        </w:r>
        <w:r>
          <w:rPr>
            <w:webHidden/>
          </w:rPr>
          <w:t>60</w:t>
        </w:r>
        <w:r>
          <w:rPr>
            <w:webHidden/>
          </w:rPr>
          <w:fldChar w:fldCharType="end"/>
        </w:r>
      </w:hyperlink>
    </w:p>
    <w:p w14:paraId="0F55F49E" w14:textId="77777777" w:rsidR="00AF6FE3" w:rsidRDefault="00AF6FE3">
      <w:pPr>
        <w:pStyle w:val="Obsah3"/>
        <w:rPr>
          <w:rFonts w:asciiTheme="minorHAnsi" w:eastAsiaTheme="minorEastAsia" w:hAnsiTheme="minorHAnsi" w:cstheme="minorBidi"/>
          <w:i w:val="0"/>
          <w:sz w:val="22"/>
          <w:szCs w:val="22"/>
        </w:rPr>
      </w:pPr>
      <w:hyperlink w:anchor="_Toc520445251" w:history="1">
        <w:r w:rsidRPr="00966EA5">
          <w:rPr>
            <w:rStyle w:val="Hypertextovodkaz"/>
          </w:rPr>
          <w:t>2.A.6</w:t>
        </w:r>
        <w:r>
          <w:rPr>
            <w:rFonts w:asciiTheme="minorHAnsi" w:eastAsiaTheme="minorEastAsia" w:hAnsiTheme="minorHAnsi" w:cstheme="minorBidi"/>
            <w:i w:val="0"/>
            <w:sz w:val="22"/>
            <w:szCs w:val="22"/>
          </w:rPr>
          <w:tab/>
        </w:r>
        <w:r w:rsidRPr="00966EA5">
          <w:rPr>
            <w:rStyle w:val="Hypertextovodkaz"/>
          </w:rPr>
          <w:t>Opatření, jež má být podpořeno v rámci investiční priority</w:t>
        </w:r>
        <w:r>
          <w:rPr>
            <w:webHidden/>
          </w:rPr>
          <w:tab/>
        </w:r>
        <w:r>
          <w:rPr>
            <w:webHidden/>
          </w:rPr>
          <w:fldChar w:fldCharType="begin"/>
        </w:r>
        <w:r>
          <w:rPr>
            <w:webHidden/>
          </w:rPr>
          <w:instrText xml:space="preserve"> PAGEREF _Toc520445251 \h </w:instrText>
        </w:r>
        <w:r>
          <w:rPr>
            <w:webHidden/>
          </w:rPr>
        </w:r>
        <w:r>
          <w:rPr>
            <w:webHidden/>
          </w:rPr>
          <w:fldChar w:fldCharType="separate"/>
        </w:r>
        <w:r>
          <w:rPr>
            <w:webHidden/>
          </w:rPr>
          <w:t>62</w:t>
        </w:r>
        <w:r>
          <w:rPr>
            <w:webHidden/>
          </w:rPr>
          <w:fldChar w:fldCharType="end"/>
        </w:r>
      </w:hyperlink>
    </w:p>
    <w:p w14:paraId="6F961249" w14:textId="77777777" w:rsidR="00AF6FE3" w:rsidRDefault="00AF6FE3">
      <w:pPr>
        <w:pStyle w:val="Obsah3"/>
        <w:rPr>
          <w:rFonts w:asciiTheme="minorHAnsi" w:eastAsiaTheme="minorEastAsia" w:hAnsiTheme="minorHAnsi" w:cstheme="minorBidi"/>
          <w:i w:val="0"/>
          <w:sz w:val="22"/>
          <w:szCs w:val="22"/>
        </w:rPr>
      </w:pPr>
      <w:hyperlink w:anchor="_Toc520445252" w:history="1">
        <w:r w:rsidRPr="00966EA5">
          <w:rPr>
            <w:rStyle w:val="Hypertextovodkaz"/>
          </w:rPr>
          <w:t>2.A.7</w:t>
        </w:r>
        <w:r>
          <w:rPr>
            <w:rFonts w:asciiTheme="minorHAnsi" w:eastAsiaTheme="minorEastAsia" w:hAnsiTheme="minorHAnsi" w:cstheme="minorBidi"/>
            <w:i w:val="0"/>
            <w:sz w:val="22"/>
            <w:szCs w:val="22"/>
          </w:rPr>
          <w:tab/>
        </w:r>
        <w:r w:rsidRPr="00966EA5">
          <w:rPr>
            <w:rStyle w:val="Hypertextovodkaz"/>
          </w:rPr>
          <w:t>Sociální inovace, nadnárodní spolupráce a přínos k tematickým cílům 1 až 7</w:t>
        </w:r>
        <w:r>
          <w:rPr>
            <w:webHidden/>
          </w:rPr>
          <w:tab/>
        </w:r>
        <w:r>
          <w:rPr>
            <w:webHidden/>
          </w:rPr>
          <w:fldChar w:fldCharType="begin"/>
        </w:r>
        <w:r>
          <w:rPr>
            <w:webHidden/>
          </w:rPr>
          <w:instrText xml:space="preserve"> PAGEREF _Toc520445252 \h </w:instrText>
        </w:r>
        <w:r>
          <w:rPr>
            <w:webHidden/>
          </w:rPr>
        </w:r>
        <w:r>
          <w:rPr>
            <w:webHidden/>
          </w:rPr>
          <w:fldChar w:fldCharType="separate"/>
        </w:r>
        <w:r>
          <w:rPr>
            <w:webHidden/>
          </w:rPr>
          <w:t>68</w:t>
        </w:r>
        <w:r>
          <w:rPr>
            <w:webHidden/>
          </w:rPr>
          <w:fldChar w:fldCharType="end"/>
        </w:r>
      </w:hyperlink>
    </w:p>
    <w:p w14:paraId="6B485FE5" w14:textId="77777777" w:rsidR="00AF6FE3" w:rsidRDefault="00AF6FE3">
      <w:pPr>
        <w:pStyle w:val="Obsah3"/>
        <w:rPr>
          <w:rFonts w:asciiTheme="minorHAnsi" w:eastAsiaTheme="minorEastAsia" w:hAnsiTheme="minorHAnsi" w:cstheme="minorBidi"/>
          <w:i w:val="0"/>
          <w:sz w:val="22"/>
          <w:szCs w:val="22"/>
        </w:rPr>
      </w:pPr>
      <w:hyperlink w:anchor="_Toc520445253" w:history="1">
        <w:r w:rsidRPr="00966EA5">
          <w:rPr>
            <w:rStyle w:val="Hypertextovodkaz"/>
          </w:rPr>
          <w:t>2.A.8</w:t>
        </w:r>
        <w:r>
          <w:rPr>
            <w:rFonts w:asciiTheme="minorHAnsi" w:eastAsiaTheme="minorEastAsia" w:hAnsiTheme="minorHAnsi" w:cstheme="minorBidi"/>
            <w:i w:val="0"/>
            <w:sz w:val="22"/>
            <w:szCs w:val="22"/>
          </w:rPr>
          <w:tab/>
        </w:r>
        <w:r w:rsidRPr="00966EA5">
          <w:rPr>
            <w:rStyle w:val="Hypertextovodkaz"/>
          </w:rPr>
          <w:t>Výkonnostní rámec</w:t>
        </w:r>
        <w:r>
          <w:rPr>
            <w:webHidden/>
          </w:rPr>
          <w:tab/>
        </w:r>
        <w:r>
          <w:rPr>
            <w:webHidden/>
          </w:rPr>
          <w:fldChar w:fldCharType="begin"/>
        </w:r>
        <w:r>
          <w:rPr>
            <w:webHidden/>
          </w:rPr>
          <w:instrText xml:space="preserve"> PAGEREF _Toc520445253 \h </w:instrText>
        </w:r>
        <w:r>
          <w:rPr>
            <w:webHidden/>
          </w:rPr>
        </w:r>
        <w:r>
          <w:rPr>
            <w:webHidden/>
          </w:rPr>
          <w:fldChar w:fldCharType="separate"/>
        </w:r>
        <w:r>
          <w:rPr>
            <w:webHidden/>
          </w:rPr>
          <w:t>69</w:t>
        </w:r>
        <w:r>
          <w:rPr>
            <w:webHidden/>
          </w:rPr>
          <w:fldChar w:fldCharType="end"/>
        </w:r>
      </w:hyperlink>
    </w:p>
    <w:p w14:paraId="5293CB40" w14:textId="77777777" w:rsidR="00AF6FE3" w:rsidRDefault="00AF6FE3">
      <w:pPr>
        <w:pStyle w:val="Obsah3"/>
        <w:rPr>
          <w:rFonts w:asciiTheme="minorHAnsi" w:eastAsiaTheme="minorEastAsia" w:hAnsiTheme="minorHAnsi" w:cstheme="minorBidi"/>
          <w:i w:val="0"/>
          <w:sz w:val="22"/>
          <w:szCs w:val="22"/>
        </w:rPr>
      </w:pPr>
      <w:hyperlink w:anchor="_Toc520445254" w:history="1">
        <w:r w:rsidRPr="00966EA5">
          <w:rPr>
            <w:rStyle w:val="Hypertextovodkaz"/>
          </w:rPr>
          <w:t>2.A.9</w:t>
        </w:r>
        <w:r>
          <w:rPr>
            <w:rFonts w:asciiTheme="minorHAnsi" w:eastAsiaTheme="minorEastAsia" w:hAnsiTheme="minorHAnsi" w:cstheme="minorBidi"/>
            <w:i w:val="0"/>
            <w:sz w:val="22"/>
            <w:szCs w:val="22"/>
          </w:rPr>
          <w:tab/>
        </w:r>
        <w:r w:rsidRPr="00966EA5">
          <w:rPr>
            <w:rStyle w:val="Hypertextovodkaz"/>
          </w:rPr>
          <w:t>Kategorie zásahů</w:t>
        </w:r>
        <w:r>
          <w:rPr>
            <w:webHidden/>
          </w:rPr>
          <w:tab/>
        </w:r>
        <w:r>
          <w:rPr>
            <w:webHidden/>
          </w:rPr>
          <w:fldChar w:fldCharType="begin"/>
        </w:r>
        <w:r>
          <w:rPr>
            <w:webHidden/>
          </w:rPr>
          <w:instrText xml:space="preserve"> PAGEREF _Toc520445254 \h </w:instrText>
        </w:r>
        <w:r>
          <w:rPr>
            <w:webHidden/>
          </w:rPr>
        </w:r>
        <w:r>
          <w:rPr>
            <w:webHidden/>
          </w:rPr>
          <w:fldChar w:fldCharType="separate"/>
        </w:r>
        <w:r>
          <w:rPr>
            <w:webHidden/>
          </w:rPr>
          <w:t>72</w:t>
        </w:r>
        <w:r>
          <w:rPr>
            <w:webHidden/>
          </w:rPr>
          <w:fldChar w:fldCharType="end"/>
        </w:r>
      </w:hyperlink>
    </w:p>
    <w:p w14:paraId="0AE94838" w14:textId="77777777" w:rsidR="00AF6FE3" w:rsidRDefault="00AF6FE3">
      <w:pPr>
        <w:pStyle w:val="Obsah3"/>
        <w:rPr>
          <w:rFonts w:asciiTheme="minorHAnsi" w:eastAsiaTheme="minorEastAsia" w:hAnsiTheme="minorHAnsi" w:cstheme="minorBidi"/>
          <w:i w:val="0"/>
          <w:sz w:val="22"/>
          <w:szCs w:val="22"/>
        </w:rPr>
      </w:pPr>
      <w:hyperlink w:anchor="_Toc520445255" w:history="1">
        <w:r w:rsidRPr="00966EA5">
          <w:rPr>
            <w:rStyle w:val="Hypertextovodkaz"/>
          </w:rPr>
          <w:t>2.A.10</w:t>
        </w:r>
        <w:r>
          <w:rPr>
            <w:rFonts w:asciiTheme="minorHAnsi" w:eastAsiaTheme="minorEastAsia" w:hAnsiTheme="minorHAnsi" w:cstheme="minorBidi"/>
            <w:i w:val="0"/>
            <w:sz w:val="22"/>
            <w:szCs w:val="22"/>
          </w:rPr>
          <w:tab/>
        </w:r>
        <w:r w:rsidRPr="00966EA5">
          <w:rPr>
            <w:rStyle w:val="Hypertextovodkaz"/>
          </w:rPr>
          <w:t>Přehled plánovaného využití technické pomoci, je-li to nutné, včetně opatření na posílení správní kapacity orgánů zapojených do řízení a kontroly programů a příjemců (použije-li se)</w:t>
        </w:r>
        <w:r>
          <w:rPr>
            <w:webHidden/>
          </w:rPr>
          <w:tab/>
        </w:r>
        <w:r>
          <w:rPr>
            <w:webHidden/>
          </w:rPr>
          <w:fldChar w:fldCharType="begin"/>
        </w:r>
        <w:r>
          <w:rPr>
            <w:webHidden/>
          </w:rPr>
          <w:instrText xml:space="preserve"> PAGEREF _Toc520445255 \h </w:instrText>
        </w:r>
        <w:r>
          <w:rPr>
            <w:webHidden/>
          </w:rPr>
        </w:r>
        <w:r>
          <w:rPr>
            <w:webHidden/>
          </w:rPr>
          <w:fldChar w:fldCharType="separate"/>
        </w:r>
        <w:r>
          <w:rPr>
            <w:webHidden/>
          </w:rPr>
          <w:t>72</w:t>
        </w:r>
        <w:r>
          <w:rPr>
            <w:webHidden/>
          </w:rPr>
          <w:fldChar w:fldCharType="end"/>
        </w:r>
      </w:hyperlink>
    </w:p>
    <w:p w14:paraId="32844A63" w14:textId="77777777" w:rsidR="00AF6FE3" w:rsidRDefault="00AF6FE3">
      <w:pPr>
        <w:pStyle w:val="Obsah3"/>
        <w:rPr>
          <w:rFonts w:asciiTheme="minorHAnsi" w:eastAsiaTheme="minorEastAsia" w:hAnsiTheme="minorHAnsi" w:cstheme="minorBidi"/>
          <w:i w:val="0"/>
          <w:sz w:val="22"/>
          <w:szCs w:val="22"/>
        </w:rPr>
      </w:pPr>
      <w:hyperlink w:anchor="_Toc520445256" w:history="1">
        <w:r w:rsidRPr="00966EA5">
          <w:rPr>
            <w:rStyle w:val="Hypertextovodkaz"/>
          </w:rPr>
          <w:t>2.A.1</w:t>
        </w:r>
        <w:r>
          <w:rPr>
            <w:rFonts w:asciiTheme="minorHAnsi" w:eastAsiaTheme="minorEastAsia" w:hAnsiTheme="minorHAnsi" w:cstheme="minorBidi"/>
            <w:i w:val="0"/>
            <w:sz w:val="22"/>
            <w:szCs w:val="22"/>
          </w:rPr>
          <w:tab/>
        </w:r>
        <w:r w:rsidRPr="00966EA5">
          <w:rPr>
            <w:rStyle w:val="Hypertextovodkaz"/>
          </w:rPr>
          <w:t>PRIORITNÍ OSA 2: Rozvoj podnikání a konkurenceschopnosti malých a středních podniků</w:t>
        </w:r>
        <w:r>
          <w:rPr>
            <w:webHidden/>
          </w:rPr>
          <w:tab/>
        </w:r>
        <w:r>
          <w:rPr>
            <w:webHidden/>
          </w:rPr>
          <w:fldChar w:fldCharType="begin"/>
        </w:r>
        <w:r>
          <w:rPr>
            <w:webHidden/>
          </w:rPr>
          <w:instrText xml:space="preserve"> PAGEREF _Toc520445256 \h </w:instrText>
        </w:r>
        <w:r>
          <w:rPr>
            <w:webHidden/>
          </w:rPr>
        </w:r>
        <w:r>
          <w:rPr>
            <w:webHidden/>
          </w:rPr>
          <w:fldChar w:fldCharType="separate"/>
        </w:r>
        <w:r>
          <w:rPr>
            <w:webHidden/>
          </w:rPr>
          <w:t>73</w:t>
        </w:r>
        <w:r>
          <w:rPr>
            <w:webHidden/>
          </w:rPr>
          <w:fldChar w:fldCharType="end"/>
        </w:r>
      </w:hyperlink>
    </w:p>
    <w:p w14:paraId="18267ABB" w14:textId="77777777" w:rsidR="00AF6FE3" w:rsidRDefault="00AF6FE3">
      <w:pPr>
        <w:pStyle w:val="Obsah3"/>
        <w:rPr>
          <w:rFonts w:asciiTheme="minorHAnsi" w:eastAsiaTheme="minorEastAsia" w:hAnsiTheme="minorHAnsi" w:cstheme="minorBidi"/>
          <w:i w:val="0"/>
          <w:sz w:val="22"/>
          <w:szCs w:val="22"/>
        </w:rPr>
      </w:pPr>
      <w:hyperlink w:anchor="_Toc520445257" w:history="1">
        <w:r w:rsidRPr="00966EA5">
          <w:rPr>
            <w:rStyle w:val="Hypertextovodkaz"/>
          </w:rPr>
          <w:t>2.A.2</w:t>
        </w:r>
        <w:r>
          <w:rPr>
            <w:rFonts w:asciiTheme="minorHAnsi" w:eastAsiaTheme="minorEastAsia" w:hAnsiTheme="minorHAnsi" w:cstheme="minorBidi"/>
            <w:i w:val="0"/>
            <w:sz w:val="22"/>
            <w:szCs w:val="22"/>
          </w:rPr>
          <w:tab/>
        </w:r>
        <w:r w:rsidRPr="00966EA5">
          <w:rPr>
            <w:rStyle w:val="Hypertextovodkaz"/>
          </w:rPr>
          <w:t>Odůvodnění pro vytvoření prioritní osy, která zahrnuje více než jednu kategorii regionů nebo více než jeden tematický cíl či fond (použije-li se)</w:t>
        </w:r>
        <w:r>
          <w:rPr>
            <w:webHidden/>
          </w:rPr>
          <w:tab/>
        </w:r>
        <w:r>
          <w:rPr>
            <w:webHidden/>
          </w:rPr>
          <w:fldChar w:fldCharType="begin"/>
        </w:r>
        <w:r>
          <w:rPr>
            <w:webHidden/>
          </w:rPr>
          <w:instrText xml:space="preserve"> PAGEREF _Toc520445257 \h </w:instrText>
        </w:r>
        <w:r>
          <w:rPr>
            <w:webHidden/>
          </w:rPr>
        </w:r>
        <w:r>
          <w:rPr>
            <w:webHidden/>
          </w:rPr>
          <w:fldChar w:fldCharType="separate"/>
        </w:r>
        <w:r>
          <w:rPr>
            <w:webHidden/>
          </w:rPr>
          <w:t>73</w:t>
        </w:r>
        <w:r>
          <w:rPr>
            <w:webHidden/>
          </w:rPr>
          <w:fldChar w:fldCharType="end"/>
        </w:r>
      </w:hyperlink>
    </w:p>
    <w:p w14:paraId="173F0558" w14:textId="77777777" w:rsidR="00AF6FE3" w:rsidRDefault="00AF6FE3">
      <w:pPr>
        <w:pStyle w:val="Obsah3"/>
        <w:rPr>
          <w:rFonts w:asciiTheme="minorHAnsi" w:eastAsiaTheme="minorEastAsia" w:hAnsiTheme="minorHAnsi" w:cstheme="minorBidi"/>
          <w:i w:val="0"/>
          <w:sz w:val="22"/>
          <w:szCs w:val="22"/>
        </w:rPr>
      </w:pPr>
      <w:hyperlink w:anchor="_Toc520445258" w:history="1">
        <w:r w:rsidRPr="00966EA5">
          <w:rPr>
            <w:rStyle w:val="Hypertextovodkaz"/>
          </w:rPr>
          <w:t>2.A.3</w:t>
        </w:r>
        <w:r>
          <w:rPr>
            <w:rFonts w:asciiTheme="minorHAnsi" w:eastAsiaTheme="minorEastAsia" w:hAnsiTheme="minorHAnsi" w:cstheme="minorBidi"/>
            <w:i w:val="0"/>
            <w:sz w:val="22"/>
            <w:szCs w:val="22"/>
          </w:rPr>
          <w:tab/>
        </w:r>
        <w:r w:rsidRPr="00966EA5">
          <w:rPr>
            <w:rStyle w:val="Hypertextovodkaz"/>
          </w:rPr>
          <w:t>Fond, kategorie regionů a základ pro výpočet podpory Unie</w:t>
        </w:r>
        <w:r>
          <w:rPr>
            <w:webHidden/>
          </w:rPr>
          <w:tab/>
        </w:r>
        <w:r>
          <w:rPr>
            <w:webHidden/>
          </w:rPr>
          <w:fldChar w:fldCharType="begin"/>
        </w:r>
        <w:r>
          <w:rPr>
            <w:webHidden/>
          </w:rPr>
          <w:instrText xml:space="preserve"> PAGEREF _Toc520445258 \h </w:instrText>
        </w:r>
        <w:r>
          <w:rPr>
            <w:webHidden/>
          </w:rPr>
        </w:r>
        <w:r>
          <w:rPr>
            <w:webHidden/>
          </w:rPr>
          <w:fldChar w:fldCharType="separate"/>
        </w:r>
        <w:r>
          <w:rPr>
            <w:webHidden/>
          </w:rPr>
          <w:t>73</w:t>
        </w:r>
        <w:r>
          <w:rPr>
            <w:webHidden/>
          </w:rPr>
          <w:fldChar w:fldCharType="end"/>
        </w:r>
      </w:hyperlink>
    </w:p>
    <w:p w14:paraId="67BCB74A" w14:textId="77777777" w:rsidR="00AF6FE3" w:rsidRDefault="00AF6FE3">
      <w:pPr>
        <w:pStyle w:val="Obsah3"/>
        <w:rPr>
          <w:rFonts w:asciiTheme="minorHAnsi" w:eastAsiaTheme="minorEastAsia" w:hAnsiTheme="minorHAnsi" w:cstheme="minorBidi"/>
          <w:i w:val="0"/>
          <w:sz w:val="22"/>
          <w:szCs w:val="22"/>
        </w:rPr>
      </w:pPr>
      <w:hyperlink w:anchor="_Toc520445259" w:history="1">
        <w:r w:rsidRPr="00966EA5">
          <w:rPr>
            <w:rStyle w:val="Hypertextovodkaz"/>
          </w:rPr>
          <w:t>2.A.4</w:t>
        </w:r>
        <w:r>
          <w:rPr>
            <w:rFonts w:asciiTheme="minorHAnsi" w:eastAsiaTheme="minorEastAsia" w:hAnsiTheme="minorHAnsi" w:cstheme="minorBidi"/>
            <w:i w:val="0"/>
            <w:sz w:val="22"/>
            <w:szCs w:val="22"/>
          </w:rPr>
          <w:tab/>
        </w:r>
        <w:r w:rsidRPr="00966EA5">
          <w:rPr>
            <w:rStyle w:val="Hypertextovodkaz"/>
          </w:rPr>
          <w:t>INVESTIČNÍ PRIORITA 1 prioritní osy 2: Podpora podnikání, zejména usnadněním hospodářského využívání nových myšlenek a podporou zakládání nových firem, mimo jiné prostřednictvím podnikatelských inkubátorů</w:t>
        </w:r>
        <w:r>
          <w:rPr>
            <w:webHidden/>
          </w:rPr>
          <w:tab/>
        </w:r>
        <w:r>
          <w:rPr>
            <w:webHidden/>
          </w:rPr>
          <w:fldChar w:fldCharType="begin"/>
        </w:r>
        <w:r>
          <w:rPr>
            <w:webHidden/>
          </w:rPr>
          <w:instrText xml:space="preserve"> PAGEREF _Toc520445259 \h </w:instrText>
        </w:r>
        <w:r>
          <w:rPr>
            <w:webHidden/>
          </w:rPr>
        </w:r>
        <w:r>
          <w:rPr>
            <w:webHidden/>
          </w:rPr>
          <w:fldChar w:fldCharType="separate"/>
        </w:r>
        <w:r>
          <w:rPr>
            <w:webHidden/>
          </w:rPr>
          <w:t>73</w:t>
        </w:r>
        <w:r>
          <w:rPr>
            <w:webHidden/>
          </w:rPr>
          <w:fldChar w:fldCharType="end"/>
        </w:r>
      </w:hyperlink>
    </w:p>
    <w:p w14:paraId="4DD0862C" w14:textId="77777777" w:rsidR="00AF6FE3" w:rsidRDefault="00AF6FE3">
      <w:pPr>
        <w:pStyle w:val="Obsah3"/>
        <w:rPr>
          <w:rFonts w:asciiTheme="minorHAnsi" w:eastAsiaTheme="minorEastAsia" w:hAnsiTheme="minorHAnsi" w:cstheme="minorBidi"/>
          <w:i w:val="0"/>
          <w:sz w:val="22"/>
          <w:szCs w:val="22"/>
        </w:rPr>
      </w:pPr>
      <w:hyperlink w:anchor="_Toc520445260" w:history="1">
        <w:r w:rsidRPr="00966EA5">
          <w:rPr>
            <w:rStyle w:val="Hypertextovodkaz"/>
          </w:rPr>
          <w:t>2.A.5</w:t>
        </w:r>
        <w:r>
          <w:rPr>
            <w:rFonts w:asciiTheme="minorHAnsi" w:eastAsiaTheme="minorEastAsia" w:hAnsiTheme="minorHAnsi" w:cstheme="minorBidi"/>
            <w:i w:val="0"/>
            <w:sz w:val="22"/>
            <w:szCs w:val="22"/>
          </w:rPr>
          <w:tab/>
        </w:r>
        <w:r w:rsidRPr="00966EA5">
          <w:rPr>
            <w:rStyle w:val="Hypertextovodkaz"/>
          </w:rPr>
          <w:t>Specifické cíle odpovídající investiční prioritě a očekávané výsledky</w:t>
        </w:r>
        <w:r>
          <w:rPr>
            <w:webHidden/>
          </w:rPr>
          <w:tab/>
        </w:r>
        <w:r>
          <w:rPr>
            <w:webHidden/>
          </w:rPr>
          <w:fldChar w:fldCharType="begin"/>
        </w:r>
        <w:r>
          <w:rPr>
            <w:webHidden/>
          </w:rPr>
          <w:instrText xml:space="preserve"> PAGEREF _Toc520445260 \h </w:instrText>
        </w:r>
        <w:r>
          <w:rPr>
            <w:webHidden/>
          </w:rPr>
        </w:r>
        <w:r>
          <w:rPr>
            <w:webHidden/>
          </w:rPr>
          <w:fldChar w:fldCharType="separate"/>
        </w:r>
        <w:r>
          <w:rPr>
            <w:webHidden/>
          </w:rPr>
          <w:t>73</w:t>
        </w:r>
        <w:r>
          <w:rPr>
            <w:webHidden/>
          </w:rPr>
          <w:fldChar w:fldCharType="end"/>
        </w:r>
      </w:hyperlink>
    </w:p>
    <w:p w14:paraId="53B81C3A" w14:textId="77777777" w:rsidR="00AF6FE3" w:rsidRDefault="00AF6FE3">
      <w:pPr>
        <w:pStyle w:val="Obsah3"/>
        <w:rPr>
          <w:rFonts w:asciiTheme="minorHAnsi" w:eastAsiaTheme="minorEastAsia" w:hAnsiTheme="minorHAnsi" w:cstheme="minorBidi"/>
          <w:i w:val="0"/>
          <w:sz w:val="22"/>
          <w:szCs w:val="22"/>
        </w:rPr>
      </w:pPr>
      <w:hyperlink w:anchor="_Toc520445261" w:history="1">
        <w:r w:rsidRPr="00966EA5">
          <w:rPr>
            <w:rStyle w:val="Hypertextovodkaz"/>
          </w:rPr>
          <w:t>2.A.6</w:t>
        </w:r>
        <w:r>
          <w:rPr>
            <w:rFonts w:asciiTheme="minorHAnsi" w:eastAsiaTheme="minorEastAsia" w:hAnsiTheme="minorHAnsi" w:cstheme="minorBidi"/>
            <w:i w:val="0"/>
            <w:sz w:val="22"/>
            <w:szCs w:val="22"/>
          </w:rPr>
          <w:tab/>
        </w:r>
        <w:r w:rsidRPr="00966EA5">
          <w:rPr>
            <w:rStyle w:val="Hypertextovodkaz"/>
          </w:rPr>
          <w:t>Opatření, jež má být podpořeno v rámci investiční priority</w:t>
        </w:r>
        <w:r>
          <w:rPr>
            <w:webHidden/>
          </w:rPr>
          <w:tab/>
        </w:r>
        <w:r>
          <w:rPr>
            <w:webHidden/>
          </w:rPr>
          <w:fldChar w:fldCharType="begin"/>
        </w:r>
        <w:r>
          <w:rPr>
            <w:webHidden/>
          </w:rPr>
          <w:instrText xml:space="preserve"> PAGEREF _Toc520445261 \h </w:instrText>
        </w:r>
        <w:r>
          <w:rPr>
            <w:webHidden/>
          </w:rPr>
        </w:r>
        <w:r>
          <w:rPr>
            <w:webHidden/>
          </w:rPr>
          <w:fldChar w:fldCharType="separate"/>
        </w:r>
        <w:r>
          <w:rPr>
            <w:webHidden/>
          </w:rPr>
          <w:t>74</w:t>
        </w:r>
        <w:r>
          <w:rPr>
            <w:webHidden/>
          </w:rPr>
          <w:fldChar w:fldCharType="end"/>
        </w:r>
      </w:hyperlink>
    </w:p>
    <w:p w14:paraId="591FB988" w14:textId="77777777" w:rsidR="00AF6FE3" w:rsidRDefault="00AF6FE3">
      <w:pPr>
        <w:pStyle w:val="Obsah3"/>
        <w:rPr>
          <w:rFonts w:asciiTheme="minorHAnsi" w:eastAsiaTheme="minorEastAsia" w:hAnsiTheme="minorHAnsi" w:cstheme="minorBidi"/>
          <w:i w:val="0"/>
          <w:sz w:val="22"/>
          <w:szCs w:val="22"/>
        </w:rPr>
      </w:pPr>
      <w:hyperlink w:anchor="_Toc520445262" w:history="1">
        <w:r w:rsidRPr="00966EA5">
          <w:rPr>
            <w:rStyle w:val="Hypertextovodkaz"/>
          </w:rPr>
          <w:t>2.A.4</w:t>
        </w:r>
        <w:r>
          <w:rPr>
            <w:rFonts w:asciiTheme="minorHAnsi" w:eastAsiaTheme="minorEastAsia" w:hAnsiTheme="minorHAnsi" w:cstheme="minorBidi"/>
            <w:i w:val="0"/>
            <w:sz w:val="22"/>
            <w:szCs w:val="22"/>
          </w:rPr>
          <w:tab/>
        </w:r>
        <w:r w:rsidRPr="00966EA5">
          <w:rPr>
            <w:rStyle w:val="Hypertextovodkaz"/>
          </w:rPr>
          <w:t>INVESTIČNÍ PRIORITA 2 prioritní osy 2: Vyvíjení a provádění nových obchodních modelů pro MSP, zejména pro oblast mezinárodního obchodu</w:t>
        </w:r>
        <w:r>
          <w:rPr>
            <w:webHidden/>
          </w:rPr>
          <w:tab/>
        </w:r>
        <w:r>
          <w:rPr>
            <w:webHidden/>
          </w:rPr>
          <w:fldChar w:fldCharType="begin"/>
        </w:r>
        <w:r>
          <w:rPr>
            <w:webHidden/>
          </w:rPr>
          <w:instrText xml:space="preserve"> PAGEREF _Toc520445262 \h </w:instrText>
        </w:r>
        <w:r>
          <w:rPr>
            <w:webHidden/>
          </w:rPr>
        </w:r>
        <w:r>
          <w:rPr>
            <w:webHidden/>
          </w:rPr>
          <w:fldChar w:fldCharType="separate"/>
        </w:r>
        <w:r>
          <w:rPr>
            <w:webHidden/>
          </w:rPr>
          <w:t>78</w:t>
        </w:r>
        <w:r>
          <w:rPr>
            <w:webHidden/>
          </w:rPr>
          <w:fldChar w:fldCharType="end"/>
        </w:r>
      </w:hyperlink>
    </w:p>
    <w:p w14:paraId="311D75CB" w14:textId="77777777" w:rsidR="00AF6FE3" w:rsidRDefault="00AF6FE3">
      <w:pPr>
        <w:pStyle w:val="Obsah3"/>
        <w:rPr>
          <w:rFonts w:asciiTheme="minorHAnsi" w:eastAsiaTheme="minorEastAsia" w:hAnsiTheme="minorHAnsi" w:cstheme="minorBidi"/>
          <w:i w:val="0"/>
          <w:sz w:val="22"/>
          <w:szCs w:val="22"/>
        </w:rPr>
      </w:pPr>
      <w:hyperlink w:anchor="_Toc520445263" w:history="1">
        <w:r w:rsidRPr="00966EA5">
          <w:rPr>
            <w:rStyle w:val="Hypertextovodkaz"/>
          </w:rPr>
          <w:t>2.A.5</w:t>
        </w:r>
        <w:r>
          <w:rPr>
            <w:rFonts w:asciiTheme="minorHAnsi" w:eastAsiaTheme="minorEastAsia" w:hAnsiTheme="minorHAnsi" w:cstheme="minorBidi"/>
            <w:i w:val="0"/>
            <w:sz w:val="22"/>
            <w:szCs w:val="22"/>
          </w:rPr>
          <w:tab/>
        </w:r>
        <w:r w:rsidRPr="00966EA5">
          <w:rPr>
            <w:rStyle w:val="Hypertextovodkaz"/>
          </w:rPr>
          <w:t>Specifické cíle odpovídající investiční prioritě a očekávané výsledky</w:t>
        </w:r>
        <w:r>
          <w:rPr>
            <w:webHidden/>
          </w:rPr>
          <w:tab/>
        </w:r>
        <w:r>
          <w:rPr>
            <w:webHidden/>
          </w:rPr>
          <w:fldChar w:fldCharType="begin"/>
        </w:r>
        <w:r>
          <w:rPr>
            <w:webHidden/>
          </w:rPr>
          <w:instrText xml:space="preserve"> PAGEREF _Toc520445263 \h </w:instrText>
        </w:r>
        <w:r>
          <w:rPr>
            <w:webHidden/>
          </w:rPr>
        </w:r>
        <w:r>
          <w:rPr>
            <w:webHidden/>
          </w:rPr>
          <w:fldChar w:fldCharType="separate"/>
        </w:r>
        <w:r>
          <w:rPr>
            <w:webHidden/>
          </w:rPr>
          <w:t>78</w:t>
        </w:r>
        <w:r>
          <w:rPr>
            <w:webHidden/>
          </w:rPr>
          <w:fldChar w:fldCharType="end"/>
        </w:r>
      </w:hyperlink>
    </w:p>
    <w:p w14:paraId="523CA8FD" w14:textId="77777777" w:rsidR="00AF6FE3" w:rsidRDefault="00AF6FE3">
      <w:pPr>
        <w:pStyle w:val="Obsah3"/>
        <w:rPr>
          <w:rFonts w:asciiTheme="minorHAnsi" w:eastAsiaTheme="minorEastAsia" w:hAnsiTheme="minorHAnsi" w:cstheme="minorBidi"/>
          <w:i w:val="0"/>
          <w:sz w:val="22"/>
          <w:szCs w:val="22"/>
        </w:rPr>
      </w:pPr>
      <w:hyperlink w:anchor="_Toc520445264" w:history="1">
        <w:r w:rsidRPr="00966EA5">
          <w:rPr>
            <w:rStyle w:val="Hypertextovodkaz"/>
          </w:rPr>
          <w:t>2.A.6</w:t>
        </w:r>
        <w:r>
          <w:rPr>
            <w:rFonts w:asciiTheme="minorHAnsi" w:eastAsiaTheme="minorEastAsia" w:hAnsiTheme="minorHAnsi" w:cstheme="minorBidi"/>
            <w:i w:val="0"/>
            <w:sz w:val="22"/>
            <w:szCs w:val="22"/>
          </w:rPr>
          <w:tab/>
        </w:r>
        <w:r w:rsidRPr="00966EA5">
          <w:rPr>
            <w:rStyle w:val="Hypertextovodkaz"/>
          </w:rPr>
          <w:t>Opatření, jež má být podpořeno v rámci investiční priority</w:t>
        </w:r>
        <w:r>
          <w:rPr>
            <w:webHidden/>
          </w:rPr>
          <w:tab/>
        </w:r>
        <w:r>
          <w:rPr>
            <w:webHidden/>
          </w:rPr>
          <w:fldChar w:fldCharType="begin"/>
        </w:r>
        <w:r>
          <w:rPr>
            <w:webHidden/>
          </w:rPr>
          <w:instrText xml:space="preserve"> PAGEREF _Toc520445264 \h </w:instrText>
        </w:r>
        <w:r>
          <w:rPr>
            <w:webHidden/>
          </w:rPr>
        </w:r>
        <w:r>
          <w:rPr>
            <w:webHidden/>
          </w:rPr>
          <w:fldChar w:fldCharType="separate"/>
        </w:r>
        <w:r>
          <w:rPr>
            <w:webHidden/>
          </w:rPr>
          <w:t>79</w:t>
        </w:r>
        <w:r>
          <w:rPr>
            <w:webHidden/>
          </w:rPr>
          <w:fldChar w:fldCharType="end"/>
        </w:r>
      </w:hyperlink>
    </w:p>
    <w:p w14:paraId="7C2BCD3F" w14:textId="77777777" w:rsidR="00AF6FE3" w:rsidRDefault="00AF6FE3">
      <w:pPr>
        <w:pStyle w:val="Obsah3"/>
        <w:rPr>
          <w:rFonts w:asciiTheme="minorHAnsi" w:eastAsiaTheme="minorEastAsia" w:hAnsiTheme="minorHAnsi" w:cstheme="minorBidi"/>
          <w:i w:val="0"/>
          <w:sz w:val="22"/>
          <w:szCs w:val="22"/>
        </w:rPr>
      </w:pPr>
      <w:hyperlink w:anchor="_Toc520445265" w:history="1">
        <w:r w:rsidRPr="00966EA5">
          <w:rPr>
            <w:rStyle w:val="Hypertextovodkaz"/>
          </w:rPr>
          <w:t>2.A.4</w:t>
        </w:r>
        <w:r>
          <w:rPr>
            <w:rFonts w:asciiTheme="minorHAnsi" w:eastAsiaTheme="minorEastAsia" w:hAnsiTheme="minorHAnsi" w:cstheme="minorBidi"/>
            <w:i w:val="0"/>
            <w:sz w:val="22"/>
            <w:szCs w:val="22"/>
          </w:rPr>
          <w:tab/>
        </w:r>
        <w:r w:rsidRPr="00966EA5">
          <w:rPr>
            <w:rStyle w:val="Hypertextovodkaz"/>
          </w:rPr>
          <w:t>INVESTIČNÍ PRIORITA 3 prioritní osy 2: Podpora vytváření a rozšiřování vyspělých kapacit pro rozvoj produktů a služeb</w:t>
        </w:r>
        <w:r>
          <w:rPr>
            <w:webHidden/>
          </w:rPr>
          <w:tab/>
        </w:r>
        <w:r>
          <w:rPr>
            <w:webHidden/>
          </w:rPr>
          <w:fldChar w:fldCharType="begin"/>
        </w:r>
        <w:r>
          <w:rPr>
            <w:webHidden/>
          </w:rPr>
          <w:instrText xml:space="preserve"> PAGEREF _Toc520445265 \h </w:instrText>
        </w:r>
        <w:r>
          <w:rPr>
            <w:webHidden/>
          </w:rPr>
        </w:r>
        <w:r>
          <w:rPr>
            <w:webHidden/>
          </w:rPr>
          <w:fldChar w:fldCharType="separate"/>
        </w:r>
        <w:r>
          <w:rPr>
            <w:webHidden/>
          </w:rPr>
          <w:t>82</w:t>
        </w:r>
        <w:r>
          <w:rPr>
            <w:webHidden/>
          </w:rPr>
          <w:fldChar w:fldCharType="end"/>
        </w:r>
      </w:hyperlink>
    </w:p>
    <w:p w14:paraId="376DD3D6" w14:textId="77777777" w:rsidR="00AF6FE3" w:rsidRDefault="00AF6FE3">
      <w:pPr>
        <w:pStyle w:val="Obsah3"/>
        <w:rPr>
          <w:rFonts w:asciiTheme="minorHAnsi" w:eastAsiaTheme="minorEastAsia" w:hAnsiTheme="minorHAnsi" w:cstheme="minorBidi"/>
          <w:i w:val="0"/>
          <w:sz w:val="22"/>
          <w:szCs w:val="22"/>
        </w:rPr>
      </w:pPr>
      <w:hyperlink w:anchor="_Toc520445266" w:history="1">
        <w:r w:rsidRPr="00966EA5">
          <w:rPr>
            <w:rStyle w:val="Hypertextovodkaz"/>
          </w:rPr>
          <w:t>2.A.5</w:t>
        </w:r>
        <w:r>
          <w:rPr>
            <w:rFonts w:asciiTheme="minorHAnsi" w:eastAsiaTheme="minorEastAsia" w:hAnsiTheme="minorHAnsi" w:cstheme="minorBidi"/>
            <w:i w:val="0"/>
            <w:sz w:val="22"/>
            <w:szCs w:val="22"/>
          </w:rPr>
          <w:tab/>
        </w:r>
        <w:r w:rsidRPr="00966EA5">
          <w:rPr>
            <w:rStyle w:val="Hypertextovodkaz"/>
          </w:rPr>
          <w:t>Specifické cíle odpovídající investiční prioritě a očekávané výsledky</w:t>
        </w:r>
        <w:r>
          <w:rPr>
            <w:webHidden/>
          </w:rPr>
          <w:tab/>
        </w:r>
        <w:r>
          <w:rPr>
            <w:webHidden/>
          </w:rPr>
          <w:fldChar w:fldCharType="begin"/>
        </w:r>
        <w:r>
          <w:rPr>
            <w:webHidden/>
          </w:rPr>
          <w:instrText xml:space="preserve"> PAGEREF _Toc520445266 \h </w:instrText>
        </w:r>
        <w:r>
          <w:rPr>
            <w:webHidden/>
          </w:rPr>
        </w:r>
        <w:r>
          <w:rPr>
            <w:webHidden/>
          </w:rPr>
          <w:fldChar w:fldCharType="separate"/>
        </w:r>
        <w:r>
          <w:rPr>
            <w:webHidden/>
          </w:rPr>
          <w:t>82</w:t>
        </w:r>
        <w:r>
          <w:rPr>
            <w:webHidden/>
          </w:rPr>
          <w:fldChar w:fldCharType="end"/>
        </w:r>
      </w:hyperlink>
    </w:p>
    <w:p w14:paraId="0B648C97" w14:textId="77777777" w:rsidR="00AF6FE3" w:rsidRDefault="00AF6FE3">
      <w:pPr>
        <w:pStyle w:val="Obsah3"/>
        <w:rPr>
          <w:rFonts w:asciiTheme="minorHAnsi" w:eastAsiaTheme="minorEastAsia" w:hAnsiTheme="minorHAnsi" w:cstheme="minorBidi"/>
          <w:i w:val="0"/>
          <w:sz w:val="22"/>
          <w:szCs w:val="22"/>
        </w:rPr>
      </w:pPr>
      <w:hyperlink w:anchor="_Toc520445267" w:history="1">
        <w:r w:rsidRPr="00966EA5">
          <w:rPr>
            <w:rStyle w:val="Hypertextovodkaz"/>
          </w:rPr>
          <w:t>2.A.6</w:t>
        </w:r>
        <w:r>
          <w:rPr>
            <w:rFonts w:asciiTheme="minorHAnsi" w:eastAsiaTheme="minorEastAsia" w:hAnsiTheme="minorHAnsi" w:cstheme="minorBidi"/>
            <w:i w:val="0"/>
            <w:sz w:val="22"/>
            <w:szCs w:val="22"/>
          </w:rPr>
          <w:tab/>
        </w:r>
        <w:r w:rsidRPr="00966EA5">
          <w:rPr>
            <w:rStyle w:val="Hypertextovodkaz"/>
          </w:rPr>
          <w:t>Opatření, jež má být podpořeno v rámci investiční priority</w:t>
        </w:r>
        <w:r>
          <w:rPr>
            <w:webHidden/>
          </w:rPr>
          <w:tab/>
        </w:r>
        <w:r>
          <w:rPr>
            <w:webHidden/>
          </w:rPr>
          <w:fldChar w:fldCharType="begin"/>
        </w:r>
        <w:r>
          <w:rPr>
            <w:webHidden/>
          </w:rPr>
          <w:instrText xml:space="preserve"> PAGEREF _Toc520445267 \h </w:instrText>
        </w:r>
        <w:r>
          <w:rPr>
            <w:webHidden/>
          </w:rPr>
        </w:r>
        <w:r>
          <w:rPr>
            <w:webHidden/>
          </w:rPr>
          <w:fldChar w:fldCharType="separate"/>
        </w:r>
        <w:r>
          <w:rPr>
            <w:webHidden/>
          </w:rPr>
          <w:t>83</w:t>
        </w:r>
        <w:r>
          <w:rPr>
            <w:webHidden/>
          </w:rPr>
          <w:fldChar w:fldCharType="end"/>
        </w:r>
      </w:hyperlink>
    </w:p>
    <w:p w14:paraId="2B723A26" w14:textId="77777777" w:rsidR="00AF6FE3" w:rsidRDefault="00AF6FE3">
      <w:pPr>
        <w:pStyle w:val="Obsah3"/>
        <w:rPr>
          <w:rFonts w:asciiTheme="minorHAnsi" w:eastAsiaTheme="minorEastAsia" w:hAnsiTheme="minorHAnsi" w:cstheme="minorBidi"/>
          <w:i w:val="0"/>
          <w:sz w:val="22"/>
          <w:szCs w:val="22"/>
        </w:rPr>
      </w:pPr>
      <w:hyperlink w:anchor="_Toc520445268" w:history="1">
        <w:r w:rsidRPr="00966EA5">
          <w:rPr>
            <w:rStyle w:val="Hypertextovodkaz"/>
          </w:rPr>
          <w:t>2.A.5</w:t>
        </w:r>
        <w:r>
          <w:rPr>
            <w:rFonts w:asciiTheme="minorHAnsi" w:eastAsiaTheme="minorEastAsia" w:hAnsiTheme="minorHAnsi" w:cstheme="minorBidi"/>
            <w:i w:val="0"/>
            <w:sz w:val="22"/>
            <w:szCs w:val="22"/>
          </w:rPr>
          <w:tab/>
        </w:r>
        <w:r w:rsidRPr="00966EA5">
          <w:rPr>
            <w:rStyle w:val="Hypertextovodkaz"/>
          </w:rPr>
          <w:t>Specifické cíle odpovídající investiční prioritě a očekávané výsledky</w:t>
        </w:r>
        <w:r>
          <w:rPr>
            <w:webHidden/>
          </w:rPr>
          <w:tab/>
        </w:r>
        <w:r>
          <w:rPr>
            <w:webHidden/>
          </w:rPr>
          <w:fldChar w:fldCharType="begin"/>
        </w:r>
        <w:r>
          <w:rPr>
            <w:webHidden/>
          </w:rPr>
          <w:instrText xml:space="preserve"> PAGEREF _Toc520445268 \h </w:instrText>
        </w:r>
        <w:r>
          <w:rPr>
            <w:webHidden/>
          </w:rPr>
        </w:r>
        <w:r>
          <w:rPr>
            <w:webHidden/>
          </w:rPr>
          <w:fldChar w:fldCharType="separate"/>
        </w:r>
        <w:r>
          <w:rPr>
            <w:webHidden/>
          </w:rPr>
          <w:t>84</w:t>
        </w:r>
        <w:r>
          <w:rPr>
            <w:webHidden/>
          </w:rPr>
          <w:fldChar w:fldCharType="end"/>
        </w:r>
      </w:hyperlink>
    </w:p>
    <w:p w14:paraId="582D8D9C" w14:textId="77777777" w:rsidR="00AF6FE3" w:rsidRDefault="00AF6FE3">
      <w:pPr>
        <w:pStyle w:val="Obsah3"/>
        <w:rPr>
          <w:rFonts w:asciiTheme="minorHAnsi" w:eastAsiaTheme="minorEastAsia" w:hAnsiTheme="minorHAnsi" w:cstheme="minorBidi"/>
          <w:i w:val="0"/>
          <w:sz w:val="22"/>
          <w:szCs w:val="22"/>
        </w:rPr>
      </w:pPr>
      <w:hyperlink w:anchor="_Toc520445269" w:history="1">
        <w:r w:rsidRPr="00966EA5">
          <w:rPr>
            <w:rStyle w:val="Hypertextovodkaz"/>
          </w:rPr>
          <w:t>2.A.6</w:t>
        </w:r>
        <w:r>
          <w:rPr>
            <w:rFonts w:asciiTheme="minorHAnsi" w:eastAsiaTheme="minorEastAsia" w:hAnsiTheme="minorHAnsi" w:cstheme="minorBidi"/>
            <w:i w:val="0"/>
            <w:sz w:val="22"/>
            <w:szCs w:val="22"/>
          </w:rPr>
          <w:tab/>
        </w:r>
        <w:r w:rsidRPr="00966EA5">
          <w:rPr>
            <w:rStyle w:val="Hypertextovodkaz"/>
          </w:rPr>
          <w:t>Opatření, jež má být podpořeno v rámci investiční priority</w:t>
        </w:r>
        <w:r>
          <w:rPr>
            <w:webHidden/>
          </w:rPr>
          <w:tab/>
        </w:r>
        <w:r>
          <w:rPr>
            <w:webHidden/>
          </w:rPr>
          <w:fldChar w:fldCharType="begin"/>
        </w:r>
        <w:r>
          <w:rPr>
            <w:webHidden/>
          </w:rPr>
          <w:instrText xml:space="preserve"> PAGEREF _Toc520445269 \h </w:instrText>
        </w:r>
        <w:r>
          <w:rPr>
            <w:webHidden/>
          </w:rPr>
        </w:r>
        <w:r>
          <w:rPr>
            <w:webHidden/>
          </w:rPr>
          <w:fldChar w:fldCharType="separate"/>
        </w:r>
        <w:r>
          <w:rPr>
            <w:webHidden/>
          </w:rPr>
          <w:t>86</w:t>
        </w:r>
        <w:r>
          <w:rPr>
            <w:webHidden/>
          </w:rPr>
          <w:fldChar w:fldCharType="end"/>
        </w:r>
      </w:hyperlink>
    </w:p>
    <w:p w14:paraId="669E7049" w14:textId="77777777" w:rsidR="00AF6FE3" w:rsidRDefault="00AF6FE3">
      <w:pPr>
        <w:pStyle w:val="Obsah3"/>
        <w:rPr>
          <w:rFonts w:asciiTheme="minorHAnsi" w:eastAsiaTheme="minorEastAsia" w:hAnsiTheme="minorHAnsi" w:cstheme="minorBidi"/>
          <w:i w:val="0"/>
          <w:sz w:val="22"/>
          <w:szCs w:val="22"/>
        </w:rPr>
      </w:pPr>
      <w:hyperlink w:anchor="_Toc520445270" w:history="1">
        <w:r w:rsidRPr="00966EA5">
          <w:rPr>
            <w:rStyle w:val="Hypertextovodkaz"/>
          </w:rPr>
          <w:t>2.A.7</w:t>
        </w:r>
        <w:r>
          <w:rPr>
            <w:rFonts w:asciiTheme="minorHAnsi" w:eastAsiaTheme="minorEastAsia" w:hAnsiTheme="minorHAnsi" w:cstheme="minorBidi"/>
            <w:i w:val="0"/>
            <w:sz w:val="22"/>
            <w:szCs w:val="22"/>
          </w:rPr>
          <w:tab/>
        </w:r>
        <w:r w:rsidRPr="00966EA5">
          <w:rPr>
            <w:rStyle w:val="Hypertextovodkaz"/>
          </w:rPr>
          <w:t>Sociální inovace, nadnárodní spolupráce a přínos k tematickým cílům 1 až 7</w:t>
        </w:r>
        <w:r>
          <w:rPr>
            <w:webHidden/>
          </w:rPr>
          <w:tab/>
        </w:r>
        <w:r>
          <w:rPr>
            <w:webHidden/>
          </w:rPr>
          <w:fldChar w:fldCharType="begin"/>
        </w:r>
        <w:r>
          <w:rPr>
            <w:webHidden/>
          </w:rPr>
          <w:instrText xml:space="preserve"> PAGEREF _Toc520445270 \h </w:instrText>
        </w:r>
        <w:r>
          <w:rPr>
            <w:webHidden/>
          </w:rPr>
        </w:r>
        <w:r>
          <w:rPr>
            <w:webHidden/>
          </w:rPr>
          <w:fldChar w:fldCharType="separate"/>
        </w:r>
        <w:r>
          <w:rPr>
            <w:webHidden/>
          </w:rPr>
          <w:t>89</w:t>
        </w:r>
        <w:r>
          <w:rPr>
            <w:webHidden/>
          </w:rPr>
          <w:fldChar w:fldCharType="end"/>
        </w:r>
      </w:hyperlink>
    </w:p>
    <w:p w14:paraId="67469FD2" w14:textId="77777777" w:rsidR="00AF6FE3" w:rsidRDefault="00AF6FE3">
      <w:pPr>
        <w:pStyle w:val="Obsah3"/>
        <w:rPr>
          <w:rFonts w:asciiTheme="minorHAnsi" w:eastAsiaTheme="minorEastAsia" w:hAnsiTheme="minorHAnsi" w:cstheme="minorBidi"/>
          <w:i w:val="0"/>
          <w:sz w:val="22"/>
          <w:szCs w:val="22"/>
        </w:rPr>
      </w:pPr>
      <w:hyperlink w:anchor="_Toc520445271" w:history="1">
        <w:r w:rsidRPr="00966EA5">
          <w:rPr>
            <w:rStyle w:val="Hypertextovodkaz"/>
          </w:rPr>
          <w:t>2.A.8</w:t>
        </w:r>
        <w:r>
          <w:rPr>
            <w:rFonts w:asciiTheme="minorHAnsi" w:eastAsiaTheme="minorEastAsia" w:hAnsiTheme="minorHAnsi" w:cstheme="minorBidi"/>
            <w:i w:val="0"/>
            <w:sz w:val="22"/>
            <w:szCs w:val="22"/>
          </w:rPr>
          <w:tab/>
        </w:r>
        <w:r w:rsidRPr="00966EA5">
          <w:rPr>
            <w:rStyle w:val="Hypertextovodkaz"/>
          </w:rPr>
          <w:t>Výkonnostní rámec</w:t>
        </w:r>
        <w:r>
          <w:rPr>
            <w:webHidden/>
          </w:rPr>
          <w:tab/>
        </w:r>
        <w:r>
          <w:rPr>
            <w:webHidden/>
          </w:rPr>
          <w:fldChar w:fldCharType="begin"/>
        </w:r>
        <w:r>
          <w:rPr>
            <w:webHidden/>
          </w:rPr>
          <w:instrText xml:space="preserve"> PAGEREF _Toc520445271 \h </w:instrText>
        </w:r>
        <w:r>
          <w:rPr>
            <w:webHidden/>
          </w:rPr>
        </w:r>
        <w:r>
          <w:rPr>
            <w:webHidden/>
          </w:rPr>
          <w:fldChar w:fldCharType="separate"/>
        </w:r>
        <w:r>
          <w:rPr>
            <w:webHidden/>
          </w:rPr>
          <w:t>90</w:t>
        </w:r>
        <w:r>
          <w:rPr>
            <w:webHidden/>
          </w:rPr>
          <w:fldChar w:fldCharType="end"/>
        </w:r>
      </w:hyperlink>
    </w:p>
    <w:p w14:paraId="1B6E2C6F" w14:textId="77777777" w:rsidR="00AF6FE3" w:rsidRDefault="00AF6FE3">
      <w:pPr>
        <w:pStyle w:val="Obsah3"/>
        <w:rPr>
          <w:rFonts w:asciiTheme="minorHAnsi" w:eastAsiaTheme="minorEastAsia" w:hAnsiTheme="minorHAnsi" w:cstheme="minorBidi"/>
          <w:i w:val="0"/>
          <w:sz w:val="22"/>
          <w:szCs w:val="22"/>
        </w:rPr>
      </w:pPr>
      <w:hyperlink w:anchor="_Toc520445272" w:history="1">
        <w:r w:rsidRPr="00966EA5">
          <w:rPr>
            <w:rStyle w:val="Hypertextovodkaz"/>
          </w:rPr>
          <w:t>2.A.9</w:t>
        </w:r>
        <w:r>
          <w:rPr>
            <w:rFonts w:asciiTheme="minorHAnsi" w:eastAsiaTheme="minorEastAsia" w:hAnsiTheme="minorHAnsi" w:cstheme="minorBidi"/>
            <w:i w:val="0"/>
            <w:sz w:val="22"/>
            <w:szCs w:val="22"/>
          </w:rPr>
          <w:tab/>
        </w:r>
        <w:r w:rsidRPr="00966EA5">
          <w:rPr>
            <w:rStyle w:val="Hypertextovodkaz"/>
          </w:rPr>
          <w:t>Kategorie zásahů</w:t>
        </w:r>
        <w:r>
          <w:rPr>
            <w:webHidden/>
          </w:rPr>
          <w:tab/>
        </w:r>
        <w:r>
          <w:rPr>
            <w:webHidden/>
          </w:rPr>
          <w:fldChar w:fldCharType="begin"/>
        </w:r>
        <w:r>
          <w:rPr>
            <w:webHidden/>
          </w:rPr>
          <w:instrText xml:space="preserve"> PAGEREF _Toc520445272 \h </w:instrText>
        </w:r>
        <w:r>
          <w:rPr>
            <w:webHidden/>
          </w:rPr>
        </w:r>
        <w:r>
          <w:rPr>
            <w:webHidden/>
          </w:rPr>
          <w:fldChar w:fldCharType="separate"/>
        </w:r>
        <w:r>
          <w:rPr>
            <w:webHidden/>
          </w:rPr>
          <w:t>93</w:t>
        </w:r>
        <w:r>
          <w:rPr>
            <w:webHidden/>
          </w:rPr>
          <w:fldChar w:fldCharType="end"/>
        </w:r>
      </w:hyperlink>
    </w:p>
    <w:p w14:paraId="6CAB5C70" w14:textId="77777777" w:rsidR="00AF6FE3" w:rsidRDefault="00AF6FE3">
      <w:pPr>
        <w:pStyle w:val="Obsah3"/>
        <w:rPr>
          <w:rFonts w:asciiTheme="minorHAnsi" w:eastAsiaTheme="minorEastAsia" w:hAnsiTheme="minorHAnsi" w:cstheme="minorBidi"/>
          <w:i w:val="0"/>
          <w:sz w:val="22"/>
          <w:szCs w:val="22"/>
        </w:rPr>
      </w:pPr>
      <w:hyperlink w:anchor="_Toc520445273" w:history="1">
        <w:r w:rsidRPr="00966EA5">
          <w:rPr>
            <w:rStyle w:val="Hypertextovodkaz"/>
          </w:rPr>
          <w:t>2.A.10</w:t>
        </w:r>
        <w:r>
          <w:rPr>
            <w:rFonts w:asciiTheme="minorHAnsi" w:eastAsiaTheme="minorEastAsia" w:hAnsiTheme="minorHAnsi" w:cstheme="minorBidi"/>
            <w:i w:val="0"/>
            <w:sz w:val="22"/>
            <w:szCs w:val="22"/>
          </w:rPr>
          <w:tab/>
        </w:r>
        <w:r w:rsidRPr="00966EA5">
          <w:rPr>
            <w:rStyle w:val="Hypertextovodkaz"/>
          </w:rPr>
          <w:t>Přehled plánovaného využití technické pomoci, je-li to nutné, včetně opatření na posílení správní kapacity orgánů zapojených do řízení a kontroly programů a příjemců (použije-li se)</w:t>
        </w:r>
        <w:r>
          <w:rPr>
            <w:webHidden/>
          </w:rPr>
          <w:tab/>
        </w:r>
        <w:r>
          <w:rPr>
            <w:webHidden/>
          </w:rPr>
          <w:fldChar w:fldCharType="begin"/>
        </w:r>
        <w:r>
          <w:rPr>
            <w:webHidden/>
          </w:rPr>
          <w:instrText xml:space="preserve"> PAGEREF _Toc520445273 \h </w:instrText>
        </w:r>
        <w:r>
          <w:rPr>
            <w:webHidden/>
          </w:rPr>
        </w:r>
        <w:r>
          <w:rPr>
            <w:webHidden/>
          </w:rPr>
          <w:fldChar w:fldCharType="separate"/>
        </w:r>
        <w:r>
          <w:rPr>
            <w:webHidden/>
          </w:rPr>
          <w:t>93</w:t>
        </w:r>
        <w:r>
          <w:rPr>
            <w:webHidden/>
          </w:rPr>
          <w:fldChar w:fldCharType="end"/>
        </w:r>
      </w:hyperlink>
    </w:p>
    <w:p w14:paraId="050624C9" w14:textId="77777777" w:rsidR="00AF6FE3" w:rsidRDefault="00AF6FE3">
      <w:pPr>
        <w:pStyle w:val="Obsah3"/>
        <w:rPr>
          <w:rFonts w:asciiTheme="minorHAnsi" w:eastAsiaTheme="minorEastAsia" w:hAnsiTheme="minorHAnsi" w:cstheme="minorBidi"/>
          <w:i w:val="0"/>
          <w:sz w:val="22"/>
          <w:szCs w:val="22"/>
        </w:rPr>
      </w:pPr>
      <w:hyperlink w:anchor="_Toc520445274" w:history="1">
        <w:r w:rsidRPr="00966EA5">
          <w:rPr>
            <w:rStyle w:val="Hypertextovodkaz"/>
          </w:rPr>
          <w:t>2.A.1</w:t>
        </w:r>
        <w:r>
          <w:rPr>
            <w:rFonts w:asciiTheme="minorHAnsi" w:eastAsiaTheme="minorEastAsia" w:hAnsiTheme="minorHAnsi" w:cstheme="minorBidi"/>
            <w:i w:val="0"/>
            <w:sz w:val="22"/>
            <w:szCs w:val="22"/>
          </w:rPr>
          <w:tab/>
        </w:r>
        <w:r w:rsidRPr="00966EA5">
          <w:rPr>
            <w:rStyle w:val="Hypertextovodkaz"/>
          </w:rPr>
          <w:t>PRIORITNÍ OSA 3: Účinné nakládání energií, rozvoj energetické infrastruktury a obnovitelných zdrojů energie, podpora zavádění nových technologií v oblasti nakládání energií a druhotných surovin</w:t>
        </w:r>
        <w:r>
          <w:rPr>
            <w:webHidden/>
          </w:rPr>
          <w:tab/>
        </w:r>
        <w:r>
          <w:rPr>
            <w:webHidden/>
          </w:rPr>
          <w:fldChar w:fldCharType="begin"/>
        </w:r>
        <w:r>
          <w:rPr>
            <w:webHidden/>
          </w:rPr>
          <w:instrText xml:space="preserve"> PAGEREF _Toc520445274 \h </w:instrText>
        </w:r>
        <w:r>
          <w:rPr>
            <w:webHidden/>
          </w:rPr>
        </w:r>
        <w:r>
          <w:rPr>
            <w:webHidden/>
          </w:rPr>
          <w:fldChar w:fldCharType="separate"/>
        </w:r>
        <w:r>
          <w:rPr>
            <w:webHidden/>
          </w:rPr>
          <w:t>94</w:t>
        </w:r>
        <w:r>
          <w:rPr>
            <w:webHidden/>
          </w:rPr>
          <w:fldChar w:fldCharType="end"/>
        </w:r>
      </w:hyperlink>
    </w:p>
    <w:p w14:paraId="57BDDC4E" w14:textId="77777777" w:rsidR="00AF6FE3" w:rsidRDefault="00AF6FE3">
      <w:pPr>
        <w:pStyle w:val="Obsah3"/>
        <w:rPr>
          <w:rFonts w:asciiTheme="minorHAnsi" w:eastAsiaTheme="minorEastAsia" w:hAnsiTheme="minorHAnsi" w:cstheme="minorBidi"/>
          <w:i w:val="0"/>
          <w:sz w:val="22"/>
          <w:szCs w:val="22"/>
        </w:rPr>
      </w:pPr>
      <w:hyperlink w:anchor="_Toc520445275" w:history="1">
        <w:r w:rsidRPr="00966EA5">
          <w:rPr>
            <w:rStyle w:val="Hypertextovodkaz"/>
          </w:rPr>
          <w:t>2.A.2</w:t>
        </w:r>
        <w:r>
          <w:rPr>
            <w:rFonts w:asciiTheme="minorHAnsi" w:eastAsiaTheme="minorEastAsia" w:hAnsiTheme="minorHAnsi" w:cstheme="minorBidi"/>
            <w:i w:val="0"/>
            <w:sz w:val="22"/>
            <w:szCs w:val="22"/>
          </w:rPr>
          <w:tab/>
        </w:r>
        <w:r w:rsidRPr="00966EA5">
          <w:rPr>
            <w:rStyle w:val="Hypertextovodkaz"/>
          </w:rPr>
          <w:t>Odůvodnění pro vytvoření prioritní osy, která zahrnuje více než jednu kategorii regionů nebo více než jeden tematický cíl či fond</w:t>
        </w:r>
        <w:r>
          <w:rPr>
            <w:webHidden/>
          </w:rPr>
          <w:tab/>
        </w:r>
        <w:r>
          <w:rPr>
            <w:webHidden/>
          </w:rPr>
          <w:fldChar w:fldCharType="begin"/>
        </w:r>
        <w:r>
          <w:rPr>
            <w:webHidden/>
          </w:rPr>
          <w:instrText xml:space="preserve"> PAGEREF _Toc520445275 \h </w:instrText>
        </w:r>
        <w:r>
          <w:rPr>
            <w:webHidden/>
          </w:rPr>
        </w:r>
        <w:r>
          <w:rPr>
            <w:webHidden/>
          </w:rPr>
          <w:fldChar w:fldCharType="separate"/>
        </w:r>
        <w:r>
          <w:rPr>
            <w:webHidden/>
          </w:rPr>
          <w:t>94</w:t>
        </w:r>
        <w:r>
          <w:rPr>
            <w:webHidden/>
          </w:rPr>
          <w:fldChar w:fldCharType="end"/>
        </w:r>
      </w:hyperlink>
    </w:p>
    <w:p w14:paraId="29B97966" w14:textId="77777777" w:rsidR="00AF6FE3" w:rsidRDefault="00AF6FE3">
      <w:pPr>
        <w:pStyle w:val="Obsah3"/>
        <w:rPr>
          <w:rFonts w:asciiTheme="minorHAnsi" w:eastAsiaTheme="minorEastAsia" w:hAnsiTheme="minorHAnsi" w:cstheme="minorBidi"/>
          <w:i w:val="0"/>
          <w:sz w:val="22"/>
          <w:szCs w:val="22"/>
        </w:rPr>
      </w:pPr>
      <w:hyperlink w:anchor="_Toc520445276" w:history="1">
        <w:r w:rsidRPr="00966EA5">
          <w:rPr>
            <w:rStyle w:val="Hypertextovodkaz"/>
          </w:rPr>
          <w:t>2.A.3</w:t>
        </w:r>
        <w:r>
          <w:rPr>
            <w:rFonts w:asciiTheme="minorHAnsi" w:eastAsiaTheme="minorEastAsia" w:hAnsiTheme="minorHAnsi" w:cstheme="minorBidi"/>
            <w:i w:val="0"/>
            <w:sz w:val="22"/>
            <w:szCs w:val="22"/>
          </w:rPr>
          <w:tab/>
        </w:r>
        <w:r w:rsidRPr="00966EA5">
          <w:rPr>
            <w:rStyle w:val="Hypertextovodkaz"/>
          </w:rPr>
          <w:t>Fond, kategorie regionů a základ pro výpočet podpory Unie</w:t>
        </w:r>
        <w:r>
          <w:rPr>
            <w:webHidden/>
          </w:rPr>
          <w:tab/>
        </w:r>
        <w:r>
          <w:rPr>
            <w:webHidden/>
          </w:rPr>
          <w:fldChar w:fldCharType="begin"/>
        </w:r>
        <w:r>
          <w:rPr>
            <w:webHidden/>
          </w:rPr>
          <w:instrText xml:space="preserve"> PAGEREF _Toc520445276 \h </w:instrText>
        </w:r>
        <w:r>
          <w:rPr>
            <w:webHidden/>
          </w:rPr>
        </w:r>
        <w:r>
          <w:rPr>
            <w:webHidden/>
          </w:rPr>
          <w:fldChar w:fldCharType="separate"/>
        </w:r>
        <w:r>
          <w:rPr>
            <w:webHidden/>
          </w:rPr>
          <w:t>94</w:t>
        </w:r>
        <w:r>
          <w:rPr>
            <w:webHidden/>
          </w:rPr>
          <w:fldChar w:fldCharType="end"/>
        </w:r>
      </w:hyperlink>
    </w:p>
    <w:p w14:paraId="4B730875" w14:textId="77777777" w:rsidR="00AF6FE3" w:rsidRDefault="00AF6FE3">
      <w:pPr>
        <w:pStyle w:val="Obsah3"/>
        <w:rPr>
          <w:rFonts w:asciiTheme="minorHAnsi" w:eastAsiaTheme="minorEastAsia" w:hAnsiTheme="minorHAnsi" w:cstheme="minorBidi"/>
          <w:i w:val="0"/>
          <w:sz w:val="22"/>
          <w:szCs w:val="22"/>
        </w:rPr>
      </w:pPr>
      <w:hyperlink w:anchor="_Toc520445277" w:history="1">
        <w:r w:rsidRPr="00966EA5">
          <w:rPr>
            <w:rStyle w:val="Hypertextovodkaz"/>
          </w:rPr>
          <w:t>2.A.4</w:t>
        </w:r>
        <w:r>
          <w:rPr>
            <w:rFonts w:asciiTheme="minorHAnsi" w:eastAsiaTheme="minorEastAsia" w:hAnsiTheme="minorHAnsi" w:cstheme="minorBidi"/>
            <w:i w:val="0"/>
            <w:sz w:val="22"/>
            <w:szCs w:val="22"/>
          </w:rPr>
          <w:tab/>
        </w:r>
        <w:r w:rsidRPr="00966EA5">
          <w:rPr>
            <w:rStyle w:val="Hypertextovodkaz"/>
          </w:rPr>
          <w:t>INVESTIČNÍ PRIORITA 1 prioritní osy 3: Podpora výroby a distribuce energie pocházející z obnovitelných zdrojů</w:t>
        </w:r>
        <w:r>
          <w:rPr>
            <w:webHidden/>
          </w:rPr>
          <w:tab/>
        </w:r>
        <w:r>
          <w:rPr>
            <w:webHidden/>
          </w:rPr>
          <w:fldChar w:fldCharType="begin"/>
        </w:r>
        <w:r>
          <w:rPr>
            <w:webHidden/>
          </w:rPr>
          <w:instrText xml:space="preserve"> PAGEREF _Toc520445277 \h </w:instrText>
        </w:r>
        <w:r>
          <w:rPr>
            <w:webHidden/>
          </w:rPr>
        </w:r>
        <w:r>
          <w:rPr>
            <w:webHidden/>
          </w:rPr>
          <w:fldChar w:fldCharType="separate"/>
        </w:r>
        <w:r>
          <w:rPr>
            <w:webHidden/>
          </w:rPr>
          <w:t>94</w:t>
        </w:r>
        <w:r>
          <w:rPr>
            <w:webHidden/>
          </w:rPr>
          <w:fldChar w:fldCharType="end"/>
        </w:r>
      </w:hyperlink>
    </w:p>
    <w:p w14:paraId="17185882" w14:textId="77777777" w:rsidR="00AF6FE3" w:rsidRDefault="00AF6FE3">
      <w:pPr>
        <w:pStyle w:val="Obsah3"/>
        <w:rPr>
          <w:rFonts w:asciiTheme="minorHAnsi" w:eastAsiaTheme="minorEastAsia" w:hAnsiTheme="minorHAnsi" w:cstheme="minorBidi"/>
          <w:i w:val="0"/>
          <w:sz w:val="22"/>
          <w:szCs w:val="22"/>
        </w:rPr>
      </w:pPr>
      <w:hyperlink w:anchor="_Toc520445278" w:history="1">
        <w:r w:rsidRPr="00966EA5">
          <w:rPr>
            <w:rStyle w:val="Hypertextovodkaz"/>
          </w:rPr>
          <w:t>2.A.5</w:t>
        </w:r>
        <w:r>
          <w:rPr>
            <w:rFonts w:asciiTheme="minorHAnsi" w:eastAsiaTheme="minorEastAsia" w:hAnsiTheme="minorHAnsi" w:cstheme="minorBidi"/>
            <w:i w:val="0"/>
            <w:sz w:val="22"/>
            <w:szCs w:val="22"/>
          </w:rPr>
          <w:tab/>
        </w:r>
        <w:r w:rsidRPr="00966EA5">
          <w:rPr>
            <w:rStyle w:val="Hypertextovodkaz"/>
          </w:rPr>
          <w:t>Specifické cíle odpovídající investiční prioritě a očekávané výsledky</w:t>
        </w:r>
        <w:r>
          <w:rPr>
            <w:webHidden/>
          </w:rPr>
          <w:tab/>
        </w:r>
        <w:r>
          <w:rPr>
            <w:webHidden/>
          </w:rPr>
          <w:fldChar w:fldCharType="begin"/>
        </w:r>
        <w:r>
          <w:rPr>
            <w:webHidden/>
          </w:rPr>
          <w:instrText xml:space="preserve"> PAGEREF _Toc520445278 \h </w:instrText>
        </w:r>
        <w:r>
          <w:rPr>
            <w:webHidden/>
          </w:rPr>
        </w:r>
        <w:r>
          <w:rPr>
            <w:webHidden/>
          </w:rPr>
          <w:fldChar w:fldCharType="separate"/>
        </w:r>
        <w:r>
          <w:rPr>
            <w:webHidden/>
          </w:rPr>
          <w:t>94</w:t>
        </w:r>
        <w:r>
          <w:rPr>
            <w:webHidden/>
          </w:rPr>
          <w:fldChar w:fldCharType="end"/>
        </w:r>
      </w:hyperlink>
    </w:p>
    <w:p w14:paraId="1C082B33" w14:textId="77777777" w:rsidR="00AF6FE3" w:rsidRDefault="00AF6FE3">
      <w:pPr>
        <w:pStyle w:val="Obsah3"/>
        <w:rPr>
          <w:rFonts w:asciiTheme="minorHAnsi" w:eastAsiaTheme="minorEastAsia" w:hAnsiTheme="minorHAnsi" w:cstheme="minorBidi"/>
          <w:i w:val="0"/>
          <w:sz w:val="22"/>
          <w:szCs w:val="22"/>
        </w:rPr>
      </w:pPr>
      <w:hyperlink w:anchor="_Toc520445279" w:history="1">
        <w:r w:rsidRPr="00966EA5">
          <w:rPr>
            <w:rStyle w:val="Hypertextovodkaz"/>
          </w:rPr>
          <w:t>2.A.6</w:t>
        </w:r>
        <w:r>
          <w:rPr>
            <w:rFonts w:asciiTheme="minorHAnsi" w:eastAsiaTheme="minorEastAsia" w:hAnsiTheme="minorHAnsi" w:cstheme="minorBidi"/>
            <w:i w:val="0"/>
            <w:sz w:val="22"/>
            <w:szCs w:val="22"/>
          </w:rPr>
          <w:tab/>
        </w:r>
        <w:r w:rsidRPr="00966EA5">
          <w:rPr>
            <w:rStyle w:val="Hypertextovodkaz"/>
          </w:rPr>
          <w:t>Opatření, jež má být podpořeno v rámci investiční priority</w:t>
        </w:r>
        <w:r>
          <w:rPr>
            <w:webHidden/>
          </w:rPr>
          <w:tab/>
        </w:r>
        <w:r>
          <w:rPr>
            <w:webHidden/>
          </w:rPr>
          <w:fldChar w:fldCharType="begin"/>
        </w:r>
        <w:r>
          <w:rPr>
            <w:webHidden/>
          </w:rPr>
          <w:instrText xml:space="preserve"> PAGEREF _Toc520445279 \h </w:instrText>
        </w:r>
        <w:r>
          <w:rPr>
            <w:webHidden/>
          </w:rPr>
        </w:r>
        <w:r>
          <w:rPr>
            <w:webHidden/>
          </w:rPr>
          <w:fldChar w:fldCharType="separate"/>
        </w:r>
        <w:r>
          <w:rPr>
            <w:webHidden/>
          </w:rPr>
          <w:t>95</w:t>
        </w:r>
        <w:r>
          <w:rPr>
            <w:webHidden/>
          </w:rPr>
          <w:fldChar w:fldCharType="end"/>
        </w:r>
      </w:hyperlink>
    </w:p>
    <w:p w14:paraId="006E114F" w14:textId="77777777" w:rsidR="00AF6FE3" w:rsidRDefault="00AF6FE3">
      <w:pPr>
        <w:pStyle w:val="Obsah3"/>
        <w:rPr>
          <w:rFonts w:asciiTheme="minorHAnsi" w:eastAsiaTheme="minorEastAsia" w:hAnsiTheme="minorHAnsi" w:cstheme="minorBidi"/>
          <w:i w:val="0"/>
          <w:sz w:val="22"/>
          <w:szCs w:val="22"/>
        </w:rPr>
      </w:pPr>
      <w:hyperlink w:anchor="_Toc520445280" w:history="1">
        <w:r w:rsidRPr="00966EA5">
          <w:rPr>
            <w:rStyle w:val="Hypertextovodkaz"/>
          </w:rPr>
          <w:t>2.A.4</w:t>
        </w:r>
        <w:r>
          <w:rPr>
            <w:rFonts w:asciiTheme="minorHAnsi" w:eastAsiaTheme="minorEastAsia" w:hAnsiTheme="minorHAnsi" w:cstheme="minorBidi"/>
            <w:i w:val="0"/>
            <w:sz w:val="22"/>
            <w:szCs w:val="22"/>
          </w:rPr>
          <w:tab/>
        </w:r>
        <w:r w:rsidRPr="00966EA5">
          <w:rPr>
            <w:rStyle w:val="Hypertextovodkaz"/>
          </w:rPr>
          <w:t>INVESTIČNÍ PRIORITA 2 prioritní osy 3: Podpora energetické účinnosti a využívání energie z obnovitelných zdrojů v podnicích</w:t>
        </w:r>
        <w:r>
          <w:rPr>
            <w:webHidden/>
          </w:rPr>
          <w:tab/>
        </w:r>
        <w:r>
          <w:rPr>
            <w:webHidden/>
          </w:rPr>
          <w:fldChar w:fldCharType="begin"/>
        </w:r>
        <w:r>
          <w:rPr>
            <w:webHidden/>
          </w:rPr>
          <w:instrText xml:space="preserve"> PAGEREF _Toc520445280 \h </w:instrText>
        </w:r>
        <w:r>
          <w:rPr>
            <w:webHidden/>
          </w:rPr>
        </w:r>
        <w:r>
          <w:rPr>
            <w:webHidden/>
          </w:rPr>
          <w:fldChar w:fldCharType="separate"/>
        </w:r>
        <w:r>
          <w:rPr>
            <w:webHidden/>
          </w:rPr>
          <w:t>99</w:t>
        </w:r>
        <w:r>
          <w:rPr>
            <w:webHidden/>
          </w:rPr>
          <w:fldChar w:fldCharType="end"/>
        </w:r>
      </w:hyperlink>
    </w:p>
    <w:p w14:paraId="199AA5A5" w14:textId="77777777" w:rsidR="00AF6FE3" w:rsidRDefault="00AF6FE3">
      <w:pPr>
        <w:pStyle w:val="Obsah3"/>
        <w:rPr>
          <w:rFonts w:asciiTheme="minorHAnsi" w:eastAsiaTheme="minorEastAsia" w:hAnsiTheme="minorHAnsi" w:cstheme="minorBidi"/>
          <w:i w:val="0"/>
          <w:sz w:val="22"/>
          <w:szCs w:val="22"/>
        </w:rPr>
      </w:pPr>
      <w:hyperlink w:anchor="_Toc520445281" w:history="1">
        <w:r w:rsidRPr="00966EA5">
          <w:rPr>
            <w:rStyle w:val="Hypertextovodkaz"/>
          </w:rPr>
          <w:t>2.A.5</w:t>
        </w:r>
        <w:r>
          <w:rPr>
            <w:rFonts w:asciiTheme="minorHAnsi" w:eastAsiaTheme="minorEastAsia" w:hAnsiTheme="minorHAnsi" w:cstheme="minorBidi"/>
            <w:i w:val="0"/>
            <w:sz w:val="22"/>
            <w:szCs w:val="22"/>
          </w:rPr>
          <w:tab/>
        </w:r>
        <w:r w:rsidRPr="00966EA5">
          <w:rPr>
            <w:rStyle w:val="Hypertextovodkaz"/>
          </w:rPr>
          <w:t>Specifické cíle odpovídající investiční prioritě a očekávané výsledky</w:t>
        </w:r>
        <w:r>
          <w:rPr>
            <w:webHidden/>
          </w:rPr>
          <w:tab/>
        </w:r>
        <w:r>
          <w:rPr>
            <w:webHidden/>
          </w:rPr>
          <w:fldChar w:fldCharType="begin"/>
        </w:r>
        <w:r>
          <w:rPr>
            <w:webHidden/>
          </w:rPr>
          <w:instrText xml:space="preserve"> PAGEREF _Toc520445281 \h </w:instrText>
        </w:r>
        <w:r>
          <w:rPr>
            <w:webHidden/>
          </w:rPr>
        </w:r>
        <w:r>
          <w:rPr>
            <w:webHidden/>
          </w:rPr>
          <w:fldChar w:fldCharType="separate"/>
        </w:r>
        <w:r>
          <w:rPr>
            <w:webHidden/>
          </w:rPr>
          <w:t>100</w:t>
        </w:r>
        <w:r>
          <w:rPr>
            <w:webHidden/>
          </w:rPr>
          <w:fldChar w:fldCharType="end"/>
        </w:r>
      </w:hyperlink>
    </w:p>
    <w:p w14:paraId="5CD16948" w14:textId="77777777" w:rsidR="00AF6FE3" w:rsidRDefault="00AF6FE3">
      <w:pPr>
        <w:pStyle w:val="Obsah3"/>
        <w:rPr>
          <w:rFonts w:asciiTheme="minorHAnsi" w:eastAsiaTheme="minorEastAsia" w:hAnsiTheme="minorHAnsi" w:cstheme="minorBidi"/>
          <w:i w:val="0"/>
          <w:sz w:val="22"/>
          <w:szCs w:val="22"/>
        </w:rPr>
      </w:pPr>
      <w:hyperlink w:anchor="_Toc520445282" w:history="1">
        <w:r w:rsidRPr="00966EA5">
          <w:rPr>
            <w:rStyle w:val="Hypertextovodkaz"/>
          </w:rPr>
          <w:t>2.A.6</w:t>
        </w:r>
        <w:r>
          <w:rPr>
            <w:rFonts w:asciiTheme="minorHAnsi" w:eastAsiaTheme="minorEastAsia" w:hAnsiTheme="minorHAnsi" w:cstheme="minorBidi"/>
            <w:i w:val="0"/>
            <w:sz w:val="22"/>
            <w:szCs w:val="22"/>
          </w:rPr>
          <w:tab/>
        </w:r>
        <w:r w:rsidRPr="00966EA5">
          <w:rPr>
            <w:rStyle w:val="Hypertextovodkaz"/>
          </w:rPr>
          <w:t>Opatření, jež má být podpořeno v rámci investiční priority</w:t>
        </w:r>
        <w:r>
          <w:rPr>
            <w:webHidden/>
          </w:rPr>
          <w:tab/>
        </w:r>
        <w:r>
          <w:rPr>
            <w:webHidden/>
          </w:rPr>
          <w:fldChar w:fldCharType="begin"/>
        </w:r>
        <w:r>
          <w:rPr>
            <w:webHidden/>
          </w:rPr>
          <w:instrText xml:space="preserve"> PAGEREF _Toc520445282 \h </w:instrText>
        </w:r>
        <w:r>
          <w:rPr>
            <w:webHidden/>
          </w:rPr>
        </w:r>
        <w:r>
          <w:rPr>
            <w:webHidden/>
          </w:rPr>
          <w:fldChar w:fldCharType="separate"/>
        </w:r>
        <w:r>
          <w:rPr>
            <w:webHidden/>
          </w:rPr>
          <w:t>101</w:t>
        </w:r>
        <w:r>
          <w:rPr>
            <w:webHidden/>
          </w:rPr>
          <w:fldChar w:fldCharType="end"/>
        </w:r>
      </w:hyperlink>
    </w:p>
    <w:p w14:paraId="68C0D94A" w14:textId="77777777" w:rsidR="00AF6FE3" w:rsidRDefault="00AF6FE3">
      <w:pPr>
        <w:pStyle w:val="Obsah3"/>
        <w:rPr>
          <w:rFonts w:asciiTheme="minorHAnsi" w:eastAsiaTheme="minorEastAsia" w:hAnsiTheme="minorHAnsi" w:cstheme="minorBidi"/>
          <w:i w:val="0"/>
          <w:sz w:val="22"/>
          <w:szCs w:val="22"/>
        </w:rPr>
      </w:pPr>
      <w:hyperlink w:anchor="_Toc520445283" w:history="1">
        <w:r w:rsidRPr="00966EA5">
          <w:rPr>
            <w:rStyle w:val="Hypertextovodkaz"/>
          </w:rPr>
          <w:t>2.A.4</w:t>
        </w:r>
        <w:r>
          <w:rPr>
            <w:rFonts w:asciiTheme="minorHAnsi" w:eastAsiaTheme="minorEastAsia" w:hAnsiTheme="minorHAnsi" w:cstheme="minorBidi"/>
            <w:i w:val="0"/>
            <w:sz w:val="22"/>
            <w:szCs w:val="22"/>
          </w:rPr>
          <w:tab/>
        </w:r>
        <w:r w:rsidRPr="00966EA5">
          <w:rPr>
            <w:rStyle w:val="Hypertextovodkaz"/>
          </w:rPr>
          <w:t>INVESTIČNÍ PRIORITA 3 prioritní osy 3: Rozvoj a zavádění inteligentních distribučních soustav, jež fungují na hladině nízkého a středního napětí</w:t>
        </w:r>
        <w:r>
          <w:rPr>
            <w:webHidden/>
          </w:rPr>
          <w:tab/>
        </w:r>
        <w:r>
          <w:rPr>
            <w:webHidden/>
          </w:rPr>
          <w:fldChar w:fldCharType="begin"/>
        </w:r>
        <w:r>
          <w:rPr>
            <w:webHidden/>
          </w:rPr>
          <w:instrText xml:space="preserve"> PAGEREF _Toc520445283 \h </w:instrText>
        </w:r>
        <w:r>
          <w:rPr>
            <w:webHidden/>
          </w:rPr>
        </w:r>
        <w:r>
          <w:rPr>
            <w:webHidden/>
          </w:rPr>
          <w:fldChar w:fldCharType="separate"/>
        </w:r>
        <w:r>
          <w:rPr>
            <w:webHidden/>
          </w:rPr>
          <w:t>108</w:t>
        </w:r>
        <w:r>
          <w:rPr>
            <w:webHidden/>
          </w:rPr>
          <w:fldChar w:fldCharType="end"/>
        </w:r>
      </w:hyperlink>
    </w:p>
    <w:p w14:paraId="495CE438" w14:textId="77777777" w:rsidR="00AF6FE3" w:rsidRDefault="00AF6FE3">
      <w:pPr>
        <w:pStyle w:val="Obsah3"/>
        <w:rPr>
          <w:rFonts w:asciiTheme="minorHAnsi" w:eastAsiaTheme="minorEastAsia" w:hAnsiTheme="minorHAnsi" w:cstheme="minorBidi"/>
          <w:i w:val="0"/>
          <w:sz w:val="22"/>
          <w:szCs w:val="22"/>
        </w:rPr>
      </w:pPr>
      <w:hyperlink w:anchor="_Toc520445284" w:history="1">
        <w:r w:rsidRPr="00966EA5">
          <w:rPr>
            <w:rStyle w:val="Hypertextovodkaz"/>
          </w:rPr>
          <w:t>2.A.5</w:t>
        </w:r>
        <w:r>
          <w:rPr>
            <w:rFonts w:asciiTheme="minorHAnsi" w:eastAsiaTheme="minorEastAsia" w:hAnsiTheme="minorHAnsi" w:cstheme="minorBidi"/>
            <w:i w:val="0"/>
            <w:sz w:val="22"/>
            <w:szCs w:val="22"/>
          </w:rPr>
          <w:tab/>
        </w:r>
        <w:r w:rsidRPr="00966EA5">
          <w:rPr>
            <w:rStyle w:val="Hypertextovodkaz"/>
          </w:rPr>
          <w:t>Specifické cíle odpovídající investiční prioritě a očekávané výsledky</w:t>
        </w:r>
        <w:r>
          <w:rPr>
            <w:webHidden/>
          </w:rPr>
          <w:tab/>
        </w:r>
        <w:r>
          <w:rPr>
            <w:webHidden/>
          </w:rPr>
          <w:fldChar w:fldCharType="begin"/>
        </w:r>
        <w:r>
          <w:rPr>
            <w:webHidden/>
          </w:rPr>
          <w:instrText xml:space="preserve"> PAGEREF _Toc520445284 \h </w:instrText>
        </w:r>
        <w:r>
          <w:rPr>
            <w:webHidden/>
          </w:rPr>
        </w:r>
        <w:r>
          <w:rPr>
            <w:webHidden/>
          </w:rPr>
          <w:fldChar w:fldCharType="separate"/>
        </w:r>
        <w:r>
          <w:rPr>
            <w:webHidden/>
          </w:rPr>
          <w:t>108</w:t>
        </w:r>
        <w:r>
          <w:rPr>
            <w:webHidden/>
          </w:rPr>
          <w:fldChar w:fldCharType="end"/>
        </w:r>
      </w:hyperlink>
    </w:p>
    <w:p w14:paraId="0BAC073F" w14:textId="77777777" w:rsidR="00AF6FE3" w:rsidRDefault="00AF6FE3">
      <w:pPr>
        <w:pStyle w:val="Obsah3"/>
        <w:rPr>
          <w:rFonts w:asciiTheme="minorHAnsi" w:eastAsiaTheme="minorEastAsia" w:hAnsiTheme="minorHAnsi" w:cstheme="minorBidi"/>
          <w:i w:val="0"/>
          <w:sz w:val="22"/>
          <w:szCs w:val="22"/>
        </w:rPr>
      </w:pPr>
      <w:hyperlink w:anchor="_Toc520445285" w:history="1">
        <w:r w:rsidRPr="00966EA5">
          <w:rPr>
            <w:rStyle w:val="Hypertextovodkaz"/>
          </w:rPr>
          <w:t>2.A.6</w:t>
        </w:r>
        <w:r>
          <w:rPr>
            <w:rFonts w:asciiTheme="minorHAnsi" w:eastAsiaTheme="minorEastAsia" w:hAnsiTheme="minorHAnsi" w:cstheme="minorBidi"/>
            <w:i w:val="0"/>
            <w:sz w:val="22"/>
            <w:szCs w:val="22"/>
          </w:rPr>
          <w:tab/>
        </w:r>
        <w:r w:rsidRPr="00966EA5">
          <w:rPr>
            <w:rStyle w:val="Hypertextovodkaz"/>
          </w:rPr>
          <w:t>Opatření, jež má být podpořeno v rámci investiční priority</w:t>
        </w:r>
        <w:r>
          <w:rPr>
            <w:webHidden/>
          </w:rPr>
          <w:tab/>
        </w:r>
        <w:r>
          <w:rPr>
            <w:webHidden/>
          </w:rPr>
          <w:fldChar w:fldCharType="begin"/>
        </w:r>
        <w:r>
          <w:rPr>
            <w:webHidden/>
          </w:rPr>
          <w:instrText xml:space="preserve"> PAGEREF _Toc520445285 \h </w:instrText>
        </w:r>
        <w:r>
          <w:rPr>
            <w:webHidden/>
          </w:rPr>
        </w:r>
        <w:r>
          <w:rPr>
            <w:webHidden/>
          </w:rPr>
          <w:fldChar w:fldCharType="separate"/>
        </w:r>
        <w:r>
          <w:rPr>
            <w:webHidden/>
          </w:rPr>
          <w:t>109</w:t>
        </w:r>
        <w:r>
          <w:rPr>
            <w:webHidden/>
          </w:rPr>
          <w:fldChar w:fldCharType="end"/>
        </w:r>
      </w:hyperlink>
    </w:p>
    <w:p w14:paraId="619EB9A0" w14:textId="77777777" w:rsidR="00AF6FE3" w:rsidRDefault="00AF6FE3">
      <w:pPr>
        <w:pStyle w:val="Obsah3"/>
        <w:rPr>
          <w:rFonts w:asciiTheme="minorHAnsi" w:eastAsiaTheme="minorEastAsia" w:hAnsiTheme="minorHAnsi" w:cstheme="minorBidi"/>
          <w:i w:val="0"/>
          <w:sz w:val="22"/>
          <w:szCs w:val="22"/>
        </w:rPr>
      </w:pPr>
      <w:hyperlink w:anchor="_Toc520445286" w:history="1">
        <w:r w:rsidRPr="00966EA5">
          <w:rPr>
            <w:rStyle w:val="Hypertextovodkaz"/>
          </w:rPr>
          <w:t>2.A.4</w:t>
        </w:r>
        <w:r>
          <w:rPr>
            <w:rFonts w:asciiTheme="minorHAnsi" w:eastAsiaTheme="minorEastAsia" w:hAnsiTheme="minorHAnsi" w:cstheme="minorBidi"/>
            <w:i w:val="0"/>
            <w:sz w:val="22"/>
            <w:szCs w:val="22"/>
          </w:rPr>
          <w:tab/>
        </w:r>
        <w:r w:rsidRPr="00966EA5">
          <w:rPr>
            <w:rStyle w:val="Hypertextovodkaz"/>
          </w:rPr>
          <w:t>INVESTIČNÍ PRIORITA 4 prioritní osy 3: Podpora výzkumu a inovací a zavádění nízkouhlíkových technologií</w:t>
        </w:r>
        <w:r>
          <w:rPr>
            <w:webHidden/>
          </w:rPr>
          <w:tab/>
        </w:r>
        <w:r>
          <w:rPr>
            <w:webHidden/>
          </w:rPr>
          <w:fldChar w:fldCharType="begin"/>
        </w:r>
        <w:r>
          <w:rPr>
            <w:webHidden/>
          </w:rPr>
          <w:instrText xml:space="preserve"> PAGEREF _Toc520445286 \h </w:instrText>
        </w:r>
        <w:r>
          <w:rPr>
            <w:webHidden/>
          </w:rPr>
        </w:r>
        <w:r>
          <w:rPr>
            <w:webHidden/>
          </w:rPr>
          <w:fldChar w:fldCharType="separate"/>
        </w:r>
        <w:r>
          <w:rPr>
            <w:webHidden/>
          </w:rPr>
          <w:t>112</w:t>
        </w:r>
        <w:r>
          <w:rPr>
            <w:webHidden/>
          </w:rPr>
          <w:fldChar w:fldCharType="end"/>
        </w:r>
      </w:hyperlink>
    </w:p>
    <w:p w14:paraId="214422BE" w14:textId="77777777" w:rsidR="00AF6FE3" w:rsidRDefault="00AF6FE3">
      <w:pPr>
        <w:pStyle w:val="Obsah3"/>
        <w:rPr>
          <w:rFonts w:asciiTheme="minorHAnsi" w:eastAsiaTheme="minorEastAsia" w:hAnsiTheme="minorHAnsi" w:cstheme="minorBidi"/>
          <w:i w:val="0"/>
          <w:sz w:val="22"/>
          <w:szCs w:val="22"/>
        </w:rPr>
      </w:pPr>
      <w:hyperlink w:anchor="_Toc520445287" w:history="1">
        <w:r w:rsidRPr="00966EA5">
          <w:rPr>
            <w:rStyle w:val="Hypertextovodkaz"/>
          </w:rPr>
          <w:t>2.A.5</w:t>
        </w:r>
        <w:r>
          <w:rPr>
            <w:rFonts w:asciiTheme="minorHAnsi" w:eastAsiaTheme="minorEastAsia" w:hAnsiTheme="minorHAnsi" w:cstheme="minorBidi"/>
            <w:i w:val="0"/>
            <w:sz w:val="22"/>
            <w:szCs w:val="22"/>
          </w:rPr>
          <w:tab/>
        </w:r>
        <w:r w:rsidRPr="00966EA5">
          <w:rPr>
            <w:rStyle w:val="Hypertextovodkaz"/>
          </w:rPr>
          <w:t>Specifické cíle odpovídající investiční prioritě a očekávané výsledky</w:t>
        </w:r>
        <w:r>
          <w:rPr>
            <w:webHidden/>
          </w:rPr>
          <w:tab/>
        </w:r>
        <w:r>
          <w:rPr>
            <w:webHidden/>
          </w:rPr>
          <w:fldChar w:fldCharType="begin"/>
        </w:r>
        <w:r>
          <w:rPr>
            <w:webHidden/>
          </w:rPr>
          <w:instrText xml:space="preserve"> PAGEREF _Toc520445287 \h </w:instrText>
        </w:r>
        <w:r>
          <w:rPr>
            <w:webHidden/>
          </w:rPr>
        </w:r>
        <w:r>
          <w:rPr>
            <w:webHidden/>
          </w:rPr>
          <w:fldChar w:fldCharType="separate"/>
        </w:r>
        <w:r>
          <w:rPr>
            <w:webHidden/>
          </w:rPr>
          <w:t>112</w:t>
        </w:r>
        <w:r>
          <w:rPr>
            <w:webHidden/>
          </w:rPr>
          <w:fldChar w:fldCharType="end"/>
        </w:r>
      </w:hyperlink>
    </w:p>
    <w:p w14:paraId="4DF590EA" w14:textId="77777777" w:rsidR="00AF6FE3" w:rsidRDefault="00AF6FE3">
      <w:pPr>
        <w:pStyle w:val="Obsah3"/>
        <w:rPr>
          <w:rFonts w:asciiTheme="minorHAnsi" w:eastAsiaTheme="minorEastAsia" w:hAnsiTheme="minorHAnsi" w:cstheme="minorBidi"/>
          <w:i w:val="0"/>
          <w:sz w:val="22"/>
          <w:szCs w:val="22"/>
        </w:rPr>
      </w:pPr>
      <w:hyperlink w:anchor="_Toc520445288" w:history="1">
        <w:r w:rsidRPr="00966EA5">
          <w:rPr>
            <w:rStyle w:val="Hypertextovodkaz"/>
          </w:rPr>
          <w:t>2.A.6</w:t>
        </w:r>
        <w:r>
          <w:rPr>
            <w:rFonts w:asciiTheme="minorHAnsi" w:eastAsiaTheme="minorEastAsia" w:hAnsiTheme="minorHAnsi" w:cstheme="minorBidi"/>
            <w:i w:val="0"/>
            <w:sz w:val="22"/>
            <w:szCs w:val="22"/>
          </w:rPr>
          <w:tab/>
        </w:r>
        <w:r w:rsidRPr="00966EA5">
          <w:rPr>
            <w:rStyle w:val="Hypertextovodkaz"/>
          </w:rPr>
          <w:t>Opatření, jež má být podpořeno v rámci investiční priority</w:t>
        </w:r>
        <w:r>
          <w:rPr>
            <w:webHidden/>
          </w:rPr>
          <w:tab/>
        </w:r>
        <w:r>
          <w:rPr>
            <w:webHidden/>
          </w:rPr>
          <w:fldChar w:fldCharType="begin"/>
        </w:r>
        <w:r>
          <w:rPr>
            <w:webHidden/>
          </w:rPr>
          <w:instrText xml:space="preserve"> PAGEREF _Toc520445288 \h </w:instrText>
        </w:r>
        <w:r>
          <w:rPr>
            <w:webHidden/>
          </w:rPr>
        </w:r>
        <w:r>
          <w:rPr>
            <w:webHidden/>
          </w:rPr>
          <w:fldChar w:fldCharType="separate"/>
        </w:r>
        <w:r>
          <w:rPr>
            <w:webHidden/>
          </w:rPr>
          <w:t>113</w:t>
        </w:r>
        <w:r>
          <w:rPr>
            <w:webHidden/>
          </w:rPr>
          <w:fldChar w:fldCharType="end"/>
        </w:r>
      </w:hyperlink>
    </w:p>
    <w:p w14:paraId="60C53C32" w14:textId="77777777" w:rsidR="00AF6FE3" w:rsidRDefault="00AF6FE3">
      <w:pPr>
        <w:pStyle w:val="Obsah3"/>
        <w:rPr>
          <w:rFonts w:asciiTheme="minorHAnsi" w:eastAsiaTheme="minorEastAsia" w:hAnsiTheme="minorHAnsi" w:cstheme="minorBidi"/>
          <w:i w:val="0"/>
          <w:sz w:val="22"/>
          <w:szCs w:val="22"/>
        </w:rPr>
      </w:pPr>
      <w:hyperlink w:anchor="_Toc520445289" w:history="1">
        <w:r w:rsidRPr="00966EA5">
          <w:rPr>
            <w:rStyle w:val="Hypertextovodkaz"/>
          </w:rPr>
          <w:t>2.A.4</w:t>
        </w:r>
        <w:r>
          <w:rPr>
            <w:rFonts w:asciiTheme="minorHAnsi" w:eastAsiaTheme="minorEastAsia" w:hAnsiTheme="minorHAnsi" w:cstheme="minorBidi"/>
            <w:i w:val="0"/>
            <w:sz w:val="22"/>
            <w:szCs w:val="22"/>
          </w:rPr>
          <w:tab/>
        </w:r>
        <w:r w:rsidRPr="00966EA5">
          <w:rPr>
            <w:rStyle w:val="Hypertextovodkaz"/>
          </w:rPr>
          <w:t>INVESTIČNÍ PRIORITA 5 prioritní osy 3: Podpora využívání vysoce účinné kombinované výroby tepla a elektřiny na základě poptávky po užitečném teple</w:t>
        </w:r>
        <w:r>
          <w:rPr>
            <w:webHidden/>
          </w:rPr>
          <w:tab/>
        </w:r>
        <w:r>
          <w:rPr>
            <w:webHidden/>
          </w:rPr>
          <w:fldChar w:fldCharType="begin"/>
        </w:r>
        <w:r>
          <w:rPr>
            <w:webHidden/>
          </w:rPr>
          <w:instrText xml:space="preserve"> PAGEREF _Toc520445289 \h </w:instrText>
        </w:r>
        <w:r>
          <w:rPr>
            <w:webHidden/>
          </w:rPr>
        </w:r>
        <w:r>
          <w:rPr>
            <w:webHidden/>
          </w:rPr>
          <w:fldChar w:fldCharType="separate"/>
        </w:r>
        <w:r>
          <w:rPr>
            <w:webHidden/>
          </w:rPr>
          <w:t>117</w:t>
        </w:r>
        <w:r>
          <w:rPr>
            <w:webHidden/>
          </w:rPr>
          <w:fldChar w:fldCharType="end"/>
        </w:r>
      </w:hyperlink>
    </w:p>
    <w:p w14:paraId="09A3262E" w14:textId="77777777" w:rsidR="00AF6FE3" w:rsidRDefault="00AF6FE3">
      <w:pPr>
        <w:pStyle w:val="Obsah3"/>
        <w:rPr>
          <w:rFonts w:asciiTheme="minorHAnsi" w:eastAsiaTheme="minorEastAsia" w:hAnsiTheme="minorHAnsi" w:cstheme="minorBidi"/>
          <w:i w:val="0"/>
          <w:sz w:val="22"/>
          <w:szCs w:val="22"/>
        </w:rPr>
      </w:pPr>
      <w:hyperlink w:anchor="_Toc520445290" w:history="1">
        <w:r w:rsidRPr="00966EA5">
          <w:rPr>
            <w:rStyle w:val="Hypertextovodkaz"/>
          </w:rPr>
          <w:t>2.A.5</w:t>
        </w:r>
        <w:r>
          <w:rPr>
            <w:rFonts w:asciiTheme="minorHAnsi" w:eastAsiaTheme="minorEastAsia" w:hAnsiTheme="minorHAnsi" w:cstheme="minorBidi"/>
            <w:i w:val="0"/>
            <w:sz w:val="22"/>
            <w:szCs w:val="22"/>
          </w:rPr>
          <w:tab/>
        </w:r>
        <w:r w:rsidRPr="00966EA5">
          <w:rPr>
            <w:rStyle w:val="Hypertextovodkaz"/>
          </w:rPr>
          <w:t>Specifické cíle odpovídající investiční prioritě a očekávané výsledky</w:t>
        </w:r>
        <w:r>
          <w:rPr>
            <w:webHidden/>
          </w:rPr>
          <w:tab/>
        </w:r>
        <w:r>
          <w:rPr>
            <w:webHidden/>
          </w:rPr>
          <w:fldChar w:fldCharType="begin"/>
        </w:r>
        <w:r>
          <w:rPr>
            <w:webHidden/>
          </w:rPr>
          <w:instrText xml:space="preserve"> PAGEREF _Toc520445290 \h </w:instrText>
        </w:r>
        <w:r>
          <w:rPr>
            <w:webHidden/>
          </w:rPr>
        </w:r>
        <w:r>
          <w:rPr>
            <w:webHidden/>
          </w:rPr>
          <w:fldChar w:fldCharType="separate"/>
        </w:r>
        <w:r>
          <w:rPr>
            <w:webHidden/>
          </w:rPr>
          <w:t>117</w:t>
        </w:r>
        <w:r>
          <w:rPr>
            <w:webHidden/>
          </w:rPr>
          <w:fldChar w:fldCharType="end"/>
        </w:r>
      </w:hyperlink>
    </w:p>
    <w:p w14:paraId="52FC6849" w14:textId="77777777" w:rsidR="00AF6FE3" w:rsidRDefault="00AF6FE3">
      <w:pPr>
        <w:pStyle w:val="Obsah3"/>
        <w:rPr>
          <w:rFonts w:asciiTheme="minorHAnsi" w:eastAsiaTheme="minorEastAsia" w:hAnsiTheme="minorHAnsi" w:cstheme="minorBidi"/>
          <w:i w:val="0"/>
          <w:sz w:val="22"/>
          <w:szCs w:val="22"/>
        </w:rPr>
      </w:pPr>
      <w:hyperlink w:anchor="_Toc520445291" w:history="1">
        <w:r w:rsidRPr="00966EA5">
          <w:rPr>
            <w:rStyle w:val="Hypertextovodkaz"/>
          </w:rPr>
          <w:t>2.A.6</w:t>
        </w:r>
        <w:r>
          <w:rPr>
            <w:rFonts w:asciiTheme="minorHAnsi" w:eastAsiaTheme="minorEastAsia" w:hAnsiTheme="minorHAnsi" w:cstheme="minorBidi"/>
            <w:i w:val="0"/>
            <w:sz w:val="22"/>
            <w:szCs w:val="22"/>
          </w:rPr>
          <w:tab/>
        </w:r>
        <w:r w:rsidRPr="00966EA5">
          <w:rPr>
            <w:rStyle w:val="Hypertextovodkaz"/>
          </w:rPr>
          <w:t>Opatření, jež má být podpořeno v rámci investiční priority</w:t>
        </w:r>
        <w:r>
          <w:rPr>
            <w:webHidden/>
          </w:rPr>
          <w:tab/>
        </w:r>
        <w:r>
          <w:rPr>
            <w:webHidden/>
          </w:rPr>
          <w:fldChar w:fldCharType="begin"/>
        </w:r>
        <w:r>
          <w:rPr>
            <w:webHidden/>
          </w:rPr>
          <w:instrText xml:space="preserve"> PAGEREF _Toc520445291 \h </w:instrText>
        </w:r>
        <w:r>
          <w:rPr>
            <w:webHidden/>
          </w:rPr>
        </w:r>
        <w:r>
          <w:rPr>
            <w:webHidden/>
          </w:rPr>
          <w:fldChar w:fldCharType="separate"/>
        </w:r>
        <w:r>
          <w:rPr>
            <w:webHidden/>
          </w:rPr>
          <w:t>118</w:t>
        </w:r>
        <w:r>
          <w:rPr>
            <w:webHidden/>
          </w:rPr>
          <w:fldChar w:fldCharType="end"/>
        </w:r>
      </w:hyperlink>
    </w:p>
    <w:p w14:paraId="38398D7D" w14:textId="77777777" w:rsidR="00AF6FE3" w:rsidRDefault="00AF6FE3">
      <w:pPr>
        <w:pStyle w:val="Obsah3"/>
        <w:rPr>
          <w:rFonts w:asciiTheme="minorHAnsi" w:eastAsiaTheme="minorEastAsia" w:hAnsiTheme="minorHAnsi" w:cstheme="minorBidi"/>
          <w:i w:val="0"/>
          <w:sz w:val="22"/>
          <w:szCs w:val="22"/>
        </w:rPr>
      </w:pPr>
      <w:hyperlink w:anchor="_Toc520445292" w:history="1">
        <w:r w:rsidRPr="00966EA5">
          <w:rPr>
            <w:rStyle w:val="Hypertextovodkaz"/>
          </w:rPr>
          <w:t>2.A.4</w:t>
        </w:r>
        <w:r>
          <w:rPr>
            <w:rFonts w:asciiTheme="minorHAnsi" w:eastAsiaTheme="minorEastAsia" w:hAnsiTheme="minorHAnsi" w:cstheme="minorBidi"/>
            <w:i w:val="0"/>
            <w:sz w:val="22"/>
            <w:szCs w:val="22"/>
          </w:rPr>
          <w:tab/>
        </w:r>
        <w:r w:rsidRPr="00966EA5">
          <w:rPr>
            <w:rStyle w:val="Hypertextovodkaz"/>
          </w:rPr>
          <w:t>INVESTIČNÍ PRIORITA 6 prioritní osy 3: Zvyšování energetické účinnosti a zabezpečení dodávek prostřednictvím rozvoje inteligentních systémů pro distribuci, skladování a přenos energie a prostřednictvím integrace distribuované výroby z obnovitelných zdrojů</w:t>
        </w:r>
        <w:r>
          <w:rPr>
            <w:webHidden/>
          </w:rPr>
          <w:tab/>
        </w:r>
        <w:r>
          <w:rPr>
            <w:webHidden/>
          </w:rPr>
          <w:fldChar w:fldCharType="begin"/>
        </w:r>
        <w:r>
          <w:rPr>
            <w:webHidden/>
          </w:rPr>
          <w:instrText xml:space="preserve"> PAGEREF _Toc520445292 \h </w:instrText>
        </w:r>
        <w:r>
          <w:rPr>
            <w:webHidden/>
          </w:rPr>
        </w:r>
        <w:r>
          <w:rPr>
            <w:webHidden/>
          </w:rPr>
          <w:fldChar w:fldCharType="separate"/>
        </w:r>
        <w:r>
          <w:rPr>
            <w:webHidden/>
          </w:rPr>
          <w:t>123</w:t>
        </w:r>
        <w:r>
          <w:rPr>
            <w:webHidden/>
          </w:rPr>
          <w:fldChar w:fldCharType="end"/>
        </w:r>
      </w:hyperlink>
    </w:p>
    <w:p w14:paraId="12F5CD81" w14:textId="77777777" w:rsidR="00AF6FE3" w:rsidRDefault="00AF6FE3">
      <w:pPr>
        <w:pStyle w:val="Obsah3"/>
        <w:rPr>
          <w:rFonts w:asciiTheme="minorHAnsi" w:eastAsiaTheme="minorEastAsia" w:hAnsiTheme="minorHAnsi" w:cstheme="minorBidi"/>
          <w:i w:val="0"/>
          <w:sz w:val="22"/>
          <w:szCs w:val="22"/>
        </w:rPr>
      </w:pPr>
      <w:hyperlink w:anchor="_Toc520445293" w:history="1">
        <w:r w:rsidRPr="00966EA5">
          <w:rPr>
            <w:rStyle w:val="Hypertextovodkaz"/>
          </w:rPr>
          <w:t>2.A.5</w:t>
        </w:r>
        <w:r>
          <w:rPr>
            <w:rFonts w:asciiTheme="minorHAnsi" w:eastAsiaTheme="minorEastAsia" w:hAnsiTheme="minorHAnsi" w:cstheme="minorBidi"/>
            <w:i w:val="0"/>
            <w:sz w:val="22"/>
            <w:szCs w:val="22"/>
          </w:rPr>
          <w:tab/>
        </w:r>
        <w:r w:rsidRPr="00966EA5">
          <w:rPr>
            <w:rStyle w:val="Hypertextovodkaz"/>
          </w:rPr>
          <w:t>Specifické cíle odpovídající investiční prioritě a očekávané výsledky</w:t>
        </w:r>
        <w:r>
          <w:rPr>
            <w:webHidden/>
          </w:rPr>
          <w:tab/>
        </w:r>
        <w:r>
          <w:rPr>
            <w:webHidden/>
          </w:rPr>
          <w:fldChar w:fldCharType="begin"/>
        </w:r>
        <w:r>
          <w:rPr>
            <w:webHidden/>
          </w:rPr>
          <w:instrText xml:space="preserve"> PAGEREF _Toc520445293 \h </w:instrText>
        </w:r>
        <w:r>
          <w:rPr>
            <w:webHidden/>
          </w:rPr>
        </w:r>
        <w:r>
          <w:rPr>
            <w:webHidden/>
          </w:rPr>
          <w:fldChar w:fldCharType="separate"/>
        </w:r>
        <w:r>
          <w:rPr>
            <w:webHidden/>
          </w:rPr>
          <w:t>123</w:t>
        </w:r>
        <w:r>
          <w:rPr>
            <w:webHidden/>
          </w:rPr>
          <w:fldChar w:fldCharType="end"/>
        </w:r>
      </w:hyperlink>
    </w:p>
    <w:p w14:paraId="7AD98036" w14:textId="77777777" w:rsidR="00AF6FE3" w:rsidRDefault="00AF6FE3">
      <w:pPr>
        <w:pStyle w:val="Obsah3"/>
        <w:rPr>
          <w:rFonts w:asciiTheme="minorHAnsi" w:eastAsiaTheme="minorEastAsia" w:hAnsiTheme="minorHAnsi" w:cstheme="minorBidi"/>
          <w:i w:val="0"/>
          <w:sz w:val="22"/>
          <w:szCs w:val="22"/>
        </w:rPr>
      </w:pPr>
      <w:hyperlink w:anchor="_Toc520445294" w:history="1">
        <w:r w:rsidRPr="00966EA5">
          <w:rPr>
            <w:rStyle w:val="Hypertextovodkaz"/>
          </w:rPr>
          <w:t>2.A.6</w:t>
        </w:r>
        <w:r>
          <w:rPr>
            <w:rFonts w:asciiTheme="minorHAnsi" w:eastAsiaTheme="minorEastAsia" w:hAnsiTheme="minorHAnsi" w:cstheme="minorBidi"/>
            <w:i w:val="0"/>
            <w:sz w:val="22"/>
            <w:szCs w:val="22"/>
          </w:rPr>
          <w:tab/>
        </w:r>
        <w:r w:rsidRPr="00966EA5">
          <w:rPr>
            <w:rStyle w:val="Hypertextovodkaz"/>
          </w:rPr>
          <w:t>Opatření, jež má být podpořeno v rámci investiční priority</w:t>
        </w:r>
        <w:r>
          <w:rPr>
            <w:webHidden/>
          </w:rPr>
          <w:tab/>
        </w:r>
        <w:r>
          <w:rPr>
            <w:webHidden/>
          </w:rPr>
          <w:fldChar w:fldCharType="begin"/>
        </w:r>
        <w:r>
          <w:rPr>
            <w:webHidden/>
          </w:rPr>
          <w:instrText xml:space="preserve"> PAGEREF _Toc520445294 \h </w:instrText>
        </w:r>
        <w:r>
          <w:rPr>
            <w:webHidden/>
          </w:rPr>
        </w:r>
        <w:r>
          <w:rPr>
            <w:webHidden/>
          </w:rPr>
          <w:fldChar w:fldCharType="separate"/>
        </w:r>
        <w:r>
          <w:rPr>
            <w:webHidden/>
          </w:rPr>
          <w:t>124</w:t>
        </w:r>
        <w:r>
          <w:rPr>
            <w:webHidden/>
          </w:rPr>
          <w:fldChar w:fldCharType="end"/>
        </w:r>
      </w:hyperlink>
    </w:p>
    <w:p w14:paraId="05189A39" w14:textId="77777777" w:rsidR="00AF6FE3" w:rsidRDefault="00AF6FE3">
      <w:pPr>
        <w:pStyle w:val="Obsah3"/>
        <w:rPr>
          <w:rFonts w:asciiTheme="minorHAnsi" w:eastAsiaTheme="minorEastAsia" w:hAnsiTheme="minorHAnsi" w:cstheme="minorBidi"/>
          <w:i w:val="0"/>
          <w:sz w:val="22"/>
          <w:szCs w:val="22"/>
        </w:rPr>
      </w:pPr>
      <w:hyperlink w:anchor="_Toc520445295" w:history="1">
        <w:r w:rsidRPr="00966EA5">
          <w:rPr>
            <w:rStyle w:val="Hypertextovodkaz"/>
          </w:rPr>
          <w:t>2.A.7</w:t>
        </w:r>
        <w:r>
          <w:rPr>
            <w:rFonts w:asciiTheme="minorHAnsi" w:eastAsiaTheme="minorEastAsia" w:hAnsiTheme="minorHAnsi" w:cstheme="minorBidi"/>
            <w:i w:val="0"/>
            <w:sz w:val="22"/>
            <w:szCs w:val="22"/>
          </w:rPr>
          <w:tab/>
        </w:r>
        <w:r w:rsidRPr="00966EA5">
          <w:rPr>
            <w:rStyle w:val="Hypertextovodkaz"/>
          </w:rPr>
          <w:t>Sociální inovace, nadnárodní spolupráce a přínos k tematickým cílům 1 až 7</w:t>
        </w:r>
        <w:r>
          <w:rPr>
            <w:webHidden/>
          </w:rPr>
          <w:tab/>
        </w:r>
        <w:r>
          <w:rPr>
            <w:webHidden/>
          </w:rPr>
          <w:fldChar w:fldCharType="begin"/>
        </w:r>
        <w:r>
          <w:rPr>
            <w:webHidden/>
          </w:rPr>
          <w:instrText xml:space="preserve"> PAGEREF _Toc520445295 \h </w:instrText>
        </w:r>
        <w:r>
          <w:rPr>
            <w:webHidden/>
          </w:rPr>
        </w:r>
        <w:r>
          <w:rPr>
            <w:webHidden/>
          </w:rPr>
          <w:fldChar w:fldCharType="separate"/>
        </w:r>
        <w:r>
          <w:rPr>
            <w:webHidden/>
          </w:rPr>
          <w:t>127</w:t>
        </w:r>
        <w:r>
          <w:rPr>
            <w:webHidden/>
          </w:rPr>
          <w:fldChar w:fldCharType="end"/>
        </w:r>
      </w:hyperlink>
    </w:p>
    <w:p w14:paraId="1BE120E6" w14:textId="77777777" w:rsidR="00AF6FE3" w:rsidRDefault="00AF6FE3">
      <w:pPr>
        <w:pStyle w:val="Obsah3"/>
        <w:rPr>
          <w:rFonts w:asciiTheme="minorHAnsi" w:eastAsiaTheme="minorEastAsia" w:hAnsiTheme="minorHAnsi" w:cstheme="minorBidi"/>
          <w:i w:val="0"/>
          <w:sz w:val="22"/>
          <w:szCs w:val="22"/>
        </w:rPr>
      </w:pPr>
      <w:hyperlink w:anchor="_Toc520445296" w:history="1">
        <w:r w:rsidRPr="00966EA5">
          <w:rPr>
            <w:rStyle w:val="Hypertextovodkaz"/>
          </w:rPr>
          <w:t>2.A.8</w:t>
        </w:r>
        <w:r>
          <w:rPr>
            <w:rFonts w:asciiTheme="minorHAnsi" w:eastAsiaTheme="minorEastAsia" w:hAnsiTheme="minorHAnsi" w:cstheme="minorBidi"/>
            <w:i w:val="0"/>
            <w:sz w:val="22"/>
            <w:szCs w:val="22"/>
          </w:rPr>
          <w:tab/>
        </w:r>
        <w:r w:rsidRPr="00966EA5">
          <w:rPr>
            <w:rStyle w:val="Hypertextovodkaz"/>
          </w:rPr>
          <w:t>Výkonnostní rámec</w:t>
        </w:r>
        <w:r>
          <w:rPr>
            <w:webHidden/>
          </w:rPr>
          <w:tab/>
        </w:r>
        <w:r>
          <w:rPr>
            <w:webHidden/>
          </w:rPr>
          <w:fldChar w:fldCharType="begin"/>
        </w:r>
        <w:r>
          <w:rPr>
            <w:webHidden/>
          </w:rPr>
          <w:instrText xml:space="preserve"> PAGEREF _Toc520445296 \h </w:instrText>
        </w:r>
        <w:r>
          <w:rPr>
            <w:webHidden/>
          </w:rPr>
        </w:r>
        <w:r>
          <w:rPr>
            <w:webHidden/>
          </w:rPr>
          <w:fldChar w:fldCharType="separate"/>
        </w:r>
        <w:r>
          <w:rPr>
            <w:webHidden/>
          </w:rPr>
          <w:t>128</w:t>
        </w:r>
        <w:r>
          <w:rPr>
            <w:webHidden/>
          </w:rPr>
          <w:fldChar w:fldCharType="end"/>
        </w:r>
      </w:hyperlink>
    </w:p>
    <w:p w14:paraId="26B7E721" w14:textId="77777777" w:rsidR="00AF6FE3" w:rsidRDefault="00AF6FE3">
      <w:pPr>
        <w:pStyle w:val="Obsah3"/>
        <w:rPr>
          <w:rFonts w:asciiTheme="minorHAnsi" w:eastAsiaTheme="minorEastAsia" w:hAnsiTheme="minorHAnsi" w:cstheme="minorBidi"/>
          <w:i w:val="0"/>
          <w:sz w:val="22"/>
          <w:szCs w:val="22"/>
        </w:rPr>
      </w:pPr>
      <w:hyperlink w:anchor="_Toc520445297" w:history="1">
        <w:r w:rsidRPr="00966EA5">
          <w:rPr>
            <w:rStyle w:val="Hypertextovodkaz"/>
          </w:rPr>
          <w:t>2.A.9</w:t>
        </w:r>
        <w:r>
          <w:rPr>
            <w:rFonts w:asciiTheme="minorHAnsi" w:eastAsiaTheme="minorEastAsia" w:hAnsiTheme="minorHAnsi" w:cstheme="minorBidi"/>
            <w:i w:val="0"/>
            <w:sz w:val="22"/>
            <w:szCs w:val="22"/>
          </w:rPr>
          <w:tab/>
        </w:r>
        <w:r w:rsidRPr="00966EA5">
          <w:rPr>
            <w:rStyle w:val="Hypertextovodkaz"/>
          </w:rPr>
          <w:t>Kategorie zásahů</w:t>
        </w:r>
        <w:r>
          <w:rPr>
            <w:webHidden/>
          </w:rPr>
          <w:tab/>
        </w:r>
        <w:r>
          <w:rPr>
            <w:webHidden/>
          </w:rPr>
          <w:fldChar w:fldCharType="begin"/>
        </w:r>
        <w:r>
          <w:rPr>
            <w:webHidden/>
          </w:rPr>
          <w:instrText xml:space="preserve"> PAGEREF _Toc520445297 \h </w:instrText>
        </w:r>
        <w:r>
          <w:rPr>
            <w:webHidden/>
          </w:rPr>
        </w:r>
        <w:r>
          <w:rPr>
            <w:webHidden/>
          </w:rPr>
          <w:fldChar w:fldCharType="separate"/>
        </w:r>
        <w:r>
          <w:rPr>
            <w:webHidden/>
          </w:rPr>
          <w:t>131</w:t>
        </w:r>
        <w:r>
          <w:rPr>
            <w:webHidden/>
          </w:rPr>
          <w:fldChar w:fldCharType="end"/>
        </w:r>
      </w:hyperlink>
    </w:p>
    <w:p w14:paraId="782AB314" w14:textId="77777777" w:rsidR="00AF6FE3" w:rsidRDefault="00AF6FE3">
      <w:pPr>
        <w:pStyle w:val="Obsah3"/>
        <w:rPr>
          <w:rFonts w:asciiTheme="minorHAnsi" w:eastAsiaTheme="minorEastAsia" w:hAnsiTheme="minorHAnsi" w:cstheme="minorBidi"/>
          <w:i w:val="0"/>
          <w:sz w:val="22"/>
          <w:szCs w:val="22"/>
        </w:rPr>
      </w:pPr>
      <w:hyperlink w:anchor="_Toc520445298" w:history="1">
        <w:r w:rsidRPr="00966EA5">
          <w:rPr>
            <w:rStyle w:val="Hypertextovodkaz"/>
          </w:rPr>
          <w:t>2.A.10</w:t>
        </w:r>
        <w:r>
          <w:rPr>
            <w:rFonts w:asciiTheme="minorHAnsi" w:eastAsiaTheme="minorEastAsia" w:hAnsiTheme="minorHAnsi" w:cstheme="minorBidi"/>
            <w:i w:val="0"/>
            <w:sz w:val="22"/>
            <w:szCs w:val="22"/>
          </w:rPr>
          <w:tab/>
        </w:r>
        <w:r w:rsidRPr="00966EA5">
          <w:rPr>
            <w:rStyle w:val="Hypertextovodkaz"/>
          </w:rPr>
          <w:t>Přehled plánovaného využití technické pomoci, je-li to nutné, včetně opatření na posílení správní kapacity orgánů zapojených do řízení a kontroly programů a příjemců (použije-li se)</w:t>
        </w:r>
        <w:r>
          <w:rPr>
            <w:webHidden/>
          </w:rPr>
          <w:tab/>
        </w:r>
        <w:r>
          <w:rPr>
            <w:webHidden/>
          </w:rPr>
          <w:fldChar w:fldCharType="begin"/>
        </w:r>
        <w:r>
          <w:rPr>
            <w:webHidden/>
          </w:rPr>
          <w:instrText xml:space="preserve"> PAGEREF _Toc520445298 \h </w:instrText>
        </w:r>
        <w:r>
          <w:rPr>
            <w:webHidden/>
          </w:rPr>
        </w:r>
        <w:r>
          <w:rPr>
            <w:webHidden/>
          </w:rPr>
          <w:fldChar w:fldCharType="separate"/>
        </w:r>
        <w:r>
          <w:rPr>
            <w:webHidden/>
          </w:rPr>
          <w:t>131</w:t>
        </w:r>
        <w:r>
          <w:rPr>
            <w:webHidden/>
          </w:rPr>
          <w:fldChar w:fldCharType="end"/>
        </w:r>
      </w:hyperlink>
    </w:p>
    <w:p w14:paraId="1924FB28" w14:textId="77777777" w:rsidR="00AF6FE3" w:rsidRDefault="00AF6FE3">
      <w:pPr>
        <w:pStyle w:val="Obsah3"/>
        <w:rPr>
          <w:rFonts w:asciiTheme="minorHAnsi" w:eastAsiaTheme="minorEastAsia" w:hAnsiTheme="minorHAnsi" w:cstheme="minorBidi"/>
          <w:i w:val="0"/>
          <w:sz w:val="22"/>
          <w:szCs w:val="22"/>
        </w:rPr>
      </w:pPr>
      <w:hyperlink w:anchor="_Toc520445299" w:history="1">
        <w:r w:rsidRPr="00966EA5">
          <w:rPr>
            <w:rStyle w:val="Hypertextovodkaz"/>
          </w:rPr>
          <w:t>2.A.1</w:t>
        </w:r>
        <w:r>
          <w:rPr>
            <w:rFonts w:asciiTheme="minorHAnsi" w:eastAsiaTheme="minorEastAsia" w:hAnsiTheme="minorHAnsi" w:cstheme="minorBidi"/>
            <w:i w:val="0"/>
            <w:sz w:val="22"/>
            <w:szCs w:val="22"/>
          </w:rPr>
          <w:tab/>
        </w:r>
        <w:r w:rsidRPr="00966EA5">
          <w:rPr>
            <w:rStyle w:val="Hypertextovodkaz"/>
          </w:rPr>
          <w:t>PRIORITNÍ OSA 4: Rozvoj vysokorychlostních přístupových sítí k internetu a informačních a komunikačních technologií</w:t>
        </w:r>
        <w:r>
          <w:rPr>
            <w:webHidden/>
          </w:rPr>
          <w:tab/>
        </w:r>
        <w:r>
          <w:rPr>
            <w:webHidden/>
          </w:rPr>
          <w:fldChar w:fldCharType="begin"/>
        </w:r>
        <w:r>
          <w:rPr>
            <w:webHidden/>
          </w:rPr>
          <w:instrText xml:space="preserve"> PAGEREF _Toc520445299 \h </w:instrText>
        </w:r>
        <w:r>
          <w:rPr>
            <w:webHidden/>
          </w:rPr>
        </w:r>
        <w:r>
          <w:rPr>
            <w:webHidden/>
          </w:rPr>
          <w:fldChar w:fldCharType="separate"/>
        </w:r>
        <w:r>
          <w:rPr>
            <w:webHidden/>
          </w:rPr>
          <w:t>132</w:t>
        </w:r>
        <w:r>
          <w:rPr>
            <w:webHidden/>
          </w:rPr>
          <w:fldChar w:fldCharType="end"/>
        </w:r>
      </w:hyperlink>
    </w:p>
    <w:p w14:paraId="3AC3EECB" w14:textId="77777777" w:rsidR="00AF6FE3" w:rsidRDefault="00AF6FE3">
      <w:pPr>
        <w:pStyle w:val="Obsah3"/>
        <w:rPr>
          <w:rFonts w:asciiTheme="minorHAnsi" w:eastAsiaTheme="minorEastAsia" w:hAnsiTheme="minorHAnsi" w:cstheme="minorBidi"/>
          <w:i w:val="0"/>
          <w:sz w:val="22"/>
          <w:szCs w:val="22"/>
        </w:rPr>
      </w:pPr>
      <w:hyperlink w:anchor="_Toc520445300" w:history="1">
        <w:r w:rsidRPr="00966EA5">
          <w:rPr>
            <w:rStyle w:val="Hypertextovodkaz"/>
          </w:rPr>
          <w:t>2.A.2</w:t>
        </w:r>
        <w:r>
          <w:rPr>
            <w:rFonts w:asciiTheme="minorHAnsi" w:eastAsiaTheme="minorEastAsia" w:hAnsiTheme="minorHAnsi" w:cstheme="minorBidi"/>
            <w:i w:val="0"/>
            <w:sz w:val="22"/>
            <w:szCs w:val="22"/>
          </w:rPr>
          <w:tab/>
        </w:r>
        <w:r w:rsidRPr="00966EA5">
          <w:rPr>
            <w:rStyle w:val="Hypertextovodkaz"/>
          </w:rPr>
          <w:t>Odůvodnění pro vytvoření prioritní osy, která zahrnuje více než jednu kategorii regionů nebo více než jeden tematický cíl či fond (použije-li se)</w:t>
        </w:r>
        <w:r>
          <w:rPr>
            <w:webHidden/>
          </w:rPr>
          <w:tab/>
        </w:r>
        <w:r>
          <w:rPr>
            <w:webHidden/>
          </w:rPr>
          <w:fldChar w:fldCharType="begin"/>
        </w:r>
        <w:r>
          <w:rPr>
            <w:webHidden/>
          </w:rPr>
          <w:instrText xml:space="preserve"> PAGEREF _Toc520445300 \h </w:instrText>
        </w:r>
        <w:r>
          <w:rPr>
            <w:webHidden/>
          </w:rPr>
        </w:r>
        <w:r>
          <w:rPr>
            <w:webHidden/>
          </w:rPr>
          <w:fldChar w:fldCharType="separate"/>
        </w:r>
        <w:r>
          <w:rPr>
            <w:webHidden/>
          </w:rPr>
          <w:t>132</w:t>
        </w:r>
        <w:r>
          <w:rPr>
            <w:webHidden/>
          </w:rPr>
          <w:fldChar w:fldCharType="end"/>
        </w:r>
      </w:hyperlink>
    </w:p>
    <w:p w14:paraId="09ACC39B" w14:textId="77777777" w:rsidR="00AF6FE3" w:rsidRDefault="00AF6FE3">
      <w:pPr>
        <w:pStyle w:val="Obsah3"/>
        <w:rPr>
          <w:rFonts w:asciiTheme="minorHAnsi" w:eastAsiaTheme="minorEastAsia" w:hAnsiTheme="minorHAnsi" w:cstheme="minorBidi"/>
          <w:i w:val="0"/>
          <w:sz w:val="22"/>
          <w:szCs w:val="22"/>
        </w:rPr>
      </w:pPr>
      <w:hyperlink w:anchor="_Toc520445301" w:history="1">
        <w:r w:rsidRPr="00966EA5">
          <w:rPr>
            <w:rStyle w:val="Hypertextovodkaz"/>
          </w:rPr>
          <w:t>2.A.3</w:t>
        </w:r>
        <w:r>
          <w:rPr>
            <w:rFonts w:asciiTheme="minorHAnsi" w:eastAsiaTheme="minorEastAsia" w:hAnsiTheme="minorHAnsi" w:cstheme="minorBidi"/>
            <w:i w:val="0"/>
            <w:sz w:val="22"/>
            <w:szCs w:val="22"/>
          </w:rPr>
          <w:tab/>
        </w:r>
        <w:r w:rsidRPr="00966EA5">
          <w:rPr>
            <w:rStyle w:val="Hypertextovodkaz"/>
          </w:rPr>
          <w:t>Fond, kategorie regionů a základ pro výpočet podpory Unie</w:t>
        </w:r>
        <w:r>
          <w:rPr>
            <w:webHidden/>
          </w:rPr>
          <w:tab/>
        </w:r>
        <w:r>
          <w:rPr>
            <w:webHidden/>
          </w:rPr>
          <w:fldChar w:fldCharType="begin"/>
        </w:r>
        <w:r>
          <w:rPr>
            <w:webHidden/>
          </w:rPr>
          <w:instrText xml:space="preserve"> PAGEREF _Toc520445301 \h </w:instrText>
        </w:r>
        <w:r>
          <w:rPr>
            <w:webHidden/>
          </w:rPr>
        </w:r>
        <w:r>
          <w:rPr>
            <w:webHidden/>
          </w:rPr>
          <w:fldChar w:fldCharType="separate"/>
        </w:r>
        <w:r>
          <w:rPr>
            <w:webHidden/>
          </w:rPr>
          <w:t>132</w:t>
        </w:r>
        <w:r>
          <w:rPr>
            <w:webHidden/>
          </w:rPr>
          <w:fldChar w:fldCharType="end"/>
        </w:r>
      </w:hyperlink>
    </w:p>
    <w:p w14:paraId="43D8CD54" w14:textId="77777777" w:rsidR="00AF6FE3" w:rsidRDefault="00AF6FE3">
      <w:pPr>
        <w:pStyle w:val="Obsah3"/>
        <w:rPr>
          <w:rFonts w:asciiTheme="minorHAnsi" w:eastAsiaTheme="minorEastAsia" w:hAnsiTheme="minorHAnsi" w:cstheme="minorBidi"/>
          <w:i w:val="0"/>
          <w:sz w:val="22"/>
          <w:szCs w:val="22"/>
        </w:rPr>
      </w:pPr>
      <w:hyperlink w:anchor="_Toc520445302" w:history="1">
        <w:r w:rsidRPr="00966EA5">
          <w:rPr>
            <w:rStyle w:val="Hypertextovodkaz"/>
          </w:rPr>
          <w:t>2.A.4</w:t>
        </w:r>
        <w:r>
          <w:rPr>
            <w:rFonts w:asciiTheme="minorHAnsi" w:eastAsiaTheme="minorEastAsia" w:hAnsiTheme="minorHAnsi" w:cstheme="minorBidi"/>
            <w:i w:val="0"/>
            <w:sz w:val="22"/>
            <w:szCs w:val="22"/>
          </w:rPr>
          <w:tab/>
        </w:r>
        <w:r w:rsidRPr="00966EA5">
          <w:rPr>
            <w:rStyle w:val="Hypertextovodkaz"/>
          </w:rPr>
          <w:t>INVESTIČNÍ PRIORITA 1 prioritní osy 4: Rozšiřování širokopásmového připojení a zavádění vysokorychlostních sítí a podpora zavádění vznikajících technologií a sítí pro digitální hospodářství</w:t>
        </w:r>
        <w:r>
          <w:rPr>
            <w:webHidden/>
          </w:rPr>
          <w:tab/>
        </w:r>
        <w:r>
          <w:rPr>
            <w:webHidden/>
          </w:rPr>
          <w:fldChar w:fldCharType="begin"/>
        </w:r>
        <w:r>
          <w:rPr>
            <w:webHidden/>
          </w:rPr>
          <w:instrText xml:space="preserve"> PAGEREF _Toc520445302 \h </w:instrText>
        </w:r>
        <w:r>
          <w:rPr>
            <w:webHidden/>
          </w:rPr>
        </w:r>
        <w:r>
          <w:rPr>
            <w:webHidden/>
          </w:rPr>
          <w:fldChar w:fldCharType="separate"/>
        </w:r>
        <w:r>
          <w:rPr>
            <w:webHidden/>
          </w:rPr>
          <w:t>132</w:t>
        </w:r>
        <w:r>
          <w:rPr>
            <w:webHidden/>
          </w:rPr>
          <w:fldChar w:fldCharType="end"/>
        </w:r>
      </w:hyperlink>
    </w:p>
    <w:p w14:paraId="6F49D5F2" w14:textId="77777777" w:rsidR="00AF6FE3" w:rsidRDefault="00AF6FE3">
      <w:pPr>
        <w:pStyle w:val="Obsah3"/>
        <w:rPr>
          <w:rFonts w:asciiTheme="minorHAnsi" w:eastAsiaTheme="minorEastAsia" w:hAnsiTheme="minorHAnsi" w:cstheme="minorBidi"/>
          <w:i w:val="0"/>
          <w:sz w:val="22"/>
          <w:szCs w:val="22"/>
        </w:rPr>
      </w:pPr>
      <w:hyperlink w:anchor="_Toc520445303" w:history="1">
        <w:r w:rsidRPr="00966EA5">
          <w:rPr>
            <w:rStyle w:val="Hypertextovodkaz"/>
          </w:rPr>
          <w:t>2.A.5</w:t>
        </w:r>
        <w:r>
          <w:rPr>
            <w:rFonts w:asciiTheme="minorHAnsi" w:eastAsiaTheme="minorEastAsia" w:hAnsiTheme="minorHAnsi" w:cstheme="minorBidi"/>
            <w:i w:val="0"/>
            <w:sz w:val="22"/>
            <w:szCs w:val="22"/>
          </w:rPr>
          <w:tab/>
        </w:r>
        <w:r w:rsidRPr="00966EA5">
          <w:rPr>
            <w:rStyle w:val="Hypertextovodkaz"/>
          </w:rPr>
          <w:t>Specifické cíle odpovídající investiční prioritě a očekávané výsledky</w:t>
        </w:r>
        <w:r>
          <w:rPr>
            <w:webHidden/>
          </w:rPr>
          <w:tab/>
        </w:r>
        <w:r>
          <w:rPr>
            <w:webHidden/>
          </w:rPr>
          <w:fldChar w:fldCharType="begin"/>
        </w:r>
        <w:r>
          <w:rPr>
            <w:webHidden/>
          </w:rPr>
          <w:instrText xml:space="preserve"> PAGEREF _Toc520445303 \h </w:instrText>
        </w:r>
        <w:r>
          <w:rPr>
            <w:webHidden/>
          </w:rPr>
        </w:r>
        <w:r>
          <w:rPr>
            <w:webHidden/>
          </w:rPr>
          <w:fldChar w:fldCharType="separate"/>
        </w:r>
        <w:r>
          <w:rPr>
            <w:webHidden/>
          </w:rPr>
          <w:t>132</w:t>
        </w:r>
        <w:r>
          <w:rPr>
            <w:webHidden/>
          </w:rPr>
          <w:fldChar w:fldCharType="end"/>
        </w:r>
      </w:hyperlink>
    </w:p>
    <w:p w14:paraId="7EA19B39" w14:textId="77777777" w:rsidR="00AF6FE3" w:rsidRDefault="00AF6FE3">
      <w:pPr>
        <w:pStyle w:val="Obsah3"/>
        <w:rPr>
          <w:rFonts w:asciiTheme="minorHAnsi" w:eastAsiaTheme="minorEastAsia" w:hAnsiTheme="minorHAnsi" w:cstheme="minorBidi"/>
          <w:i w:val="0"/>
          <w:sz w:val="22"/>
          <w:szCs w:val="22"/>
        </w:rPr>
      </w:pPr>
      <w:hyperlink w:anchor="_Toc520445304" w:history="1">
        <w:r w:rsidRPr="00966EA5">
          <w:rPr>
            <w:rStyle w:val="Hypertextovodkaz"/>
          </w:rPr>
          <w:t>2.A.6</w:t>
        </w:r>
        <w:r>
          <w:rPr>
            <w:rFonts w:asciiTheme="minorHAnsi" w:eastAsiaTheme="minorEastAsia" w:hAnsiTheme="minorHAnsi" w:cstheme="minorBidi"/>
            <w:i w:val="0"/>
            <w:sz w:val="22"/>
            <w:szCs w:val="22"/>
          </w:rPr>
          <w:tab/>
        </w:r>
        <w:r w:rsidRPr="00966EA5">
          <w:rPr>
            <w:rStyle w:val="Hypertextovodkaz"/>
          </w:rPr>
          <w:t>Opatření, jež má být podpořeno v rámci investiční priority</w:t>
        </w:r>
        <w:r>
          <w:rPr>
            <w:webHidden/>
          </w:rPr>
          <w:tab/>
        </w:r>
        <w:r>
          <w:rPr>
            <w:webHidden/>
          </w:rPr>
          <w:fldChar w:fldCharType="begin"/>
        </w:r>
        <w:r>
          <w:rPr>
            <w:webHidden/>
          </w:rPr>
          <w:instrText xml:space="preserve"> PAGEREF _Toc520445304 \h </w:instrText>
        </w:r>
        <w:r>
          <w:rPr>
            <w:webHidden/>
          </w:rPr>
        </w:r>
        <w:r>
          <w:rPr>
            <w:webHidden/>
          </w:rPr>
          <w:fldChar w:fldCharType="separate"/>
        </w:r>
        <w:r>
          <w:rPr>
            <w:webHidden/>
          </w:rPr>
          <w:t>133</w:t>
        </w:r>
        <w:r>
          <w:rPr>
            <w:webHidden/>
          </w:rPr>
          <w:fldChar w:fldCharType="end"/>
        </w:r>
      </w:hyperlink>
    </w:p>
    <w:p w14:paraId="18CCD2B8" w14:textId="77777777" w:rsidR="00AF6FE3" w:rsidRDefault="00AF6FE3">
      <w:pPr>
        <w:pStyle w:val="Obsah3"/>
        <w:rPr>
          <w:rFonts w:asciiTheme="minorHAnsi" w:eastAsiaTheme="minorEastAsia" w:hAnsiTheme="minorHAnsi" w:cstheme="minorBidi"/>
          <w:i w:val="0"/>
          <w:sz w:val="22"/>
          <w:szCs w:val="22"/>
        </w:rPr>
      </w:pPr>
      <w:hyperlink w:anchor="_Toc520445305" w:history="1">
        <w:r w:rsidRPr="00966EA5">
          <w:rPr>
            <w:rStyle w:val="Hypertextovodkaz"/>
          </w:rPr>
          <w:t>2.A.4</w:t>
        </w:r>
        <w:r>
          <w:rPr>
            <w:rFonts w:asciiTheme="minorHAnsi" w:eastAsiaTheme="minorEastAsia" w:hAnsiTheme="minorHAnsi" w:cstheme="minorBidi"/>
            <w:i w:val="0"/>
            <w:sz w:val="22"/>
            <w:szCs w:val="22"/>
          </w:rPr>
          <w:tab/>
        </w:r>
        <w:r w:rsidRPr="00966EA5">
          <w:rPr>
            <w:rStyle w:val="Hypertextovodkaz"/>
          </w:rPr>
          <w:t>INVESTIČNÍ PRIORITA 2 prioritní osy 4: Vyvíjení produktů a služeb v oblasti IKT, elektronický obchod a zvyšování poptávky po IKT</w:t>
        </w:r>
        <w:r>
          <w:rPr>
            <w:webHidden/>
          </w:rPr>
          <w:tab/>
        </w:r>
        <w:r>
          <w:rPr>
            <w:webHidden/>
          </w:rPr>
          <w:fldChar w:fldCharType="begin"/>
        </w:r>
        <w:r>
          <w:rPr>
            <w:webHidden/>
          </w:rPr>
          <w:instrText xml:space="preserve"> PAGEREF _Toc520445305 \h </w:instrText>
        </w:r>
        <w:r>
          <w:rPr>
            <w:webHidden/>
          </w:rPr>
        </w:r>
        <w:r>
          <w:rPr>
            <w:webHidden/>
          </w:rPr>
          <w:fldChar w:fldCharType="separate"/>
        </w:r>
        <w:r>
          <w:rPr>
            <w:webHidden/>
          </w:rPr>
          <w:t>136</w:t>
        </w:r>
        <w:r>
          <w:rPr>
            <w:webHidden/>
          </w:rPr>
          <w:fldChar w:fldCharType="end"/>
        </w:r>
      </w:hyperlink>
    </w:p>
    <w:p w14:paraId="04BC9DCF" w14:textId="77777777" w:rsidR="00AF6FE3" w:rsidRDefault="00AF6FE3">
      <w:pPr>
        <w:pStyle w:val="Obsah3"/>
        <w:rPr>
          <w:rFonts w:asciiTheme="minorHAnsi" w:eastAsiaTheme="minorEastAsia" w:hAnsiTheme="minorHAnsi" w:cstheme="minorBidi"/>
          <w:i w:val="0"/>
          <w:sz w:val="22"/>
          <w:szCs w:val="22"/>
        </w:rPr>
      </w:pPr>
      <w:hyperlink w:anchor="_Toc520445306" w:history="1">
        <w:r w:rsidRPr="00966EA5">
          <w:rPr>
            <w:rStyle w:val="Hypertextovodkaz"/>
          </w:rPr>
          <w:t>2.A.5</w:t>
        </w:r>
        <w:r>
          <w:rPr>
            <w:rFonts w:asciiTheme="minorHAnsi" w:eastAsiaTheme="minorEastAsia" w:hAnsiTheme="minorHAnsi" w:cstheme="minorBidi"/>
            <w:i w:val="0"/>
            <w:sz w:val="22"/>
            <w:szCs w:val="22"/>
          </w:rPr>
          <w:tab/>
        </w:r>
        <w:r w:rsidRPr="00966EA5">
          <w:rPr>
            <w:rStyle w:val="Hypertextovodkaz"/>
          </w:rPr>
          <w:t>Specifické cíle odpovídající investiční prioritě a očekávané výsledky</w:t>
        </w:r>
        <w:r>
          <w:rPr>
            <w:webHidden/>
          </w:rPr>
          <w:tab/>
        </w:r>
        <w:r>
          <w:rPr>
            <w:webHidden/>
          </w:rPr>
          <w:fldChar w:fldCharType="begin"/>
        </w:r>
        <w:r>
          <w:rPr>
            <w:webHidden/>
          </w:rPr>
          <w:instrText xml:space="preserve"> PAGEREF _Toc520445306 \h </w:instrText>
        </w:r>
        <w:r>
          <w:rPr>
            <w:webHidden/>
          </w:rPr>
        </w:r>
        <w:r>
          <w:rPr>
            <w:webHidden/>
          </w:rPr>
          <w:fldChar w:fldCharType="separate"/>
        </w:r>
        <w:r>
          <w:rPr>
            <w:webHidden/>
          </w:rPr>
          <w:t>136</w:t>
        </w:r>
        <w:r>
          <w:rPr>
            <w:webHidden/>
          </w:rPr>
          <w:fldChar w:fldCharType="end"/>
        </w:r>
      </w:hyperlink>
    </w:p>
    <w:p w14:paraId="52FED42E" w14:textId="77777777" w:rsidR="00AF6FE3" w:rsidRDefault="00AF6FE3">
      <w:pPr>
        <w:pStyle w:val="Obsah3"/>
        <w:rPr>
          <w:rFonts w:asciiTheme="minorHAnsi" w:eastAsiaTheme="minorEastAsia" w:hAnsiTheme="minorHAnsi" w:cstheme="minorBidi"/>
          <w:i w:val="0"/>
          <w:sz w:val="22"/>
          <w:szCs w:val="22"/>
        </w:rPr>
      </w:pPr>
      <w:hyperlink w:anchor="_Toc520445307" w:history="1">
        <w:r w:rsidRPr="00966EA5">
          <w:rPr>
            <w:rStyle w:val="Hypertextovodkaz"/>
          </w:rPr>
          <w:t>2.A.6</w:t>
        </w:r>
        <w:r>
          <w:rPr>
            <w:rFonts w:asciiTheme="minorHAnsi" w:eastAsiaTheme="minorEastAsia" w:hAnsiTheme="minorHAnsi" w:cstheme="minorBidi"/>
            <w:i w:val="0"/>
            <w:sz w:val="22"/>
            <w:szCs w:val="22"/>
          </w:rPr>
          <w:tab/>
        </w:r>
        <w:r w:rsidRPr="00966EA5">
          <w:rPr>
            <w:rStyle w:val="Hypertextovodkaz"/>
          </w:rPr>
          <w:t>Opatření, jež má být podpořeno v rámci investiční priority</w:t>
        </w:r>
        <w:r>
          <w:rPr>
            <w:webHidden/>
          </w:rPr>
          <w:tab/>
        </w:r>
        <w:r>
          <w:rPr>
            <w:webHidden/>
          </w:rPr>
          <w:fldChar w:fldCharType="begin"/>
        </w:r>
        <w:r>
          <w:rPr>
            <w:webHidden/>
          </w:rPr>
          <w:instrText xml:space="preserve"> PAGEREF _Toc520445307 \h </w:instrText>
        </w:r>
        <w:r>
          <w:rPr>
            <w:webHidden/>
          </w:rPr>
        </w:r>
        <w:r>
          <w:rPr>
            <w:webHidden/>
          </w:rPr>
          <w:fldChar w:fldCharType="separate"/>
        </w:r>
        <w:r>
          <w:rPr>
            <w:webHidden/>
          </w:rPr>
          <w:t>138</w:t>
        </w:r>
        <w:r>
          <w:rPr>
            <w:webHidden/>
          </w:rPr>
          <w:fldChar w:fldCharType="end"/>
        </w:r>
      </w:hyperlink>
    </w:p>
    <w:p w14:paraId="151EDB94" w14:textId="77777777" w:rsidR="00AF6FE3" w:rsidRDefault="00AF6FE3">
      <w:pPr>
        <w:pStyle w:val="Obsah3"/>
        <w:rPr>
          <w:rFonts w:asciiTheme="minorHAnsi" w:eastAsiaTheme="minorEastAsia" w:hAnsiTheme="minorHAnsi" w:cstheme="minorBidi"/>
          <w:i w:val="0"/>
          <w:sz w:val="22"/>
          <w:szCs w:val="22"/>
        </w:rPr>
      </w:pPr>
      <w:hyperlink w:anchor="_Toc520445308" w:history="1">
        <w:r w:rsidRPr="00966EA5">
          <w:rPr>
            <w:rStyle w:val="Hypertextovodkaz"/>
          </w:rPr>
          <w:t>2.A.7</w:t>
        </w:r>
        <w:r>
          <w:rPr>
            <w:rFonts w:asciiTheme="minorHAnsi" w:eastAsiaTheme="minorEastAsia" w:hAnsiTheme="minorHAnsi" w:cstheme="minorBidi"/>
            <w:i w:val="0"/>
            <w:sz w:val="22"/>
            <w:szCs w:val="22"/>
          </w:rPr>
          <w:tab/>
        </w:r>
        <w:r w:rsidRPr="00966EA5">
          <w:rPr>
            <w:rStyle w:val="Hypertextovodkaz"/>
          </w:rPr>
          <w:t>Sociální inovace, nadnárodní spolupráce a přínos k tematickým cílům 1 až 7</w:t>
        </w:r>
        <w:r>
          <w:rPr>
            <w:webHidden/>
          </w:rPr>
          <w:tab/>
        </w:r>
        <w:r>
          <w:rPr>
            <w:webHidden/>
          </w:rPr>
          <w:fldChar w:fldCharType="begin"/>
        </w:r>
        <w:r>
          <w:rPr>
            <w:webHidden/>
          </w:rPr>
          <w:instrText xml:space="preserve"> PAGEREF _Toc520445308 \h </w:instrText>
        </w:r>
        <w:r>
          <w:rPr>
            <w:webHidden/>
          </w:rPr>
        </w:r>
        <w:r>
          <w:rPr>
            <w:webHidden/>
          </w:rPr>
          <w:fldChar w:fldCharType="separate"/>
        </w:r>
        <w:r>
          <w:rPr>
            <w:webHidden/>
          </w:rPr>
          <w:t>140</w:t>
        </w:r>
        <w:r>
          <w:rPr>
            <w:webHidden/>
          </w:rPr>
          <w:fldChar w:fldCharType="end"/>
        </w:r>
      </w:hyperlink>
    </w:p>
    <w:p w14:paraId="5BDA81B3" w14:textId="77777777" w:rsidR="00AF6FE3" w:rsidRDefault="00AF6FE3">
      <w:pPr>
        <w:pStyle w:val="Obsah3"/>
        <w:rPr>
          <w:rFonts w:asciiTheme="minorHAnsi" w:eastAsiaTheme="minorEastAsia" w:hAnsiTheme="minorHAnsi" w:cstheme="minorBidi"/>
          <w:i w:val="0"/>
          <w:sz w:val="22"/>
          <w:szCs w:val="22"/>
        </w:rPr>
      </w:pPr>
      <w:hyperlink w:anchor="_Toc520445309" w:history="1">
        <w:r w:rsidRPr="00966EA5">
          <w:rPr>
            <w:rStyle w:val="Hypertextovodkaz"/>
          </w:rPr>
          <w:t>2.A.8</w:t>
        </w:r>
        <w:r>
          <w:rPr>
            <w:rFonts w:asciiTheme="minorHAnsi" w:eastAsiaTheme="minorEastAsia" w:hAnsiTheme="minorHAnsi" w:cstheme="minorBidi"/>
            <w:i w:val="0"/>
            <w:sz w:val="22"/>
            <w:szCs w:val="22"/>
          </w:rPr>
          <w:tab/>
        </w:r>
        <w:r w:rsidRPr="00966EA5">
          <w:rPr>
            <w:rStyle w:val="Hypertextovodkaz"/>
          </w:rPr>
          <w:t>Výkonnostní rámec</w:t>
        </w:r>
        <w:r>
          <w:rPr>
            <w:webHidden/>
          </w:rPr>
          <w:tab/>
        </w:r>
        <w:r>
          <w:rPr>
            <w:webHidden/>
          </w:rPr>
          <w:fldChar w:fldCharType="begin"/>
        </w:r>
        <w:r>
          <w:rPr>
            <w:webHidden/>
          </w:rPr>
          <w:instrText xml:space="preserve"> PAGEREF _Toc520445309 \h </w:instrText>
        </w:r>
        <w:r>
          <w:rPr>
            <w:webHidden/>
          </w:rPr>
        </w:r>
        <w:r>
          <w:rPr>
            <w:webHidden/>
          </w:rPr>
          <w:fldChar w:fldCharType="separate"/>
        </w:r>
        <w:r>
          <w:rPr>
            <w:webHidden/>
          </w:rPr>
          <w:t>141</w:t>
        </w:r>
        <w:r>
          <w:rPr>
            <w:webHidden/>
          </w:rPr>
          <w:fldChar w:fldCharType="end"/>
        </w:r>
      </w:hyperlink>
    </w:p>
    <w:p w14:paraId="68AE8E0F" w14:textId="77777777" w:rsidR="00AF6FE3" w:rsidRDefault="00AF6FE3">
      <w:pPr>
        <w:pStyle w:val="Obsah3"/>
        <w:rPr>
          <w:rFonts w:asciiTheme="minorHAnsi" w:eastAsiaTheme="minorEastAsia" w:hAnsiTheme="minorHAnsi" w:cstheme="minorBidi"/>
          <w:i w:val="0"/>
          <w:sz w:val="22"/>
          <w:szCs w:val="22"/>
        </w:rPr>
      </w:pPr>
      <w:hyperlink w:anchor="_Toc520445310" w:history="1">
        <w:r w:rsidRPr="00966EA5">
          <w:rPr>
            <w:rStyle w:val="Hypertextovodkaz"/>
          </w:rPr>
          <w:t>2.A.9</w:t>
        </w:r>
        <w:r>
          <w:rPr>
            <w:rFonts w:asciiTheme="minorHAnsi" w:eastAsiaTheme="minorEastAsia" w:hAnsiTheme="minorHAnsi" w:cstheme="minorBidi"/>
            <w:i w:val="0"/>
            <w:sz w:val="22"/>
            <w:szCs w:val="22"/>
          </w:rPr>
          <w:tab/>
        </w:r>
        <w:r w:rsidRPr="00966EA5">
          <w:rPr>
            <w:rStyle w:val="Hypertextovodkaz"/>
          </w:rPr>
          <w:t>Kategorie zásahů</w:t>
        </w:r>
        <w:r>
          <w:rPr>
            <w:webHidden/>
          </w:rPr>
          <w:tab/>
        </w:r>
        <w:r>
          <w:rPr>
            <w:webHidden/>
          </w:rPr>
          <w:fldChar w:fldCharType="begin"/>
        </w:r>
        <w:r>
          <w:rPr>
            <w:webHidden/>
          </w:rPr>
          <w:instrText xml:space="preserve"> PAGEREF _Toc520445310 \h </w:instrText>
        </w:r>
        <w:r>
          <w:rPr>
            <w:webHidden/>
          </w:rPr>
        </w:r>
        <w:r>
          <w:rPr>
            <w:webHidden/>
          </w:rPr>
          <w:fldChar w:fldCharType="separate"/>
        </w:r>
        <w:r>
          <w:rPr>
            <w:webHidden/>
          </w:rPr>
          <w:t>144</w:t>
        </w:r>
        <w:r>
          <w:rPr>
            <w:webHidden/>
          </w:rPr>
          <w:fldChar w:fldCharType="end"/>
        </w:r>
      </w:hyperlink>
    </w:p>
    <w:p w14:paraId="0B8CD415" w14:textId="77777777" w:rsidR="00AF6FE3" w:rsidRDefault="00AF6FE3">
      <w:pPr>
        <w:pStyle w:val="Obsah3"/>
        <w:rPr>
          <w:rFonts w:asciiTheme="minorHAnsi" w:eastAsiaTheme="minorEastAsia" w:hAnsiTheme="minorHAnsi" w:cstheme="minorBidi"/>
          <w:i w:val="0"/>
          <w:sz w:val="22"/>
          <w:szCs w:val="22"/>
        </w:rPr>
      </w:pPr>
      <w:hyperlink w:anchor="_Toc520445311" w:history="1">
        <w:r w:rsidRPr="00966EA5">
          <w:rPr>
            <w:rStyle w:val="Hypertextovodkaz"/>
          </w:rPr>
          <w:t>2.A.10</w:t>
        </w:r>
        <w:r>
          <w:rPr>
            <w:rFonts w:asciiTheme="minorHAnsi" w:eastAsiaTheme="minorEastAsia" w:hAnsiTheme="minorHAnsi" w:cstheme="minorBidi"/>
            <w:i w:val="0"/>
            <w:sz w:val="22"/>
            <w:szCs w:val="22"/>
          </w:rPr>
          <w:tab/>
        </w:r>
        <w:r w:rsidRPr="00966EA5">
          <w:rPr>
            <w:rStyle w:val="Hypertextovodkaz"/>
          </w:rPr>
          <w:t>Přehled plánovaného využití technické pomoci, je-li to nutné, včetně opatření na posílení správní kapacity orgánů zapojených do řízení a kontroly programů a příjemců (použije-li se)</w:t>
        </w:r>
        <w:r>
          <w:rPr>
            <w:webHidden/>
          </w:rPr>
          <w:tab/>
        </w:r>
        <w:r>
          <w:rPr>
            <w:webHidden/>
          </w:rPr>
          <w:fldChar w:fldCharType="begin"/>
        </w:r>
        <w:r>
          <w:rPr>
            <w:webHidden/>
          </w:rPr>
          <w:instrText xml:space="preserve"> PAGEREF _Toc520445311 \h </w:instrText>
        </w:r>
        <w:r>
          <w:rPr>
            <w:webHidden/>
          </w:rPr>
        </w:r>
        <w:r>
          <w:rPr>
            <w:webHidden/>
          </w:rPr>
          <w:fldChar w:fldCharType="separate"/>
        </w:r>
        <w:r>
          <w:rPr>
            <w:webHidden/>
          </w:rPr>
          <w:t>144</w:t>
        </w:r>
        <w:r>
          <w:rPr>
            <w:webHidden/>
          </w:rPr>
          <w:fldChar w:fldCharType="end"/>
        </w:r>
      </w:hyperlink>
    </w:p>
    <w:p w14:paraId="34B0DC0F" w14:textId="77777777" w:rsidR="00AF6FE3" w:rsidRDefault="00AF6FE3">
      <w:pPr>
        <w:pStyle w:val="Obsah1"/>
        <w:tabs>
          <w:tab w:val="left" w:pos="600"/>
          <w:tab w:val="right" w:leader="dot" w:pos="9202"/>
        </w:tabs>
        <w:rPr>
          <w:rFonts w:asciiTheme="minorHAnsi" w:eastAsiaTheme="minorEastAsia" w:hAnsiTheme="minorHAnsi" w:cstheme="minorBidi"/>
          <w:b w:val="0"/>
          <w:noProof/>
          <w:sz w:val="22"/>
          <w:szCs w:val="22"/>
        </w:rPr>
      </w:pPr>
      <w:hyperlink w:anchor="_Toc520445312" w:history="1">
        <w:r w:rsidRPr="00966EA5">
          <w:rPr>
            <w:rStyle w:val="Hypertextovodkaz"/>
            <w:noProof/>
          </w:rPr>
          <w:t>2.B</w:t>
        </w:r>
        <w:r>
          <w:rPr>
            <w:rFonts w:asciiTheme="minorHAnsi" w:eastAsiaTheme="minorEastAsia" w:hAnsiTheme="minorHAnsi" w:cstheme="minorBidi"/>
            <w:b w:val="0"/>
            <w:noProof/>
            <w:sz w:val="22"/>
            <w:szCs w:val="22"/>
          </w:rPr>
          <w:tab/>
        </w:r>
        <w:r w:rsidRPr="00966EA5">
          <w:rPr>
            <w:rStyle w:val="Hypertextovodkaz"/>
            <w:noProof/>
          </w:rPr>
          <w:t>Popis prioritních os pro technickou pomoc</w:t>
        </w:r>
        <w:r>
          <w:rPr>
            <w:noProof/>
            <w:webHidden/>
          </w:rPr>
          <w:tab/>
        </w:r>
        <w:r>
          <w:rPr>
            <w:noProof/>
            <w:webHidden/>
          </w:rPr>
          <w:fldChar w:fldCharType="begin"/>
        </w:r>
        <w:r>
          <w:rPr>
            <w:noProof/>
            <w:webHidden/>
          </w:rPr>
          <w:instrText xml:space="preserve"> PAGEREF _Toc520445312 \h </w:instrText>
        </w:r>
        <w:r>
          <w:rPr>
            <w:noProof/>
            <w:webHidden/>
          </w:rPr>
        </w:r>
        <w:r>
          <w:rPr>
            <w:noProof/>
            <w:webHidden/>
          </w:rPr>
          <w:fldChar w:fldCharType="separate"/>
        </w:r>
        <w:r>
          <w:rPr>
            <w:noProof/>
            <w:webHidden/>
          </w:rPr>
          <w:t>145</w:t>
        </w:r>
        <w:r>
          <w:rPr>
            <w:noProof/>
            <w:webHidden/>
          </w:rPr>
          <w:fldChar w:fldCharType="end"/>
        </w:r>
      </w:hyperlink>
    </w:p>
    <w:p w14:paraId="7FF6E84A" w14:textId="77777777" w:rsidR="00AF6FE3" w:rsidRDefault="00AF6FE3">
      <w:pPr>
        <w:pStyle w:val="Obsah3"/>
        <w:rPr>
          <w:rFonts w:asciiTheme="minorHAnsi" w:eastAsiaTheme="minorEastAsia" w:hAnsiTheme="minorHAnsi" w:cstheme="minorBidi"/>
          <w:i w:val="0"/>
          <w:sz w:val="22"/>
          <w:szCs w:val="22"/>
        </w:rPr>
      </w:pPr>
      <w:hyperlink w:anchor="_Toc520445313" w:history="1">
        <w:r w:rsidRPr="00966EA5">
          <w:rPr>
            <w:rStyle w:val="Hypertextovodkaz"/>
          </w:rPr>
          <w:t>2.B.1</w:t>
        </w:r>
        <w:r>
          <w:rPr>
            <w:rFonts w:asciiTheme="minorHAnsi" w:eastAsiaTheme="minorEastAsia" w:hAnsiTheme="minorHAnsi" w:cstheme="minorBidi"/>
            <w:i w:val="0"/>
            <w:sz w:val="22"/>
            <w:szCs w:val="22"/>
          </w:rPr>
          <w:tab/>
        </w:r>
        <w:r w:rsidRPr="00966EA5">
          <w:rPr>
            <w:rStyle w:val="Hypertextovodkaz"/>
          </w:rPr>
          <w:t>PRIORITNÍ OSA 5: Technická pomoc</w:t>
        </w:r>
        <w:r>
          <w:rPr>
            <w:webHidden/>
          </w:rPr>
          <w:tab/>
        </w:r>
        <w:r>
          <w:rPr>
            <w:webHidden/>
          </w:rPr>
          <w:fldChar w:fldCharType="begin"/>
        </w:r>
        <w:r>
          <w:rPr>
            <w:webHidden/>
          </w:rPr>
          <w:instrText xml:space="preserve"> PAGEREF _Toc520445313 \h </w:instrText>
        </w:r>
        <w:r>
          <w:rPr>
            <w:webHidden/>
          </w:rPr>
        </w:r>
        <w:r>
          <w:rPr>
            <w:webHidden/>
          </w:rPr>
          <w:fldChar w:fldCharType="separate"/>
        </w:r>
        <w:r>
          <w:rPr>
            <w:webHidden/>
          </w:rPr>
          <w:t>145</w:t>
        </w:r>
        <w:r>
          <w:rPr>
            <w:webHidden/>
          </w:rPr>
          <w:fldChar w:fldCharType="end"/>
        </w:r>
      </w:hyperlink>
    </w:p>
    <w:p w14:paraId="3E3A4B9B" w14:textId="77777777" w:rsidR="00AF6FE3" w:rsidRDefault="00AF6FE3">
      <w:pPr>
        <w:pStyle w:val="Obsah3"/>
        <w:rPr>
          <w:rFonts w:asciiTheme="minorHAnsi" w:eastAsiaTheme="minorEastAsia" w:hAnsiTheme="minorHAnsi" w:cstheme="minorBidi"/>
          <w:i w:val="0"/>
          <w:sz w:val="22"/>
          <w:szCs w:val="22"/>
        </w:rPr>
      </w:pPr>
      <w:hyperlink w:anchor="_Toc520445314" w:history="1">
        <w:r w:rsidRPr="00966EA5">
          <w:rPr>
            <w:rStyle w:val="Hypertextovodkaz"/>
          </w:rPr>
          <w:t>2.B.2</w:t>
        </w:r>
        <w:r>
          <w:rPr>
            <w:rFonts w:asciiTheme="minorHAnsi" w:eastAsiaTheme="minorEastAsia" w:hAnsiTheme="minorHAnsi" w:cstheme="minorBidi"/>
            <w:i w:val="0"/>
            <w:sz w:val="22"/>
            <w:szCs w:val="22"/>
          </w:rPr>
          <w:tab/>
        </w:r>
        <w:r w:rsidRPr="00966EA5">
          <w:rPr>
            <w:rStyle w:val="Hypertextovodkaz"/>
          </w:rPr>
          <w:t>Odůvodnění stanovení prioritní osy, jež zahrnuje více než jednu kategorii regionů (použije-li se)</w:t>
        </w:r>
        <w:r>
          <w:rPr>
            <w:webHidden/>
          </w:rPr>
          <w:tab/>
        </w:r>
        <w:r>
          <w:rPr>
            <w:webHidden/>
          </w:rPr>
          <w:fldChar w:fldCharType="begin"/>
        </w:r>
        <w:r>
          <w:rPr>
            <w:webHidden/>
          </w:rPr>
          <w:instrText xml:space="preserve"> PAGEREF _Toc520445314 \h </w:instrText>
        </w:r>
        <w:r>
          <w:rPr>
            <w:webHidden/>
          </w:rPr>
        </w:r>
        <w:r>
          <w:rPr>
            <w:webHidden/>
          </w:rPr>
          <w:fldChar w:fldCharType="separate"/>
        </w:r>
        <w:r>
          <w:rPr>
            <w:webHidden/>
          </w:rPr>
          <w:t>145</w:t>
        </w:r>
        <w:r>
          <w:rPr>
            <w:webHidden/>
          </w:rPr>
          <w:fldChar w:fldCharType="end"/>
        </w:r>
      </w:hyperlink>
    </w:p>
    <w:p w14:paraId="5D73425D" w14:textId="77777777" w:rsidR="00AF6FE3" w:rsidRDefault="00AF6FE3">
      <w:pPr>
        <w:pStyle w:val="Obsah3"/>
        <w:rPr>
          <w:rFonts w:asciiTheme="minorHAnsi" w:eastAsiaTheme="minorEastAsia" w:hAnsiTheme="minorHAnsi" w:cstheme="minorBidi"/>
          <w:i w:val="0"/>
          <w:sz w:val="22"/>
          <w:szCs w:val="22"/>
        </w:rPr>
      </w:pPr>
      <w:hyperlink w:anchor="_Toc520445315" w:history="1">
        <w:r w:rsidRPr="00966EA5">
          <w:rPr>
            <w:rStyle w:val="Hypertextovodkaz"/>
          </w:rPr>
          <w:t>2.B.3</w:t>
        </w:r>
        <w:r>
          <w:rPr>
            <w:rFonts w:asciiTheme="minorHAnsi" w:eastAsiaTheme="minorEastAsia" w:hAnsiTheme="minorHAnsi" w:cstheme="minorBidi"/>
            <w:i w:val="0"/>
            <w:sz w:val="22"/>
            <w:szCs w:val="22"/>
          </w:rPr>
          <w:tab/>
        </w:r>
        <w:r w:rsidRPr="00966EA5">
          <w:rPr>
            <w:rStyle w:val="Hypertextovodkaz"/>
          </w:rPr>
          <w:t>Fond a kategorie regionů</w:t>
        </w:r>
        <w:r>
          <w:rPr>
            <w:webHidden/>
          </w:rPr>
          <w:tab/>
        </w:r>
        <w:r>
          <w:rPr>
            <w:webHidden/>
          </w:rPr>
          <w:fldChar w:fldCharType="begin"/>
        </w:r>
        <w:r>
          <w:rPr>
            <w:webHidden/>
          </w:rPr>
          <w:instrText xml:space="preserve"> PAGEREF _Toc520445315 \h </w:instrText>
        </w:r>
        <w:r>
          <w:rPr>
            <w:webHidden/>
          </w:rPr>
        </w:r>
        <w:r>
          <w:rPr>
            <w:webHidden/>
          </w:rPr>
          <w:fldChar w:fldCharType="separate"/>
        </w:r>
        <w:r>
          <w:rPr>
            <w:webHidden/>
          </w:rPr>
          <w:t>145</w:t>
        </w:r>
        <w:r>
          <w:rPr>
            <w:webHidden/>
          </w:rPr>
          <w:fldChar w:fldCharType="end"/>
        </w:r>
      </w:hyperlink>
    </w:p>
    <w:p w14:paraId="29C5C772" w14:textId="77777777" w:rsidR="00AF6FE3" w:rsidRDefault="00AF6FE3">
      <w:pPr>
        <w:pStyle w:val="Obsah3"/>
        <w:rPr>
          <w:rFonts w:asciiTheme="minorHAnsi" w:eastAsiaTheme="minorEastAsia" w:hAnsiTheme="minorHAnsi" w:cstheme="minorBidi"/>
          <w:i w:val="0"/>
          <w:sz w:val="22"/>
          <w:szCs w:val="22"/>
        </w:rPr>
      </w:pPr>
      <w:hyperlink w:anchor="_Toc520445316" w:history="1">
        <w:r w:rsidRPr="00966EA5">
          <w:rPr>
            <w:rStyle w:val="Hypertextovodkaz"/>
          </w:rPr>
          <w:t>2.B.4</w:t>
        </w:r>
        <w:r>
          <w:rPr>
            <w:rFonts w:asciiTheme="minorHAnsi" w:eastAsiaTheme="minorEastAsia" w:hAnsiTheme="minorHAnsi" w:cstheme="minorBidi"/>
            <w:i w:val="0"/>
            <w:sz w:val="22"/>
            <w:szCs w:val="22"/>
          </w:rPr>
          <w:tab/>
        </w:r>
        <w:r w:rsidRPr="00966EA5">
          <w:rPr>
            <w:rStyle w:val="Hypertextovodkaz"/>
          </w:rPr>
          <w:t>Specifické cíle a očekávané výsledky</w:t>
        </w:r>
        <w:r>
          <w:rPr>
            <w:webHidden/>
          </w:rPr>
          <w:tab/>
        </w:r>
        <w:r>
          <w:rPr>
            <w:webHidden/>
          </w:rPr>
          <w:fldChar w:fldCharType="begin"/>
        </w:r>
        <w:r>
          <w:rPr>
            <w:webHidden/>
          </w:rPr>
          <w:instrText xml:space="preserve"> PAGEREF _Toc520445316 \h </w:instrText>
        </w:r>
        <w:r>
          <w:rPr>
            <w:webHidden/>
          </w:rPr>
        </w:r>
        <w:r>
          <w:rPr>
            <w:webHidden/>
          </w:rPr>
          <w:fldChar w:fldCharType="separate"/>
        </w:r>
        <w:r>
          <w:rPr>
            <w:webHidden/>
          </w:rPr>
          <w:t>145</w:t>
        </w:r>
        <w:r>
          <w:rPr>
            <w:webHidden/>
          </w:rPr>
          <w:fldChar w:fldCharType="end"/>
        </w:r>
      </w:hyperlink>
    </w:p>
    <w:p w14:paraId="23813C34" w14:textId="77777777" w:rsidR="00AF6FE3" w:rsidRDefault="00AF6FE3">
      <w:pPr>
        <w:pStyle w:val="Obsah3"/>
        <w:rPr>
          <w:rFonts w:asciiTheme="minorHAnsi" w:eastAsiaTheme="minorEastAsia" w:hAnsiTheme="minorHAnsi" w:cstheme="minorBidi"/>
          <w:i w:val="0"/>
          <w:sz w:val="22"/>
          <w:szCs w:val="22"/>
        </w:rPr>
      </w:pPr>
      <w:hyperlink w:anchor="_Toc520445317" w:history="1">
        <w:r w:rsidRPr="00966EA5">
          <w:rPr>
            <w:rStyle w:val="Hypertextovodkaz"/>
          </w:rPr>
          <w:t>2.B.5</w:t>
        </w:r>
        <w:r>
          <w:rPr>
            <w:rFonts w:asciiTheme="minorHAnsi" w:eastAsiaTheme="minorEastAsia" w:hAnsiTheme="minorHAnsi" w:cstheme="minorBidi"/>
            <w:i w:val="0"/>
            <w:sz w:val="22"/>
            <w:szCs w:val="22"/>
          </w:rPr>
          <w:tab/>
        </w:r>
        <w:r w:rsidRPr="00966EA5">
          <w:rPr>
            <w:rStyle w:val="Hypertextovodkaz"/>
          </w:rPr>
          <w:t>Ukazatele výsledků</w:t>
        </w:r>
        <w:r>
          <w:rPr>
            <w:webHidden/>
          </w:rPr>
          <w:tab/>
        </w:r>
        <w:r>
          <w:rPr>
            <w:webHidden/>
          </w:rPr>
          <w:fldChar w:fldCharType="begin"/>
        </w:r>
        <w:r>
          <w:rPr>
            <w:webHidden/>
          </w:rPr>
          <w:instrText xml:space="preserve"> PAGEREF _Toc520445317 \h </w:instrText>
        </w:r>
        <w:r>
          <w:rPr>
            <w:webHidden/>
          </w:rPr>
        </w:r>
        <w:r>
          <w:rPr>
            <w:webHidden/>
          </w:rPr>
          <w:fldChar w:fldCharType="separate"/>
        </w:r>
        <w:r>
          <w:rPr>
            <w:webHidden/>
          </w:rPr>
          <w:t>146</w:t>
        </w:r>
        <w:r>
          <w:rPr>
            <w:webHidden/>
          </w:rPr>
          <w:fldChar w:fldCharType="end"/>
        </w:r>
      </w:hyperlink>
    </w:p>
    <w:p w14:paraId="2FEF5DED" w14:textId="77777777" w:rsidR="00AF6FE3" w:rsidRDefault="00AF6FE3">
      <w:pPr>
        <w:pStyle w:val="Obsah3"/>
        <w:rPr>
          <w:rFonts w:asciiTheme="minorHAnsi" w:eastAsiaTheme="minorEastAsia" w:hAnsiTheme="minorHAnsi" w:cstheme="minorBidi"/>
          <w:i w:val="0"/>
          <w:sz w:val="22"/>
          <w:szCs w:val="22"/>
        </w:rPr>
      </w:pPr>
      <w:hyperlink w:anchor="_Toc520445318" w:history="1">
        <w:r w:rsidRPr="00966EA5">
          <w:rPr>
            <w:rStyle w:val="Hypertextovodkaz"/>
          </w:rPr>
          <w:t>2.B.6</w:t>
        </w:r>
        <w:r>
          <w:rPr>
            <w:rFonts w:asciiTheme="minorHAnsi" w:eastAsiaTheme="minorEastAsia" w:hAnsiTheme="minorHAnsi" w:cstheme="minorBidi"/>
            <w:i w:val="0"/>
            <w:sz w:val="22"/>
            <w:szCs w:val="22"/>
          </w:rPr>
          <w:tab/>
        </w:r>
        <w:r w:rsidRPr="00966EA5">
          <w:rPr>
            <w:rStyle w:val="Hypertextovodkaz"/>
          </w:rPr>
          <w:t>Opatření, která mají být podpořena, a jejich očekávaný přínos ke specifickým cílům</w:t>
        </w:r>
        <w:r>
          <w:rPr>
            <w:webHidden/>
          </w:rPr>
          <w:tab/>
        </w:r>
        <w:r>
          <w:rPr>
            <w:webHidden/>
          </w:rPr>
          <w:fldChar w:fldCharType="begin"/>
        </w:r>
        <w:r>
          <w:rPr>
            <w:webHidden/>
          </w:rPr>
          <w:instrText xml:space="preserve"> PAGEREF _Toc520445318 \h </w:instrText>
        </w:r>
        <w:r>
          <w:rPr>
            <w:webHidden/>
          </w:rPr>
        </w:r>
        <w:r>
          <w:rPr>
            <w:webHidden/>
          </w:rPr>
          <w:fldChar w:fldCharType="separate"/>
        </w:r>
        <w:r>
          <w:rPr>
            <w:webHidden/>
          </w:rPr>
          <w:t>147</w:t>
        </w:r>
        <w:r>
          <w:rPr>
            <w:webHidden/>
          </w:rPr>
          <w:fldChar w:fldCharType="end"/>
        </w:r>
      </w:hyperlink>
    </w:p>
    <w:p w14:paraId="0CF30812" w14:textId="77777777" w:rsidR="00AF6FE3" w:rsidRDefault="00AF6FE3">
      <w:pPr>
        <w:pStyle w:val="Obsah3"/>
        <w:rPr>
          <w:rFonts w:asciiTheme="minorHAnsi" w:eastAsiaTheme="minorEastAsia" w:hAnsiTheme="minorHAnsi" w:cstheme="minorBidi"/>
          <w:i w:val="0"/>
          <w:sz w:val="22"/>
          <w:szCs w:val="22"/>
        </w:rPr>
      </w:pPr>
      <w:hyperlink w:anchor="_Toc520445319" w:history="1">
        <w:r w:rsidRPr="00966EA5">
          <w:rPr>
            <w:rStyle w:val="Hypertextovodkaz"/>
          </w:rPr>
          <w:t>2.B.7</w:t>
        </w:r>
        <w:r>
          <w:rPr>
            <w:rFonts w:asciiTheme="minorHAnsi" w:eastAsiaTheme="minorEastAsia" w:hAnsiTheme="minorHAnsi" w:cstheme="minorBidi"/>
            <w:i w:val="0"/>
            <w:sz w:val="22"/>
            <w:szCs w:val="22"/>
          </w:rPr>
          <w:tab/>
        </w:r>
        <w:r w:rsidRPr="00966EA5">
          <w:rPr>
            <w:rStyle w:val="Hypertextovodkaz"/>
          </w:rPr>
          <w:t>Kategorie zásahů</w:t>
        </w:r>
        <w:r>
          <w:rPr>
            <w:webHidden/>
          </w:rPr>
          <w:tab/>
        </w:r>
        <w:r>
          <w:rPr>
            <w:webHidden/>
          </w:rPr>
          <w:fldChar w:fldCharType="begin"/>
        </w:r>
        <w:r>
          <w:rPr>
            <w:webHidden/>
          </w:rPr>
          <w:instrText xml:space="preserve"> PAGEREF _Toc520445319 \h </w:instrText>
        </w:r>
        <w:r>
          <w:rPr>
            <w:webHidden/>
          </w:rPr>
        </w:r>
        <w:r>
          <w:rPr>
            <w:webHidden/>
          </w:rPr>
          <w:fldChar w:fldCharType="separate"/>
        </w:r>
        <w:r>
          <w:rPr>
            <w:webHidden/>
          </w:rPr>
          <w:t>151</w:t>
        </w:r>
        <w:r>
          <w:rPr>
            <w:webHidden/>
          </w:rPr>
          <w:fldChar w:fldCharType="end"/>
        </w:r>
      </w:hyperlink>
    </w:p>
    <w:p w14:paraId="62894C24" w14:textId="77777777" w:rsidR="00AF6FE3" w:rsidRDefault="00AF6FE3">
      <w:pPr>
        <w:pStyle w:val="Obsah1"/>
        <w:tabs>
          <w:tab w:val="left" w:pos="1320"/>
          <w:tab w:val="right" w:leader="dot" w:pos="9202"/>
        </w:tabs>
        <w:rPr>
          <w:rFonts w:asciiTheme="minorHAnsi" w:eastAsiaTheme="minorEastAsia" w:hAnsiTheme="minorHAnsi" w:cstheme="minorBidi"/>
          <w:b w:val="0"/>
          <w:noProof/>
          <w:sz w:val="22"/>
          <w:szCs w:val="22"/>
        </w:rPr>
      </w:pPr>
      <w:hyperlink w:anchor="_Toc520445320" w:history="1">
        <w:r w:rsidRPr="00966EA5">
          <w:rPr>
            <w:rStyle w:val="Hypertextovodkaz"/>
            <w:noProof/>
            <w:spacing w:val="20"/>
          </w:rPr>
          <w:t>ODDÍL 3</w:t>
        </w:r>
        <w:r>
          <w:rPr>
            <w:rFonts w:asciiTheme="minorHAnsi" w:eastAsiaTheme="minorEastAsia" w:hAnsiTheme="minorHAnsi" w:cstheme="minorBidi"/>
            <w:b w:val="0"/>
            <w:noProof/>
            <w:sz w:val="22"/>
            <w:szCs w:val="22"/>
          </w:rPr>
          <w:tab/>
        </w:r>
        <w:r w:rsidRPr="00966EA5">
          <w:rPr>
            <w:rStyle w:val="Hypertextovodkaz"/>
            <w:noProof/>
          </w:rPr>
          <w:t>Plán financování</w:t>
        </w:r>
        <w:r>
          <w:rPr>
            <w:noProof/>
            <w:webHidden/>
          </w:rPr>
          <w:tab/>
        </w:r>
        <w:r>
          <w:rPr>
            <w:noProof/>
            <w:webHidden/>
          </w:rPr>
          <w:fldChar w:fldCharType="begin"/>
        </w:r>
        <w:r>
          <w:rPr>
            <w:noProof/>
            <w:webHidden/>
          </w:rPr>
          <w:instrText xml:space="preserve"> PAGEREF _Toc520445320 \h </w:instrText>
        </w:r>
        <w:r>
          <w:rPr>
            <w:noProof/>
            <w:webHidden/>
          </w:rPr>
        </w:r>
        <w:r>
          <w:rPr>
            <w:noProof/>
            <w:webHidden/>
          </w:rPr>
          <w:fldChar w:fldCharType="separate"/>
        </w:r>
        <w:r>
          <w:rPr>
            <w:noProof/>
            <w:webHidden/>
          </w:rPr>
          <w:t>152</w:t>
        </w:r>
        <w:r>
          <w:rPr>
            <w:noProof/>
            <w:webHidden/>
          </w:rPr>
          <w:fldChar w:fldCharType="end"/>
        </w:r>
      </w:hyperlink>
    </w:p>
    <w:p w14:paraId="483AE45C" w14:textId="77777777" w:rsidR="00AF6FE3" w:rsidRDefault="00AF6FE3">
      <w:pPr>
        <w:pStyle w:val="Obsah2"/>
        <w:tabs>
          <w:tab w:val="left" w:pos="880"/>
          <w:tab w:val="right" w:leader="dot" w:pos="9202"/>
        </w:tabs>
        <w:rPr>
          <w:rFonts w:asciiTheme="minorHAnsi" w:eastAsiaTheme="minorEastAsia" w:hAnsiTheme="minorHAnsi" w:cstheme="minorBidi"/>
          <w:noProof/>
          <w:sz w:val="22"/>
          <w:szCs w:val="22"/>
        </w:rPr>
      </w:pPr>
      <w:hyperlink w:anchor="_Toc520445321" w:history="1">
        <w:r w:rsidRPr="00966EA5">
          <w:rPr>
            <w:rStyle w:val="Hypertextovodkaz"/>
            <w:rFonts w:cs="Calibri"/>
            <w:noProof/>
          </w:rPr>
          <w:t>3.1</w:t>
        </w:r>
        <w:r>
          <w:rPr>
            <w:rFonts w:asciiTheme="minorHAnsi" w:eastAsiaTheme="minorEastAsia" w:hAnsiTheme="minorHAnsi" w:cstheme="minorBidi"/>
            <w:noProof/>
            <w:sz w:val="22"/>
            <w:szCs w:val="22"/>
          </w:rPr>
          <w:tab/>
        </w:r>
        <w:r w:rsidRPr="00966EA5">
          <w:rPr>
            <w:rStyle w:val="Hypertextovodkaz"/>
            <w:rFonts w:cs="Calibri"/>
            <w:noProof/>
          </w:rPr>
          <w:t>Finanční podpora z každého fondu a částky týkající se výkonnostní rezervy</w:t>
        </w:r>
        <w:r>
          <w:rPr>
            <w:noProof/>
            <w:webHidden/>
          </w:rPr>
          <w:tab/>
        </w:r>
        <w:r>
          <w:rPr>
            <w:noProof/>
            <w:webHidden/>
          </w:rPr>
          <w:fldChar w:fldCharType="begin"/>
        </w:r>
        <w:r>
          <w:rPr>
            <w:noProof/>
            <w:webHidden/>
          </w:rPr>
          <w:instrText xml:space="preserve"> PAGEREF _Toc520445321 \h </w:instrText>
        </w:r>
        <w:r>
          <w:rPr>
            <w:noProof/>
            <w:webHidden/>
          </w:rPr>
        </w:r>
        <w:r>
          <w:rPr>
            <w:noProof/>
            <w:webHidden/>
          </w:rPr>
          <w:fldChar w:fldCharType="separate"/>
        </w:r>
        <w:r>
          <w:rPr>
            <w:noProof/>
            <w:webHidden/>
          </w:rPr>
          <w:t>152</w:t>
        </w:r>
        <w:r>
          <w:rPr>
            <w:noProof/>
            <w:webHidden/>
          </w:rPr>
          <w:fldChar w:fldCharType="end"/>
        </w:r>
      </w:hyperlink>
    </w:p>
    <w:p w14:paraId="16576AC0" w14:textId="77777777" w:rsidR="00AF6FE3" w:rsidRDefault="00AF6FE3">
      <w:pPr>
        <w:pStyle w:val="Obsah2"/>
        <w:tabs>
          <w:tab w:val="left" w:pos="880"/>
          <w:tab w:val="right" w:leader="dot" w:pos="9202"/>
        </w:tabs>
        <w:rPr>
          <w:rFonts w:asciiTheme="minorHAnsi" w:eastAsiaTheme="minorEastAsia" w:hAnsiTheme="minorHAnsi" w:cstheme="minorBidi"/>
          <w:noProof/>
          <w:sz w:val="22"/>
          <w:szCs w:val="22"/>
        </w:rPr>
      </w:pPr>
      <w:hyperlink w:anchor="_Toc520445322" w:history="1">
        <w:r w:rsidRPr="00966EA5">
          <w:rPr>
            <w:rStyle w:val="Hypertextovodkaz"/>
            <w:noProof/>
          </w:rPr>
          <w:t>3.2</w:t>
        </w:r>
        <w:r>
          <w:rPr>
            <w:rFonts w:asciiTheme="minorHAnsi" w:eastAsiaTheme="minorEastAsia" w:hAnsiTheme="minorHAnsi" w:cstheme="minorBidi"/>
            <w:noProof/>
            <w:sz w:val="22"/>
            <w:szCs w:val="22"/>
          </w:rPr>
          <w:tab/>
        </w:r>
        <w:r w:rsidRPr="00966EA5">
          <w:rPr>
            <w:rStyle w:val="Hypertextovodkaz"/>
            <w:noProof/>
          </w:rPr>
          <w:t>Celková výše finanční podpory z každého fondu a vnitrostátního spolufinancování (v EUR)</w:t>
        </w:r>
        <w:r>
          <w:rPr>
            <w:noProof/>
            <w:webHidden/>
          </w:rPr>
          <w:tab/>
        </w:r>
        <w:r>
          <w:rPr>
            <w:noProof/>
            <w:webHidden/>
          </w:rPr>
          <w:fldChar w:fldCharType="begin"/>
        </w:r>
        <w:r>
          <w:rPr>
            <w:noProof/>
            <w:webHidden/>
          </w:rPr>
          <w:instrText xml:space="preserve"> PAGEREF _Toc520445322 \h </w:instrText>
        </w:r>
        <w:r>
          <w:rPr>
            <w:noProof/>
            <w:webHidden/>
          </w:rPr>
        </w:r>
        <w:r>
          <w:rPr>
            <w:noProof/>
            <w:webHidden/>
          </w:rPr>
          <w:fldChar w:fldCharType="separate"/>
        </w:r>
        <w:r>
          <w:rPr>
            <w:noProof/>
            <w:webHidden/>
          </w:rPr>
          <w:t>153</w:t>
        </w:r>
        <w:r>
          <w:rPr>
            <w:noProof/>
            <w:webHidden/>
          </w:rPr>
          <w:fldChar w:fldCharType="end"/>
        </w:r>
      </w:hyperlink>
    </w:p>
    <w:p w14:paraId="32A70C9C" w14:textId="77777777" w:rsidR="00AF6FE3" w:rsidRDefault="00AF6FE3">
      <w:pPr>
        <w:pStyle w:val="Obsah1"/>
        <w:tabs>
          <w:tab w:val="left" w:pos="1320"/>
          <w:tab w:val="right" w:leader="dot" w:pos="9202"/>
        </w:tabs>
        <w:rPr>
          <w:rFonts w:asciiTheme="minorHAnsi" w:eastAsiaTheme="minorEastAsia" w:hAnsiTheme="minorHAnsi" w:cstheme="minorBidi"/>
          <w:b w:val="0"/>
          <w:noProof/>
          <w:sz w:val="22"/>
          <w:szCs w:val="22"/>
        </w:rPr>
      </w:pPr>
      <w:hyperlink w:anchor="_Toc520445323" w:history="1">
        <w:r w:rsidRPr="00966EA5">
          <w:rPr>
            <w:rStyle w:val="Hypertextovodkaz"/>
            <w:noProof/>
            <w:spacing w:val="20"/>
          </w:rPr>
          <w:t>ODDÍL 4</w:t>
        </w:r>
        <w:r>
          <w:rPr>
            <w:rFonts w:asciiTheme="minorHAnsi" w:eastAsiaTheme="minorEastAsia" w:hAnsiTheme="minorHAnsi" w:cstheme="minorBidi"/>
            <w:b w:val="0"/>
            <w:noProof/>
            <w:sz w:val="22"/>
            <w:szCs w:val="22"/>
          </w:rPr>
          <w:tab/>
        </w:r>
        <w:r w:rsidRPr="00966EA5">
          <w:rPr>
            <w:rStyle w:val="Hypertextovodkaz"/>
            <w:noProof/>
          </w:rPr>
          <w:t>Integrovaný přístup k územnímu rozvoji</w:t>
        </w:r>
        <w:r>
          <w:rPr>
            <w:noProof/>
            <w:webHidden/>
          </w:rPr>
          <w:tab/>
        </w:r>
        <w:r>
          <w:rPr>
            <w:noProof/>
            <w:webHidden/>
          </w:rPr>
          <w:fldChar w:fldCharType="begin"/>
        </w:r>
        <w:r>
          <w:rPr>
            <w:noProof/>
            <w:webHidden/>
          </w:rPr>
          <w:instrText xml:space="preserve"> PAGEREF _Toc520445323 \h </w:instrText>
        </w:r>
        <w:r>
          <w:rPr>
            <w:noProof/>
            <w:webHidden/>
          </w:rPr>
        </w:r>
        <w:r>
          <w:rPr>
            <w:noProof/>
            <w:webHidden/>
          </w:rPr>
          <w:fldChar w:fldCharType="separate"/>
        </w:r>
        <w:r>
          <w:rPr>
            <w:noProof/>
            <w:webHidden/>
          </w:rPr>
          <w:t>155</w:t>
        </w:r>
        <w:r>
          <w:rPr>
            <w:noProof/>
            <w:webHidden/>
          </w:rPr>
          <w:fldChar w:fldCharType="end"/>
        </w:r>
      </w:hyperlink>
    </w:p>
    <w:p w14:paraId="4D9B93BD" w14:textId="77777777" w:rsidR="00AF6FE3" w:rsidRDefault="00AF6FE3">
      <w:pPr>
        <w:pStyle w:val="Obsah2"/>
        <w:tabs>
          <w:tab w:val="left" w:pos="880"/>
          <w:tab w:val="right" w:leader="dot" w:pos="9202"/>
        </w:tabs>
        <w:rPr>
          <w:rFonts w:asciiTheme="minorHAnsi" w:eastAsiaTheme="minorEastAsia" w:hAnsiTheme="minorHAnsi" w:cstheme="minorBidi"/>
          <w:noProof/>
          <w:sz w:val="22"/>
          <w:szCs w:val="22"/>
        </w:rPr>
      </w:pPr>
      <w:hyperlink w:anchor="_Toc520445324" w:history="1">
        <w:r w:rsidRPr="00966EA5">
          <w:rPr>
            <w:rStyle w:val="Hypertextovodkaz"/>
            <w:rFonts w:cs="Calibri"/>
            <w:noProof/>
          </w:rPr>
          <w:t>4.1</w:t>
        </w:r>
        <w:r>
          <w:rPr>
            <w:rFonts w:asciiTheme="minorHAnsi" w:eastAsiaTheme="minorEastAsia" w:hAnsiTheme="minorHAnsi" w:cstheme="minorBidi"/>
            <w:noProof/>
            <w:sz w:val="22"/>
            <w:szCs w:val="22"/>
          </w:rPr>
          <w:tab/>
        </w:r>
        <w:r w:rsidRPr="00966EA5">
          <w:rPr>
            <w:rStyle w:val="Hypertextovodkaz"/>
            <w:rFonts w:cs="Calibri"/>
            <w:noProof/>
          </w:rPr>
          <w:t>Nástroje k zajištění komunitně vedeného místního rozvoje</w:t>
        </w:r>
        <w:r>
          <w:rPr>
            <w:noProof/>
            <w:webHidden/>
          </w:rPr>
          <w:tab/>
        </w:r>
        <w:r>
          <w:rPr>
            <w:noProof/>
            <w:webHidden/>
          </w:rPr>
          <w:fldChar w:fldCharType="begin"/>
        </w:r>
        <w:r>
          <w:rPr>
            <w:noProof/>
            <w:webHidden/>
          </w:rPr>
          <w:instrText xml:space="preserve"> PAGEREF _Toc520445324 \h </w:instrText>
        </w:r>
        <w:r>
          <w:rPr>
            <w:noProof/>
            <w:webHidden/>
          </w:rPr>
        </w:r>
        <w:r>
          <w:rPr>
            <w:noProof/>
            <w:webHidden/>
          </w:rPr>
          <w:fldChar w:fldCharType="separate"/>
        </w:r>
        <w:r>
          <w:rPr>
            <w:noProof/>
            <w:webHidden/>
          </w:rPr>
          <w:t>156</w:t>
        </w:r>
        <w:r>
          <w:rPr>
            <w:noProof/>
            <w:webHidden/>
          </w:rPr>
          <w:fldChar w:fldCharType="end"/>
        </w:r>
      </w:hyperlink>
    </w:p>
    <w:p w14:paraId="647F960B" w14:textId="77777777" w:rsidR="00AF6FE3" w:rsidRDefault="00AF6FE3">
      <w:pPr>
        <w:pStyle w:val="Obsah2"/>
        <w:tabs>
          <w:tab w:val="left" w:pos="880"/>
          <w:tab w:val="right" w:leader="dot" w:pos="9202"/>
        </w:tabs>
        <w:rPr>
          <w:rFonts w:asciiTheme="minorHAnsi" w:eastAsiaTheme="minorEastAsia" w:hAnsiTheme="minorHAnsi" w:cstheme="minorBidi"/>
          <w:noProof/>
          <w:sz w:val="22"/>
          <w:szCs w:val="22"/>
        </w:rPr>
      </w:pPr>
      <w:hyperlink w:anchor="_Toc520445325" w:history="1">
        <w:r w:rsidRPr="00966EA5">
          <w:rPr>
            <w:rStyle w:val="Hypertextovodkaz"/>
            <w:rFonts w:cs="Calibri"/>
            <w:noProof/>
          </w:rPr>
          <w:t>4.2</w:t>
        </w:r>
        <w:r>
          <w:rPr>
            <w:rFonts w:asciiTheme="minorHAnsi" w:eastAsiaTheme="minorEastAsia" w:hAnsiTheme="minorHAnsi" w:cstheme="minorBidi"/>
            <w:noProof/>
            <w:sz w:val="22"/>
            <w:szCs w:val="22"/>
          </w:rPr>
          <w:tab/>
        </w:r>
        <w:r w:rsidRPr="00966EA5">
          <w:rPr>
            <w:rStyle w:val="Hypertextovodkaz"/>
            <w:rFonts w:cs="Calibri"/>
            <w:noProof/>
          </w:rPr>
          <w:t>Integrovaná opatření pro udržitelný rozvoj měst</w:t>
        </w:r>
        <w:r>
          <w:rPr>
            <w:noProof/>
            <w:webHidden/>
          </w:rPr>
          <w:tab/>
        </w:r>
        <w:r>
          <w:rPr>
            <w:noProof/>
            <w:webHidden/>
          </w:rPr>
          <w:fldChar w:fldCharType="begin"/>
        </w:r>
        <w:r>
          <w:rPr>
            <w:noProof/>
            <w:webHidden/>
          </w:rPr>
          <w:instrText xml:space="preserve"> PAGEREF _Toc520445325 \h </w:instrText>
        </w:r>
        <w:r>
          <w:rPr>
            <w:noProof/>
            <w:webHidden/>
          </w:rPr>
        </w:r>
        <w:r>
          <w:rPr>
            <w:noProof/>
            <w:webHidden/>
          </w:rPr>
          <w:fldChar w:fldCharType="separate"/>
        </w:r>
        <w:r>
          <w:rPr>
            <w:noProof/>
            <w:webHidden/>
          </w:rPr>
          <w:t>156</w:t>
        </w:r>
        <w:r>
          <w:rPr>
            <w:noProof/>
            <w:webHidden/>
          </w:rPr>
          <w:fldChar w:fldCharType="end"/>
        </w:r>
      </w:hyperlink>
    </w:p>
    <w:p w14:paraId="0DAC22C7" w14:textId="77777777" w:rsidR="00AF6FE3" w:rsidRDefault="00AF6FE3">
      <w:pPr>
        <w:pStyle w:val="Obsah2"/>
        <w:tabs>
          <w:tab w:val="left" w:pos="880"/>
          <w:tab w:val="right" w:leader="dot" w:pos="9202"/>
        </w:tabs>
        <w:rPr>
          <w:rFonts w:asciiTheme="minorHAnsi" w:eastAsiaTheme="minorEastAsia" w:hAnsiTheme="minorHAnsi" w:cstheme="minorBidi"/>
          <w:noProof/>
          <w:sz w:val="22"/>
          <w:szCs w:val="22"/>
        </w:rPr>
      </w:pPr>
      <w:hyperlink w:anchor="_Toc520445326" w:history="1">
        <w:r w:rsidRPr="00966EA5">
          <w:rPr>
            <w:rStyle w:val="Hypertextovodkaz"/>
            <w:noProof/>
          </w:rPr>
          <w:t>4.3</w:t>
        </w:r>
        <w:r>
          <w:rPr>
            <w:rFonts w:asciiTheme="minorHAnsi" w:eastAsiaTheme="minorEastAsia" w:hAnsiTheme="minorHAnsi" w:cstheme="minorBidi"/>
            <w:noProof/>
            <w:sz w:val="22"/>
            <w:szCs w:val="22"/>
          </w:rPr>
          <w:tab/>
        </w:r>
        <w:r w:rsidRPr="00966EA5">
          <w:rPr>
            <w:rStyle w:val="Hypertextovodkaz"/>
            <w:rFonts w:cs="Calibri"/>
            <w:noProof/>
          </w:rPr>
          <w:t>Integrované územní investice</w:t>
        </w:r>
        <w:r>
          <w:rPr>
            <w:noProof/>
            <w:webHidden/>
          </w:rPr>
          <w:tab/>
        </w:r>
        <w:r>
          <w:rPr>
            <w:noProof/>
            <w:webHidden/>
          </w:rPr>
          <w:fldChar w:fldCharType="begin"/>
        </w:r>
        <w:r>
          <w:rPr>
            <w:noProof/>
            <w:webHidden/>
          </w:rPr>
          <w:instrText xml:space="preserve"> PAGEREF _Toc520445326 \h </w:instrText>
        </w:r>
        <w:r>
          <w:rPr>
            <w:noProof/>
            <w:webHidden/>
          </w:rPr>
        </w:r>
        <w:r>
          <w:rPr>
            <w:noProof/>
            <w:webHidden/>
          </w:rPr>
          <w:fldChar w:fldCharType="separate"/>
        </w:r>
        <w:r>
          <w:rPr>
            <w:noProof/>
            <w:webHidden/>
          </w:rPr>
          <w:t>157</w:t>
        </w:r>
        <w:r>
          <w:rPr>
            <w:noProof/>
            <w:webHidden/>
          </w:rPr>
          <w:fldChar w:fldCharType="end"/>
        </w:r>
      </w:hyperlink>
    </w:p>
    <w:p w14:paraId="1FBEECA9" w14:textId="77777777" w:rsidR="00AF6FE3" w:rsidRDefault="00AF6FE3">
      <w:pPr>
        <w:pStyle w:val="Obsah2"/>
        <w:tabs>
          <w:tab w:val="left" w:pos="880"/>
          <w:tab w:val="right" w:leader="dot" w:pos="9202"/>
        </w:tabs>
        <w:rPr>
          <w:rFonts w:asciiTheme="minorHAnsi" w:eastAsiaTheme="minorEastAsia" w:hAnsiTheme="minorHAnsi" w:cstheme="minorBidi"/>
          <w:noProof/>
          <w:sz w:val="22"/>
          <w:szCs w:val="22"/>
        </w:rPr>
      </w:pPr>
      <w:hyperlink w:anchor="_Toc520445327" w:history="1">
        <w:r w:rsidRPr="00966EA5">
          <w:rPr>
            <w:rStyle w:val="Hypertextovodkaz"/>
            <w:rFonts w:cs="Calibri"/>
            <w:noProof/>
          </w:rPr>
          <w:t>4.4</w:t>
        </w:r>
        <w:r>
          <w:rPr>
            <w:rFonts w:asciiTheme="minorHAnsi" w:eastAsiaTheme="minorEastAsia" w:hAnsiTheme="minorHAnsi" w:cstheme="minorBidi"/>
            <w:noProof/>
            <w:sz w:val="22"/>
            <w:szCs w:val="22"/>
          </w:rPr>
          <w:tab/>
        </w:r>
        <w:r w:rsidRPr="00966EA5">
          <w:rPr>
            <w:rStyle w:val="Hypertextovodkaz"/>
            <w:rFonts w:cs="Calibri"/>
            <w:noProof/>
          </w:rPr>
          <w:t>Ujednání pro meziregionální a nadnárodní opatření v rámci operačního programu s příjemci, kteří se nacházejí alespoň v jednom dalším členském státu</w:t>
        </w:r>
        <w:r>
          <w:rPr>
            <w:noProof/>
            <w:webHidden/>
          </w:rPr>
          <w:tab/>
        </w:r>
        <w:r>
          <w:rPr>
            <w:noProof/>
            <w:webHidden/>
          </w:rPr>
          <w:fldChar w:fldCharType="begin"/>
        </w:r>
        <w:r>
          <w:rPr>
            <w:noProof/>
            <w:webHidden/>
          </w:rPr>
          <w:instrText xml:space="preserve"> PAGEREF _Toc520445327 \h </w:instrText>
        </w:r>
        <w:r>
          <w:rPr>
            <w:noProof/>
            <w:webHidden/>
          </w:rPr>
        </w:r>
        <w:r>
          <w:rPr>
            <w:noProof/>
            <w:webHidden/>
          </w:rPr>
          <w:fldChar w:fldCharType="separate"/>
        </w:r>
        <w:r>
          <w:rPr>
            <w:noProof/>
            <w:webHidden/>
          </w:rPr>
          <w:t>158</w:t>
        </w:r>
        <w:r>
          <w:rPr>
            <w:noProof/>
            <w:webHidden/>
          </w:rPr>
          <w:fldChar w:fldCharType="end"/>
        </w:r>
      </w:hyperlink>
    </w:p>
    <w:p w14:paraId="7A89C3FE" w14:textId="77777777" w:rsidR="00AF6FE3" w:rsidRDefault="00AF6FE3">
      <w:pPr>
        <w:pStyle w:val="Obsah2"/>
        <w:tabs>
          <w:tab w:val="left" w:pos="880"/>
          <w:tab w:val="right" w:leader="dot" w:pos="9202"/>
        </w:tabs>
        <w:rPr>
          <w:rFonts w:asciiTheme="minorHAnsi" w:eastAsiaTheme="minorEastAsia" w:hAnsiTheme="minorHAnsi" w:cstheme="minorBidi"/>
          <w:noProof/>
          <w:sz w:val="22"/>
          <w:szCs w:val="22"/>
        </w:rPr>
      </w:pPr>
      <w:hyperlink w:anchor="_Toc520445328" w:history="1">
        <w:r w:rsidRPr="00966EA5">
          <w:rPr>
            <w:rStyle w:val="Hypertextovodkaz"/>
            <w:rFonts w:cs="Calibri"/>
            <w:noProof/>
          </w:rPr>
          <w:t>4.5</w:t>
        </w:r>
        <w:r>
          <w:rPr>
            <w:rFonts w:asciiTheme="minorHAnsi" w:eastAsiaTheme="minorEastAsia" w:hAnsiTheme="minorHAnsi" w:cstheme="minorBidi"/>
            <w:noProof/>
            <w:sz w:val="22"/>
            <w:szCs w:val="22"/>
          </w:rPr>
          <w:tab/>
        </w:r>
        <w:r w:rsidRPr="00966EA5">
          <w:rPr>
            <w:rStyle w:val="Hypertextovodkaz"/>
            <w:rFonts w:cs="Calibri"/>
            <w:noProof/>
          </w:rPr>
          <w:t>Přínos plánovaných opatření programu k realizaci makroregionálních strategií a strategií pro přímořské oblasti v závislosti na potřebách programové oblasti určených příslušným členským státem</w:t>
        </w:r>
        <w:r>
          <w:rPr>
            <w:noProof/>
            <w:webHidden/>
          </w:rPr>
          <w:tab/>
        </w:r>
        <w:r>
          <w:rPr>
            <w:noProof/>
            <w:webHidden/>
          </w:rPr>
          <w:fldChar w:fldCharType="begin"/>
        </w:r>
        <w:r>
          <w:rPr>
            <w:noProof/>
            <w:webHidden/>
          </w:rPr>
          <w:instrText xml:space="preserve"> PAGEREF _Toc520445328 \h </w:instrText>
        </w:r>
        <w:r>
          <w:rPr>
            <w:noProof/>
            <w:webHidden/>
          </w:rPr>
        </w:r>
        <w:r>
          <w:rPr>
            <w:noProof/>
            <w:webHidden/>
          </w:rPr>
          <w:fldChar w:fldCharType="separate"/>
        </w:r>
        <w:r>
          <w:rPr>
            <w:noProof/>
            <w:webHidden/>
          </w:rPr>
          <w:t>158</w:t>
        </w:r>
        <w:r>
          <w:rPr>
            <w:noProof/>
            <w:webHidden/>
          </w:rPr>
          <w:fldChar w:fldCharType="end"/>
        </w:r>
      </w:hyperlink>
    </w:p>
    <w:p w14:paraId="1230D4BF" w14:textId="77777777" w:rsidR="00AF6FE3" w:rsidRDefault="00AF6FE3">
      <w:pPr>
        <w:pStyle w:val="Obsah1"/>
        <w:tabs>
          <w:tab w:val="left" w:pos="1320"/>
          <w:tab w:val="right" w:leader="dot" w:pos="9202"/>
        </w:tabs>
        <w:rPr>
          <w:rFonts w:asciiTheme="minorHAnsi" w:eastAsiaTheme="minorEastAsia" w:hAnsiTheme="minorHAnsi" w:cstheme="minorBidi"/>
          <w:b w:val="0"/>
          <w:noProof/>
          <w:sz w:val="22"/>
          <w:szCs w:val="22"/>
        </w:rPr>
      </w:pPr>
      <w:hyperlink w:anchor="_Toc520445329" w:history="1">
        <w:r w:rsidRPr="00966EA5">
          <w:rPr>
            <w:rStyle w:val="Hypertextovodkaz"/>
            <w:noProof/>
            <w:spacing w:val="20"/>
          </w:rPr>
          <w:t>ODDÍL 5</w:t>
        </w:r>
        <w:r>
          <w:rPr>
            <w:rFonts w:asciiTheme="minorHAnsi" w:eastAsiaTheme="minorEastAsia" w:hAnsiTheme="minorHAnsi" w:cstheme="minorBidi"/>
            <w:b w:val="0"/>
            <w:noProof/>
            <w:sz w:val="22"/>
            <w:szCs w:val="22"/>
          </w:rPr>
          <w:tab/>
        </w:r>
        <w:r w:rsidRPr="00966EA5">
          <w:rPr>
            <w:rStyle w:val="Hypertextovodkaz"/>
            <w:noProof/>
          </w:rPr>
          <w:t>Specifické potřeby zeměpisných oblastí nejvíce postižených chudobou nebo cílových skupin, jimž nejvíce hrozí diskriminace nebo sociální vyloučení</w:t>
        </w:r>
        <w:r>
          <w:rPr>
            <w:noProof/>
            <w:webHidden/>
          </w:rPr>
          <w:tab/>
        </w:r>
        <w:r>
          <w:rPr>
            <w:noProof/>
            <w:webHidden/>
          </w:rPr>
          <w:fldChar w:fldCharType="begin"/>
        </w:r>
        <w:r>
          <w:rPr>
            <w:noProof/>
            <w:webHidden/>
          </w:rPr>
          <w:instrText xml:space="preserve"> PAGEREF _Toc520445329 \h </w:instrText>
        </w:r>
        <w:r>
          <w:rPr>
            <w:noProof/>
            <w:webHidden/>
          </w:rPr>
        </w:r>
        <w:r>
          <w:rPr>
            <w:noProof/>
            <w:webHidden/>
          </w:rPr>
          <w:fldChar w:fldCharType="separate"/>
        </w:r>
        <w:r>
          <w:rPr>
            <w:noProof/>
            <w:webHidden/>
          </w:rPr>
          <w:t>160</w:t>
        </w:r>
        <w:r>
          <w:rPr>
            <w:noProof/>
            <w:webHidden/>
          </w:rPr>
          <w:fldChar w:fldCharType="end"/>
        </w:r>
      </w:hyperlink>
    </w:p>
    <w:p w14:paraId="765E6565" w14:textId="77777777" w:rsidR="00AF6FE3" w:rsidRDefault="00AF6FE3">
      <w:pPr>
        <w:pStyle w:val="Obsah2"/>
        <w:tabs>
          <w:tab w:val="left" w:pos="880"/>
          <w:tab w:val="right" w:leader="dot" w:pos="9202"/>
        </w:tabs>
        <w:rPr>
          <w:rFonts w:asciiTheme="minorHAnsi" w:eastAsiaTheme="minorEastAsia" w:hAnsiTheme="minorHAnsi" w:cstheme="minorBidi"/>
          <w:noProof/>
          <w:sz w:val="22"/>
          <w:szCs w:val="22"/>
        </w:rPr>
      </w:pPr>
      <w:hyperlink w:anchor="_Toc520445330" w:history="1">
        <w:r w:rsidRPr="00966EA5">
          <w:rPr>
            <w:rStyle w:val="Hypertextovodkaz"/>
            <w:noProof/>
          </w:rPr>
          <w:t>5.1</w:t>
        </w:r>
        <w:r>
          <w:rPr>
            <w:rFonts w:asciiTheme="minorHAnsi" w:eastAsiaTheme="minorEastAsia" w:hAnsiTheme="minorHAnsi" w:cstheme="minorBidi"/>
            <w:noProof/>
            <w:sz w:val="22"/>
            <w:szCs w:val="22"/>
          </w:rPr>
          <w:tab/>
        </w:r>
        <w:r w:rsidRPr="00966EA5">
          <w:rPr>
            <w:rStyle w:val="Hypertextovodkaz"/>
            <w:noProof/>
          </w:rPr>
          <w:t>Zeměpisné oblasti nejvíce postižené chudobou / cílové skupiny, jimž nejvíce hrozí diskriminace nebo sociální vyloučení</w:t>
        </w:r>
        <w:r>
          <w:rPr>
            <w:noProof/>
            <w:webHidden/>
          </w:rPr>
          <w:tab/>
        </w:r>
        <w:r>
          <w:rPr>
            <w:noProof/>
            <w:webHidden/>
          </w:rPr>
          <w:fldChar w:fldCharType="begin"/>
        </w:r>
        <w:r>
          <w:rPr>
            <w:noProof/>
            <w:webHidden/>
          </w:rPr>
          <w:instrText xml:space="preserve"> PAGEREF _Toc520445330 \h </w:instrText>
        </w:r>
        <w:r>
          <w:rPr>
            <w:noProof/>
            <w:webHidden/>
          </w:rPr>
        </w:r>
        <w:r>
          <w:rPr>
            <w:noProof/>
            <w:webHidden/>
          </w:rPr>
          <w:fldChar w:fldCharType="separate"/>
        </w:r>
        <w:r>
          <w:rPr>
            <w:noProof/>
            <w:webHidden/>
          </w:rPr>
          <w:t>160</w:t>
        </w:r>
        <w:r>
          <w:rPr>
            <w:noProof/>
            <w:webHidden/>
          </w:rPr>
          <w:fldChar w:fldCharType="end"/>
        </w:r>
      </w:hyperlink>
    </w:p>
    <w:p w14:paraId="1E64D4DF" w14:textId="77777777" w:rsidR="00AF6FE3" w:rsidRDefault="00AF6FE3">
      <w:pPr>
        <w:pStyle w:val="Obsah2"/>
        <w:tabs>
          <w:tab w:val="left" w:pos="880"/>
          <w:tab w:val="right" w:leader="dot" w:pos="9202"/>
        </w:tabs>
        <w:rPr>
          <w:rFonts w:asciiTheme="minorHAnsi" w:eastAsiaTheme="minorEastAsia" w:hAnsiTheme="minorHAnsi" w:cstheme="minorBidi"/>
          <w:noProof/>
          <w:sz w:val="22"/>
          <w:szCs w:val="22"/>
        </w:rPr>
      </w:pPr>
      <w:hyperlink w:anchor="_Toc520445331" w:history="1">
        <w:r w:rsidRPr="00966EA5">
          <w:rPr>
            <w:rStyle w:val="Hypertextovodkaz"/>
            <w:noProof/>
          </w:rPr>
          <w:t>5.2</w:t>
        </w:r>
        <w:r>
          <w:rPr>
            <w:rFonts w:asciiTheme="minorHAnsi" w:eastAsiaTheme="minorEastAsia" w:hAnsiTheme="minorHAnsi" w:cstheme="minorBidi"/>
            <w:noProof/>
            <w:sz w:val="22"/>
            <w:szCs w:val="22"/>
          </w:rPr>
          <w:tab/>
        </w:r>
        <w:r w:rsidRPr="00966EA5">
          <w:rPr>
            <w:rStyle w:val="Hypertextovodkaz"/>
            <w:noProof/>
          </w:rPr>
          <w:t>Strategie pro řešení specifických potřeb zeměpisných oblastí nejvíce postižených chudobou / cílových skupin, jimž nejvíce hrozí diskriminace nebo sociální vyloučení a případně přínos k integrovanému přístupu stanovenému za tímto účelem v dohodě o partnerství</w:t>
        </w:r>
        <w:r>
          <w:rPr>
            <w:noProof/>
            <w:webHidden/>
          </w:rPr>
          <w:tab/>
        </w:r>
        <w:r>
          <w:rPr>
            <w:noProof/>
            <w:webHidden/>
          </w:rPr>
          <w:fldChar w:fldCharType="begin"/>
        </w:r>
        <w:r>
          <w:rPr>
            <w:noProof/>
            <w:webHidden/>
          </w:rPr>
          <w:instrText xml:space="preserve"> PAGEREF _Toc520445331 \h </w:instrText>
        </w:r>
        <w:r>
          <w:rPr>
            <w:noProof/>
            <w:webHidden/>
          </w:rPr>
        </w:r>
        <w:r>
          <w:rPr>
            <w:noProof/>
            <w:webHidden/>
          </w:rPr>
          <w:fldChar w:fldCharType="separate"/>
        </w:r>
        <w:r>
          <w:rPr>
            <w:noProof/>
            <w:webHidden/>
          </w:rPr>
          <w:t>161</w:t>
        </w:r>
        <w:r>
          <w:rPr>
            <w:noProof/>
            <w:webHidden/>
          </w:rPr>
          <w:fldChar w:fldCharType="end"/>
        </w:r>
      </w:hyperlink>
    </w:p>
    <w:p w14:paraId="1D47282F" w14:textId="77777777" w:rsidR="00AF6FE3" w:rsidRDefault="00AF6FE3">
      <w:pPr>
        <w:pStyle w:val="Obsah1"/>
        <w:tabs>
          <w:tab w:val="left" w:pos="1320"/>
          <w:tab w:val="right" w:leader="dot" w:pos="9202"/>
        </w:tabs>
        <w:rPr>
          <w:rFonts w:asciiTheme="minorHAnsi" w:eastAsiaTheme="minorEastAsia" w:hAnsiTheme="minorHAnsi" w:cstheme="minorBidi"/>
          <w:b w:val="0"/>
          <w:noProof/>
          <w:sz w:val="22"/>
          <w:szCs w:val="22"/>
        </w:rPr>
      </w:pPr>
      <w:hyperlink w:anchor="_Toc520445332" w:history="1">
        <w:r w:rsidRPr="00966EA5">
          <w:rPr>
            <w:rStyle w:val="Hypertextovodkaz"/>
            <w:noProof/>
            <w:spacing w:val="20"/>
          </w:rPr>
          <w:t>ODDÍL 6</w:t>
        </w:r>
        <w:r>
          <w:rPr>
            <w:rFonts w:asciiTheme="minorHAnsi" w:eastAsiaTheme="minorEastAsia" w:hAnsiTheme="minorHAnsi" w:cstheme="minorBidi"/>
            <w:b w:val="0"/>
            <w:noProof/>
            <w:sz w:val="22"/>
            <w:szCs w:val="22"/>
          </w:rPr>
          <w:tab/>
        </w:r>
        <w:r w:rsidRPr="00966EA5">
          <w:rPr>
            <w:rStyle w:val="Hypertextovodkaz"/>
            <w:noProof/>
          </w:rPr>
          <w:t>Specifické potřeby zeměpisných oblastí, které jsou závažně a trvale znevýhodněny přírodními nebo demografickými podmínkami</w:t>
        </w:r>
        <w:r>
          <w:rPr>
            <w:noProof/>
            <w:webHidden/>
          </w:rPr>
          <w:tab/>
        </w:r>
        <w:r>
          <w:rPr>
            <w:noProof/>
            <w:webHidden/>
          </w:rPr>
          <w:fldChar w:fldCharType="begin"/>
        </w:r>
        <w:r>
          <w:rPr>
            <w:noProof/>
            <w:webHidden/>
          </w:rPr>
          <w:instrText xml:space="preserve"> PAGEREF _Toc520445332 \h </w:instrText>
        </w:r>
        <w:r>
          <w:rPr>
            <w:noProof/>
            <w:webHidden/>
          </w:rPr>
        </w:r>
        <w:r>
          <w:rPr>
            <w:noProof/>
            <w:webHidden/>
          </w:rPr>
          <w:fldChar w:fldCharType="separate"/>
        </w:r>
        <w:r>
          <w:rPr>
            <w:noProof/>
            <w:webHidden/>
          </w:rPr>
          <w:t>163</w:t>
        </w:r>
        <w:r>
          <w:rPr>
            <w:noProof/>
            <w:webHidden/>
          </w:rPr>
          <w:fldChar w:fldCharType="end"/>
        </w:r>
      </w:hyperlink>
    </w:p>
    <w:p w14:paraId="4DDD5D41" w14:textId="77777777" w:rsidR="00AF6FE3" w:rsidRDefault="00AF6FE3">
      <w:pPr>
        <w:pStyle w:val="Obsah1"/>
        <w:tabs>
          <w:tab w:val="left" w:pos="1320"/>
          <w:tab w:val="right" w:leader="dot" w:pos="9202"/>
        </w:tabs>
        <w:rPr>
          <w:rFonts w:asciiTheme="minorHAnsi" w:eastAsiaTheme="minorEastAsia" w:hAnsiTheme="minorHAnsi" w:cstheme="minorBidi"/>
          <w:b w:val="0"/>
          <w:noProof/>
          <w:sz w:val="22"/>
          <w:szCs w:val="22"/>
        </w:rPr>
      </w:pPr>
      <w:hyperlink w:anchor="_Toc520445333" w:history="1">
        <w:r w:rsidRPr="00966EA5">
          <w:rPr>
            <w:rStyle w:val="Hypertextovodkaz"/>
            <w:noProof/>
            <w:spacing w:val="20"/>
          </w:rPr>
          <w:t>ODDÍL 7</w:t>
        </w:r>
        <w:r>
          <w:rPr>
            <w:rFonts w:asciiTheme="minorHAnsi" w:eastAsiaTheme="minorEastAsia" w:hAnsiTheme="minorHAnsi" w:cstheme="minorBidi"/>
            <w:b w:val="0"/>
            <w:noProof/>
            <w:sz w:val="22"/>
            <w:szCs w:val="22"/>
          </w:rPr>
          <w:tab/>
        </w:r>
        <w:r w:rsidRPr="00966EA5">
          <w:rPr>
            <w:rStyle w:val="Hypertextovodkaz"/>
            <w:noProof/>
          </w:rPr>
          <w:t>Orgány a subjekty odpovědné za řízení, kontrolu a audit a úloha příslušných partnerů</w:t>
        </w:r>
        <w:r>
          <w:rPr>
            <w:noProof/>
            <w:webHidden/>
          </w:rPr>
          <w:tab/>
        </w:r>
        <w:r>
          <w:rPr>
            <w:noProof/>
            <w:webHidden/>
          </w:rPr>
          <w:fldChar w:fldCharType="begin"/>
        </w:r>
        <w:r>
          <w:rPr>
            <w:noProof/>
            <w:webHidden/>
          </w:rPr>
          <w:instrText xml:space="preserve"> PAGEREF _Toc520445333 \h </w:instrText>
        </w:r>
        <w:r>
          <w:rPr>
            <w:noProof/>
            <w:webHidden/>
          </w:rPr>
        </w:r>
        <w:r>
          <w:rPr>
            <w:noProof/>
            <w:webHidden/>
          </w:rPr>
          <w:fldChar w:fldCharType="separate"/>
        </w:r>
        <w:r>
          <w:rPr>
            <w:noProof/>
            <w:webHidden/>
          </w:rPr>
          <w:t>164</w:t>
        </w:r>
        <w:r>
          <w:rPr>
            <w:noProof/>
            <w:webHidden/>
          </w:rPr>
          <w:fldChar w:fldCharType="end"/>
        </w:r>
      </w:hyperlink>
    </w:p>
    <w:p w14:paraId="404F59B6" w14:textId="77777777" w:rsidR="00AF6FE3" w:rsidRDefault="00AF6FE3">
      <w:pPr>
        <w:pStyle w:val="Obsah2"/>
        <w:tabs>
          <w:tab w:val="left" w:pos="880"/>
          <w:tab w:val="right" w:leader="dot" w:pos="9202"/>
        </w:tabs>
        <w:rPr>
          <w:rFonts w:asciiTheme="minorHAnsi" w:eastAsiaTheme="minorEastAsia" w:hAnsiTheme="minorHAnsi" w:cstheme="minorBidi"/>
          <w:noProof/>
          <w:sz w:val="22"/>
          <w:szCs w:val="22"/>
        </w:rPr>
      </w:pPr>
      <w:hyperlink w:anchor="_Toc520445334" w:history="1">
        <w:r w:rsidRPr="00966EA5">
          <w:rPr>
            <w:rStyle w:val="Hypertextovodkaz"/>
            <w:rFonts w:cs="Calibri"/>
            <w:noProof/>
          </w:rPr>
          <w:t>7.1</w:t>
        </w:r>
        <w:r>
          <w:rPr>
            <w:rFonts w:asciiTheme="minorHAnsi" w:eastAsiaTheme="minorEastAsia" w:hAnsiTheme="minorHAnsi" w:cstheme="minorBidi"/>
            <w:noProof/>
            <w:sz w:val="22"/>
            <w:szCs w:val="22"/>
          </w:rPr>
          <w:tab/>
        </w:r>
        <w:r w:rsidRPr="00966EA5">
          <w:rPr>
            <w:rStyle w:val="Hypertextovodkaz"/>
            <w:rFonts w:cs="Calibri"/>
            <w:noProof/>
          </w:rPr>
          <w:t>Příslušné orgány a subjekty</w:t>
        </w:r>
        <w:r>
          <w:rPr>
            <w:noProof/>
            <w:webHidden/>
          </w:rPr>
          <w:tab/>
        </w:r>
        <w:r>
          <w:rPr>
            <w:noProof/>
            <w:webHidden/>
          </w:rPr>
          <w:fldChar w:fldCharType="begin"/>
        </w:r>
        <w:r>
          <w:rPr>
            <w:noProof/>
            <w:webHidden/>
          </w:rPr>
          <w:instrText xml:space="preserve"> PAGEREF _Toc520445334 \h </w:instrText>
        </w:r>
        <w:r>
          <w:rPr>
            <w:noProof/>
            <w:webHidden/>
          </w:rPr>
        </w:r>
        <w:r>
          <w:rPr>
            <w:noProof/>
            <w:webHidden/>
          </w:rPr>
          <w:fldChar w:fldCharType="separate"/>
        </w:r>
        <w:r>
          <w:rPr>
            <w:noProof/>
            <w:webHidden/>
          </w:rPr>
          <w:t>164</w:t>
        </w:r>
        <w:r>
          <w:rPr>
            <w:noProof/>
            <w:webHidden/>
          </w:rPr>
          <w:fldChar w:fldCharType="end"/>
        </w:r>
      </w:hyperlink>
    </w:p>
    <w:p w14:paraId="3F315F74" w14:textId="77777777" w:rsidR="00AF6FE3" w:rsidRDefault="00AF6FE3">
      <w:pPr>
        <w:pStyle w:val="Obsah2"/>
        <w:tabs>
          <w:tab w:val="left" w:pos="880"/>
          <w:tab w:val="right" w:leader="dot" w:pos="9202"/>
        </w:tabs>
        <w:rPr>
          <w:rFonts w:asciiTheme="minorHAnsi" w:eastAsiaTheme="minorEastAsia" w:hAnsiTheme="minorHAnsi" w:cstheme="minorBidi"/>
          <w:noProof/>
          <w:sz w:val="22"/>
          <w:szCs w:val="22"/>
        </w:rPr>
      </w:pPr>
      <w:hyperlink w:anchor="_Toc520445335" w:history="1">
        <w:r w:rsidRPr="00966EA5">
          <w:rPr>
            <w:rStyle w:val="Hypertextovodkaz"/>
            <w:rFonts w:cs="Calibri"/>
            <w:noProof/>
          </w:rPr>
          <w:t>7.2</w:t>
        </w:r>
        <w:r>
          <w:rPr>
            <w:rFonts w:asciiTheme="minorHAnsi" w:eastAsiaTheme="minorEastAsia" w:hAnsiTheme="minorHAnsi" w:cstheme="minorBidi"/>
            <w:noProof/>
            <w:sz w:val="22"/>
            <w:szCs w:val="22"/>
          </w:rPr>
          <w:tab/>
        </w:r>
        <w:r w:rsidRPr="00966EA5">
          <w:rPr>
            <w:rStyle w:val="Hypertextovodkaz"/>
            <w:rFonts w:cs="Calibri"/>
            <w:noProof/>
          </w:rPr>
          <w:t>Zapojení příslušných partnerů</w:t>
        </w:r>
        <w:r>
          <w:rPr>
            <w:noProof/>
            <w:webHidden/>
          </w:rPr>
          <w:tab/>
        </w:r>
        <w:r>
          <w:rPr>
            <w:noProof/>
            <w:webHidden/>
          </w:rPr>
          <w:fldChar w:fldCharType="begin"/>
        </w:r>
        <w:r>
          <w:rPr>
            <w:noProof/>
            <w:webHidden/>
          </w:rPr>
          <w:instrText xml:space="preserve"> PAGEREF _Toc520445335 \h </w:instrText>
        </w:r>
        <w:r>
          <w:rPr>
            <w:noProof/>
            <w:webHidden/>
          </w:rPr>
        </w:r>
        <w:r>
          <w:rPr>
            <w:noProof/>
            <w:webHidden/>
          </w:rPr>
          <w:fldChar w:fldCharType="separate"/>
        </w:r>
        <w:r>
          <w:rPr>
            <w:noProof/>
            <w:webHidden/>
          </w:rPr>
          <w:t>165</w:t>
        </w:r>
        <w:r>
          <w:rPr>
            <w:noProof/>
            <w:webHidden/>
          </w:rPr>
          <w:fldChar w:fldCharType="end"/>
        </w:r>
      </w:hyperlink>
    </w:p>
    <w:p w14:paraId="6427B1CA" w14:textId="77777777" w:rsidR="00AF6FE3" w:rsidRDefault="00AF6FE3">
      <w:pPr>
        <w:pStyle w:val="Obsah3"/>
        <w:rPr>
          <w:rFonts w:asciiTheme="minorHAnsi" w:eastAsiaTheme="minorEastAsia" w:hAnsiTheme="minorHAnsi" w:cstheme="minorBidi"/>
          <w:i w:val="0"/>
          <w:sz w:val="22"/>
          <w:szCs w:val="22"/>
        </w:rPr>
      </w:pPr>
      <w:hyperlink w:anchor="_Toc520445336" w:history="1">
        <w:r w:rsidRPr="00966EA5">
          <w:rPr>
            <w:rStyle w:val="Hypertextovodkaz"/>
            <w:rFonts w:cs="Calibri"/>
          </w:rPr>
          <w:t>7.2.1</w:t>
        </w:r>
        <w:r>
          <w:rPr>
            <w:rFonts w:asciiTheme="minorHAnsi" w:eastAsiaTheme="minorEastAsia" w:hAnsiTheme="minorHAnsi" w:cstheme="minorBidi"/>
            <w:i w:val="0"/>
            <w:sz w:val="22"/>
            <w:szCs w:val="22"/>
          </w:rPr>
          <w:tab/>
        </w:r>
        <w:r w:rsidRPr="00966EA5">
          <w:rPr>
            <w:rStyle w:val="Hypertextovodkaz"/>
            <w:rFonts w:cs="Calibri"/>
          </w:rPr>
          <w:t>Opatření přijatá k zapojení příslušných partnerů do přípravy operačního programu a úlohy partnerů při provádění, monitorování a hodnocení operačního programu</w:t>
        </w:r>
        <w:r>
          <w:rPr>
            <w:webHidden/>
          </w:rPr>
          <w:tab/>
        </w:r>
        <w:r>
          <w:rPr>
            <w:webHidden/>
          </w:rPr>
          <w:fldChar w:fldCharType="begin"/>
        </w:r>
        <w:r>
          <w:rPr>
            <w:webHidden/>
          </w:rPr>
          <w:instrText xml:space="preserve"> PAGEREF _Toc520445336 \h </w:instrText>
        </w:r>
        <w:r>
          <w:rPr>
            <w:webHidden/>
          </w:rPr>
        </w:r>
        <w:r>
          <w:rPr>
            <w:webHidden/>
          </w:rPr>
          <w:fldChar w:fldCharType="separate"/>
        </w:r>
        <w:r>
          <w:rPr>
            <w:webHidden/>
          </w:rPr>
          <w:t>165</w:t>
        </w:r>
        <w:r>
          <w:rPr>
            <w:webHidden/>
          </w:rPr>
          <w:fldChar w:fldCharType="end"/>
        </w:r>
      </w:hyperlink>
    </w:p>
    <w:p w14:paraId="61DC8B9D" w14:textId="77777777" w:rsidR="00AF6FE3" w:rsidRDefault="00AF6FE3">
      <w:pPr>
        <w:pStyle w:val="Obsah3"/>
        <w:rPr>
          <w:rFonts w:asciiTheme="minorHAnsi" w:eastAsiaTheme="minorEastAsia" w:hAnsiTheme="minorHAnsi" w:cstheme="minorBidi"/>
          <w:i w:val="0"/>
          <w:sz w:val="22"/>
          <w:szCs w:val="22"/>
        </w:rPr>
      </w:pPr>
      <w:hyperlink w:anchor="_Toc520445337" w:history="1">
        <w:r w:rsidRPr="00966EA5">
          <w:rPr>
            <w:rStyle w:val="Hypertextovodkaz"/>
            <w:rFonts w:cs="Calibri"/>
          </w:rPr>
          <w:t>7.2.2</w:t>
        </w:r>
        <w:r>
          <w:rPr>
            <w:rFonts w:asciiTheme="minorHAnsi" w:eastAsiaTheme="minorEastAsia" w:hAnsiTheme="minorHAnsi" w:cstheme="minorBidi"/>
            <w:i w:val="0"/>
            <w:sz w:val="22"/>
            <w:szCs w:val="22"/>
          </w:rPr>
          <w:tab/>
        </w:r>
        <w:r w:rsidRPr="00966EA5">
          <w:rPr>
            <w:rStyle w:val="Hypertextovodkaz"/>
            <w:rFonts w:cs="Calibri"/>
          </w:rPr>
          <w:t>Globální granty (pro ESF, použije-li se)</w:t>
        </w:r>
        <w:r>
          <w:rPr>
            <w:webHidden/>
          </w:rPr>
          <w:tab/>
        </w:r>
        <w:r>
          <w:rPr>
            <w:webHidden/>
          </w:rPr>
          <w:fldChar w:fldCharType="begin"/>
        </w:r>
        <w:r>
          <w:rPr>
            <w:webHidden/>
          </w:rPr>
          <w:instrText xml:space="preserve"> PAGEREF _Toc520445337 \h </w:instrText>
        </w:r>
        <w:r>
          <w:rPr>
            <w:webHidden/>
          </w:rPr>
        </w:r>
        <w:r>
          <w:rPr>
            <w:webHidden/>
          </w:rPr>
          <w:fldChar w:fldCharType="separate"/>
        </w:r>
        <w:r>
          <w:rPr>
            <w:webHidden/>
          </w:rPr>
          <w:t>169</w:t>
        </w:r>
        <w:r>
          <w:rPr>
            <w:webHidden/>
          </w:rPr>
          <w:fldChar w:fldCharType="end"/>
        </w:r>
      </w:hyperlink>
    </w:p>
    <w:p w14:paraId="64E50230" w14:textId="77777777" w:rsidR="00AF6FE3" w:rsidRDefault="00AF6FE3">
      <w:pPr>
        <w:pStyle w:val="Obsah3"/>
        <w:rPr>
          <w:rFonts w:asciiTheme="minorHAnsi" w:eastAsiaTheme="minorEastAsia" w:hAnsiTheme="minorHAnsi" w:cstheme="minorBidi"/>
          <w:i w:val="0"/>
          <w:sz w:val="22"/>
          <w:szCs w:val="22"/>
        </w:rPr>
      </w:pPr>
      <w:hyperlink w:anchor="_Toc520445338" w:history="1">
        <w:r w:rsidRPr="00966EA5">
          <w:rPr>
            <w:rStyle w:val="Hypertextovodkaz"/>
            <w:rFonts w:cs="Calibri"/>
          </w:rPr>
          <w:t>7.2.3</w:t>
        </w:r>
        <w:r>
          <w:rPr>
            <w:rFonts w:asciiTheme="minorHAnsi" w:eastAsiaTheme="minorEastAsia" w:hAnsiTheme="minorHAnsi" w:cstheme="minorBidi"/>
            <w:i w:val="0"/>
            <w:sz w:val="22"/>
            <w:szCs w:val="22"/>
          </w:rPr>
          <w:tab/>
        </w:r>
        <w:r w:rsidRPr="00966EA5">
          <w:rPr>
            <w:rStyle w:val="Hypertextovodkaz"/>
            <w:rFonts w:cs="Calibri"/>
          </w:rPr>
          <w:t>Přidělení částky na vytváření kapacit (pro ESF, použije-li se)</w:t>
        </w:r>
        <w:r>
          <w:rPr>
            <w:webHidden/>
          </w:rPr>
          <w:tab/>
        </w:r>
        <w:r>
          <w:rPr>
            <w:webHidden/>
          </w:rPr>
          <w:fldChar w:fldCharType="begin"/>
        </w:r>
        <w:r>
          <w:rPr>
            <w:webHidden/>
          </w:rPr>
          <w:instrText xml:space="preserve"> PAGEREF _Toc520445338 \h </w:instrText>
        </w:r>
        <w:r>
          <w:rPr>
            <w:webHidden/>
          </w:rPr>
        </w:r>
        <w:r>
          <w:rPr>
            <w:webHidden/>
          </w:rPr>
          <w:fldChar w:fldCharType="separate"/>
        </w:r>
        <w:r>
          <w:rPr>
            <w:webHidden/>
          </w:rPr>
          <w:t>169</w:t>
        </w:r>
        <w:r>
          <w:rPr>
            <w:webHidden/>
          </w:rPr>
          <w:fldChar w:fldCharType="end"/>
        </w:r>
      </w:hyperlink>
    </w:p>
    <w:p w14:paraId="4091EAD1" w14:textId="77777777" w:rsidR="00AF6FE3" w:rsidRDefault="00AF6FE3">
      <w:pPr>
        <w:pStyle w:val="Obsah1"/>
        <w:tabs>
          <w:tab w:val="left" w:pos="1320"/>
          <w:tab w:val="right" w:leader="dot" w:pos="9202"/>
        </w:tabs>
        <w:rPr>
          <w:rFonts w:asciiTheme="minorHAnsi" w:eastAsiaTheme="minorEastAsia" w:hAnsiTheme="minorHAnsi" w:cstheme="minorBidi"/>
          <w:b w:val="0"/>
          <w:noProof/>
          <w:sz w:val="22"/>
          <w:szCs w:val="22"/>
        </w:rPr>
      </w:pPr>
      <w:hyperlink w:anchor="_Toc520445339" w:history="1">
        <w:r w:rsidRPr="00966EA5">
          <w:rPr>
            <w:rStyle w:val="Hypertextovodkaz"/>
            <w:noProof/>
            <w:spacing w:val="20"/>
          </w:rPr>
          <w:t>ODDÍL 8</w:t>
        </w:r>
        <w:r>
          <w:rPr>
            <w:rFonts w:asciiTheme="minorHAnsi" w:eastAsiaTheme="minorEastAsia" w:hAnsiTheme="minorHAnsi" w:cstheme="minorBidi"/>
            <w:b w:val="0"/>
            <w:noProof/>
            <w:sz w:val="22"/>
            <w:szCs w:val="22"/>
          </w:rPr>
          <w:tab/>
        </w:r>
        <w:r w:rsidRPr="00966EA5">
          <w:rPr>
            <w:rStyle w:val="Hypertextovodkaz"/>
            <w:noProof/>
          </w:rPr>
          <w:t>Koordinace mezi fondy, EZFRV, EMFF a dalšími unijními a vnitrostátními finančními nástroji a s EIB</w:t>
        </w:r>
        <w:r>
          <w:rPr>
            <w:noProof/>
            <w:webHidden/>
          </w:rPr>
          <w:tab/>
        </w:r>
        <w:r>
          <w:rPr>
            <w:noProof/>
            <w:webHidden/>
          </w:rPr>
          <w:fldChar w:fldCharType="begin"/>
        </w:r>
        <w:r>
          <w:rPr>
            <w:noProof/>
            <w:webHidden/>
          </w:rPr>
          <w:instrText xml:space="preserve"> PAGEREF _Toc520445339 \h </w:instrText>
        </w:r>
        <w:r>
          <w:rPr>
            <w:noProof/>
            <w:webHidden/>
          </w:rPr>
        </w:r>
        <w:r>
          <w:rPr>
            <w:noProof/>
            <w:webHidden/>
          </w:rPr>
          <w:fldChar w:fldCharType="separate"/>
        </w:r>
        <w:r>
          <w:rPr>
            <w:noProof/>
            <w:webHidden/>
          </w:rPr>
          <w:t>170</w:t>
        </w:r>
        <w:r>
          <w:rPr>
            <w:noProof/>
            <w:webHidden/>
          </w:rPr>
          <w:fldChar w:fldCharType="end"/>
        </w:r>
      </w:hyperlink>
    </w:p>
    <w:p w14:paraId="38EA25AC" w14:textId="77777777" w:rsidR="00AF6FE3" w:rsidRDefault="00AF6FE3">
      <w:pPr>
        <w:pStyle w:val="Obsah1"/>
        <w:tabs>
          <w:tab w:val="left" w:pos="1320"/>
          <w:tab w:val="right" w:leader="dot" w:pos="9202"/>
        </w:tabs>
        <w:rPr>
          <w:rFonts w:asciiTheme="minorHAnsi" w:eastAsiaTheme="minorEastAsia" w:hAnsiTheme="minorHAnsi" w:cstheme="minorBidi"/>
          <w:b w:val="0"/>
          <w:noProof/>
          <w:sz w:val="22"/>
          <w:szCs w:val="22"/>
        </w:rPr>
      </w:pPr>
      <w:hyperlink w:anchor="_Toc520445340" w:history="1">
        <w:r w:rsidRPr="00966EA5">
          <w:rPr>
            <w:rStyle w:val="Hypertextovodkaz"/>
            <w:noProof/>
            <w:spacing w:val="20"/>
          </w:rPr>
          <w:t>ODDÍL 9</w:t>
        </w:r>
        <w:r>
          <w:rPr>
            <w:rFonts w:asciiTheme="minorHAnsi" w:eastAsiaTheme="minorEastAsia" w:hAnsiTheme="minorHAnsi" w:cstheme="minorBidi"/>
            <w:b w:val="0"/>
            <w:noProof/>
            <w:sz w:val="22"/>
            <w:szCs w:val="22"/>
          </w:rPr>
          <w:tab/>
        </w:r>
        <w:r w:rsidRPr="00966EA5">
          <w:rPr>
            <w:rStyle w:val="Hypertextovodkaz"/>
            <w:noProof/>
          </w:rPr>
          <w:t>Předběžné podmínky</w:t>
        </w:r>
        <w:r>
          <w:rPr>
            <w:noProof/>
            <w:webHidden/>
          </w:rPr>
          <w:tab/>
        </w:r>
        <w:r>
          <w:rPr>
            <w:noProof/>
            <w:webHidden/>
          </w:rPr>
          <w:fldChar w:fldCharType="begin"/>
        </w:r>
        <w:r>
          <w:rPr>
            <w:noProof/>
            <w:webHidden/>
          </w:rPr>
          <w:instrText xml:space="preserve"> PAGEREF _Toc520445340 \h </w:instrText>
        </w:r>
        <w:r>
          <w:rPr>
            <w:noProof/>
            <w:webHidden/>
          </w:rPr>
        </w:r>
        <w:r>
          <w:rPr>
            <w:noProof/>
            <w:webHidden/>
          </w:rPr>
          <w:fldChar w:fldCharType="separate"/>
        </w:r>
        <w:r>
          <w:rPr>
            <w:noProof/>
            <w:webHidden/>
          </w:rPr>
          <w:t>175</w:t>
        </w:r>
        <w:r>
          <w:rPr>
            <w:noProof/>
            <w:webHidden/>
          </w:rPr>
          <w:fldChar w:fldCharType="end"/>
        </w:r>
      </w:hyperlink>
    </w:p>
    <w:p w14:paraId="09B417D9" w14:textId="77777777" w:rsidR="00AF6FE3" w:rsidRDefault="00AF6FE3">
      <w:pPr>
        <w:pStyle w:val="Obsah2"/>
        <w:tabs>
          <w:tab w:val="left" w:pos="880"/>
          <w:tab w:val="right" w:leader="dot" w:pos="9202"/>
        </w:tabs>
        <w:rPr>
          <w:rFonts w:asciiTheme="minorHAnsi" w:eastAsiaTheme="minorEastAsia" w:hAnsiTheme="minorHAnsi" w:cstheme="minorBidi"/>
          <w:noProof/>
          <w:sz w:val="22"/>
          <w:szCs w:val="22"/>
        </w:rPr>
      </w:pPr>
      <w:hyperlink w:anchor="_Toc520445341" w:history="1">
        <w:r w:rsidRPr="00966EA5">
          <w:rPr>
            <w:rStyle w:val="Hypertextovodkaz"/>
            <w:rFonts w:cs="Calibri"/>
            <w:noProof/>
          </w:rPr>
          <w:t>9.1</w:t>
        </w:r>
        <w:r>
          <w:rPr>
            <w:rFonts w:asciiTheme="minorHAnsi" w:eastAsiaTheme="minorEastAsia" w:hAnsiTheme="minorHAnsi" w:cstheme="minorBidi"/>
            <w:noProof/>
            <w:sz w:val="22"/>
            <w:szCs w:val="22"/>
          </w:rPr>
          <w:tab/>
        </w:r>
        <w:r w:rsidRPr="00966EA5">
          <w:rPr>
            <w:rStyle w:val="Hypertextovodkaz"/>
            <w:rFonts w:cs="Calibri"/>
            <w:noProof/>
          </w:rPr>
          <w:t>Předběžné podmínky</w:t>
        </w:r>
        <w:r>
          <w:rPr>
            <w:noProof/>
            <w:webHidden/>
          </w:rPr>
          <w:tab/>
        </w:r>
        <w:r>
          <w:rPr>
            <w:noProof/>
            <w:webHidden/>
          </w:rPr>
          <w:fldChar w:fldCharType="begin"/>
        </w:r>
        <w:r>
          <w:rPr>
            <w:noProof/>
            <w:webHidden/>
          </w:rPr>
          <w:instrText xml:space="preserve"> PAGEREF _Toc520445341 \h </w:instrText>
        </w:r>
        <w:r>
          <w:rPr>
            <w:noProof/>
            <w:webHidden/>
          </w:rPr>
        </w:r>
        <w:r>
          <w:rPr>
            <w:noProof/>
            <w:webHidden/>
          </w:rPr>
          <w:fldChar w:fldCharType="separate"/>
        </w:r>
        <w:r>
          <w:rPr>
            <w:noProof/>
            <w:webHidden/>
          </w:rPr>
          <w:t>175</w:t>
        </w:r>
        <w:r>
          <w:rPr>
            <w:noProof/>
            <w:webHidden/>
          </w:rPr>
          <w:fldChar w:fldCharType="end"/>
        </w:r>
      </w:hyperlink>
    </w:p>
    <w:p w14:paraId="5D038392" w14:textId="77777777" w:rsidR="00AF6FE3" w:rsidRDefault="00AF6FE3">
      <w:pPr>
        <w:pStyle w:val="Obsah2"/>
        <w:tabs>
          <w:tab w:val="left" w:pos="880"/>
          <w:tab w:val="right" w:leader="dot" w:pos="9202"/>
        </w:tabs>
        <w:rPr>
          <w:rFonts w:asciiTheme="minorHAnsi" w:eastAsiaTheme="minorEastAsia" w:hAnsiTheme="minorHAnsi" w:cstheme="minorBidi"/>
          <w:noProof/>
          <w:sz w:val="22"/>
          <w:szCs w:val="22"/>
        </w:rPr>
      </w:pPr>
      <w:hyperlink w:anchor="_Toc520445342" w:history="1">
        <w:r w:rsidRPr="00966EA5">
          <w:rPr>
            <w:rStyle w:val="Hypertextovodkaz"/>
            <w:rFonts w:cs="Calibri"/>
            <w:noProof/>
          </w:rPr>
          <w:t>9.2</w:t>
        </w:r>
        <w:r>
          <w:rPr>
            <w:rFonts w:asciiTheme="minorHAnsi" w:eastAsiaTheme="minorEastAsia" w:hAnsiTheme="minorHAnsi" w:cstheme="minorBidi"/>
            <w:noProof/>
            <w:sz w:val="22"/>
            <w:szCs w:val="22"/>
          </w:rPr>
          <w:tab/>
        </w:r>
        <w:r w:rsidRPr="00966EA5">
          <w:rPr>
            <w:rStyle w:val="Hypertextovodkaz"/>
            <w:rFonts w:cs="Calibri"/>
            <w:noProof/>
          </w:rPr>
          <w:t>Popis opatření ke splnění předběžných podmínek, odpovědných subjektů a harmonogramu</w:t>
        </w:r>
        <w:r>
          <w:rPr>
            <w:noProof/>
            <w:webHidden/>
          </w:rPr>
          <w:tab/>
        </w:r>
        <w:r>
          <w:rPr>
            <w:noProof/>
            <w:webHidden/>
          </w:rPr>
          <w:fldChar w:fldCharType="begin"/>
        </w:r>
        <w:r>
          <w:rPr>
            <w:noProof/>
            <w:webHidden/>
          </w:rPr>
          <w:instrText xml:space="preserve"> PAGEREF _Toc520445342 \h </w:instrText>
        </w:r>
        <w:r>
          <w:rPr>
            <w:noProof/>
            <w:webHidden/>
          </w:rPr>
        </w:r>
        <w:r>
          <w:rPr>
            <w:noProof/>
            <w:webHidden/>
          </w:rPr>
          <w:fldChar w:fldCharType="separate"/>
        </w:r>
        <w:r>
          <w:rPr>
            <w:noProof/>
            <w:webHidden/>
          </w:rPr>
          <w:t>216</w:t>
        </w:r>
        <w:r>
          <w:rPr>
            <w:noProof/>
            <w:webHidden/>
          </w:rPr>
          <w:fldChar w:fldCharType="end"/>
        </w:r>
      </w:hyperlink>
    </w:p>
    <w:p w14:paraId="6ADB6A87" w14:textId="77777777" w:rsidR="00AF6FE3" w:rsidRDefault="00AF6FE3">
      <w:pPr>
        <w:pStyle w:val="Obsah1"/>
        <w:tabs>
          <w:tab w:val="left" w:pos="1320"/>
          <w:tab w:val="right" w:leader="dot" w:pos="9202"/>
        </w:tabs>
        <w:rPr>
          <w:rFonts w:asciiTheme="minorHAnsi" w:eastAsiaTheme="minorEastAsia" w:hAnsiTheme="minorHAnsi" w:cstheme="minorBidi"/>
          <w:b w:val="0"/>
          <w:noProof/>
          <w:sz w:val="22"/>
          <w:szCs w:val="22"/>
        </w:rPr>
      </w:pPr>
      <w:hyperlink w:anchor="_Toc520445343" w:history="1">
        <w:r w:rsidRPr="00966EA5">
          <w:rPr>
            <w:rStyle w:val="Hypertextovodkaz"/>
            <w:noProof/>
            <w:spacing w:val="20"/>
          </w:rPr>
          <w:t>ODDÍL 10</w:t>
        </w:r>
        <w:r>
          <w:rPr>
            <w:rFonts w:asciiTheme="minorHAnsi" w:eastAsiaTheme="minorEastAsia" w:hAnsiTheme="minorHAnsi" w:cstheme="minorBidi"/>
            <w:b w:val="0"/>
            <w:noProof/>
            <w:sz w:val="22"/>
            <w:szCs w:val="22"/>
          </w:rPr>
          <w:tab/>
        </w:r>
        <w:r w:rsidRPr="00966EA5">
          <w:rPr>
            <w:rStyle w:val="Hypertextovodkaz"/>
            <w:noProof/>
          </w:rPr>
          <w:t>Snižování administrativní zátěže pro příjemce</w:t>
        </w:r>
        <w:r>
          <w:rPr>
            <w:noProof/>
            <w:webHidden/>
          </w:rPr>
          <w:tab/>
        </w:r>
        <w:r>
          <w:rPr>
            <w:noProof/>
            <w:webHidden/>
          </w:rPr>
          <w:fldChar w:fldCharType="begin"/>
        </w:r>
        <w:r>
          <w:rPr>
            <w:noProof/>
            <w:webHidden/>
          </w:rPr>
          <w:instrText xml:space="preserve"> PAGEREF _Toc520445343 \h </w:instrText>
        </w:r>
        <w:r>
          <w:rPr>
            <w:noProof/>
            <w:webHidden/>
          </w:rPr>
        </w:r>
        <w:r>
          <w:rPr>
            <w:noProof/>
            <w:webHidden/>
          </w:rPr>
          <w:fldChar w:fldCharType="separate"/>
        </w:r>
        <w:r>
          <w:rPr>
            <w:noProof/>
            <w:webHidden/>
          </w:rPr>
          <w:t>235</w:t>
        </w:r>
        <w:r>
          <w:rPr>
            <w:noProof/>
            <w:webHidden/>
          </w:rPr>
          <w:fldChar w:fldCharType="end"/>
        </w:r>
      </w:hyperlink>
    </w:p>
    <w:p w14:paraId="7E92ABDC" w14:textId="77777777" w:rsidR="00AF6FE3" w:rsidRDefault="00AF6FE3">
      <w:pPr>
        <w:pStyle w:val="Obsah1"/>
        <w:tabs>
          <w:tab w:val="left" w:pos="1320"/>
          <w:tab w:val="right" w:leader="dot" w:pos="9202"/>
        </w:tabs>
        <w:rPr>
          <w:rFonts w:asciiTheme="minorHAnsi" w:eastAsiaTheme="minorEastAsia" w:hAnsiTheme="minorHAnsi" w:cstheme="minorBidi"/>
          <w:b w:val="0"/>
          <w:noProof/>
          <w:sz w:val="22"/>
          <w:szCs w:val="22"/>
        </w:rPr>
      </w:pPr>
      <w:hyperlink w:anchor="_Toc520445344" w:history="1">
        <w:r w:rsidRPr="00966EA5">
          <w:rPr>
            <w:rStyle w:val="Hypertextovodkaz"/>
            <w:noProof/>
            <w:spacing w:val="20"/>
          </w:rPr>
          <w:t>ODDÍL 11</w:t>
        </w:r>
        <w:r>
          <w:rPr>
            <w:rFonts w:asciiTheme="minorHAnsi" w:eastAsiaTheme="minorEastAsia" w:hAnsiTheme="minorHAnsi" w:cstheme="minorBidi"/>
            <w:b w:val="0"/>
            <w:noProof/>
            <w:sz w:val="22"/>
            <w:szCs w:val="22"/>
          </w:rPr>
          <w:tab/>
        </w:r>
        <w:r w:rsidRPr="00966EA5">
          <w:rPr>
            <w:rStyle w:val="Hypertextovodkaz"/>
            <w:noProof/>
          </w:rPr>
          <w:t>Horizontální zásady</w:t>
        </w:r>
        <w:r>
          <w:rPr>
            <w:noProof/>
            <w:webHidden/>
          </w:rPr>
          <w:tab/>
        </w:r>
        <w:r>
          <w:rPr>
            <w:noProof/>
            <w:webHidden/>
          </w:rPr>
          <w:fldChar w:fldCharType="begin"/>
        </w:r>
        <w:r>
          <w:rPr>
            <w:noProof/>
            <w:webHidden/>
          </w:rPr>
          <w:instrText xml:space="preserve"> PAGEREF _Toc520445344 \h </w:instrText>
        </w:r>
        <w:r>
          <w:rPr>
            <w:noProof/>
            <w:webHidden/>
          </w:rPr>
        </w:r>
        <w:r>
          <w:rPr>
            <w:noProof/>
            <w:webHidden/>
          </w:rPr>
          <w:fldChar w:fldCharType="separate"/>
        </w:r>
        <w:r>
          <w:rPr>
            <w:noProof/>
            <w:webHidden/>
          </w:rPr>
          <w:t>238</w:t>
        </w:r>
        <w:r>
          <w:rPr>
            <w:noProof/>
            <w:webHidden/>
          </w:rPr>
          <w:fldChar w:fldCharType="end"/>
        </w:r>
      </w:hyperlink>
    </w:p>
    <w:p w14:paraId="5BD809A3" w14:textId="77777777" w:rsidR="00AF6FE3" w:rsidRDefault="00AF6FE3">
      <w:pPr>
        <w:pStyle w:val="Obsah2"/>
        <w:tabs>
          <w:tab w:val="left" w:pos="1100"/>
          <w:tab w:val="right" w:leader="dot" w:pos="9202"/>
        </w:tabs>
        <w:rPr>
          <w:rFonts w:asciiTheme="minorHAnsi" w:eastAsiaTheme="minorEastAsia" w:hAnsiTheme="minorHAnsi" w:cstheme="minorBidi"/>
          <w:noProof/>
          <w:sz w:val="22"/>
          <w:szCs w:val="22"/>
        </w:rPr>
      </w:pPr>
      <w:hyperlink w:anchor="_Toc520445345" w:history="1">
        <w:r w:rsidRPr="00966EA5">
          <w:rPr>
            <w:rStyle w:val="Hypertextovodkaz"/>
            <w:rFonts w:cs="Calibri"/>
            <w:noProof/>
          </w:rPr>
          <w:t>11.1</w:t>
        </w:r>
        <w:r>
          <w:rPr>
            <w:rFonts w:asciiTheme="minorHAnsi" w:eastAsiaTheme="minorEastAsia" w:hAnsiTheme="minorHAnsi" w:cstheme="minorBidi"/>
            <w:noProof/>
            <w:sz w:val="22"/>
            <w:szCs w:val="22"/>
          </w:rPr>
          <w:tab/>
        </w:r>
        <w:r w:rsidRPr="00966EA5">
          <w:rPr>
            <w:rStyle w:val="Hypertextovodkaz"/>
            <w:rFonts w:cs="Calibri"/>
            <w:noProof/>
          </w:rPr>
          <w:t>Udržitelný rozvoj</w:t>
        </w:r>
        <w:r>
          <w:rPr>
            <w:noProof/>
            <w:webHidden/>
          </w:rPr>
          <w:tab/>
        </w:r>
        <w:r>
          <w:rPr>
            <w:noProof/>
            <w:webHidden/>
          </w:rPr>
          <w:fldChar w:fldCharType="begin"/>
        </w:r>
        <w:r>
          <w:rPr>
            <w:noProof/>
            <w:webHidden/>
          </w:rPr>
          <w:instrText xml:space="preserve"> PAGEREF _Toc520445345 \h </w:instrText>
        </w:r>
        <w:r>
          <w:rPr>
            <w:noProof/>
            <w:webHidden/>
          </w:rPr>
        </w:r>
        <w:r>
          <w:rPr>
            <w:noProof/>
            <w:webHidden/>
          </w:rPr>
          <w:fldChar w:fldCharType="separate"/>
        </w:r>
        <w:r>
          <w:rPr>
            <w:noProof/>
            <w:webHidden/>
          </w:rPr>
          <w:t>238</w:t>
        </w:r>
        <w:r>
          <w:rPr>
            <w:noProof/>
            <w:webHidden/>
          </w:rPr>
          <w:fldChar w:fldCharType="end"/>
        </w:r>
      </w:hyperlink>
    </w:p>
    <w:p w14:paraId="09F68FA7" w14:textId="77777777" w:rsidR="00AF6FE3" w:rsidRDefault="00AF6FE3">
      <w:pPr>
        <w:pStyle w:val="Obsah2"/>
        <w:tabs>
          <w:tab w:val="left" w:pos="1100"/>
          <w:tab w:val="right" w:leader="dot" w:pos="9202"/>
        </w:tabs>
        <w:rPr>
          <w:rFonts w:asciiTheme="minorHAnsi" w:eastAsiaTheme="minorEastAsia" w:hAnsiTheme="minorHAnsi" w:cstheme="minorBidi"/>
          <w:noProof/>
          <w:sz w:val="22"/>
          <w:szCs w:val="22"/>
        </w:rPr>
      </w:pPr>
      <w:hyperlink w:anchor="_Toc520445346" w:history="1">
        <w:r w:rsidRPr="00966EA5">
          <w:rPr>
            <w:rStyle w:val="Hypertextovodkaz"/>
            <w:rFonts w:cs="Calibri"/>
            <w:noProof/>
          </w:rPr>
          <w:t>11.2</w:t>
        </w:r>
        <w:r>
          <w:rPr>
            <w:rFonts w:asciiTheme="minorHAnsi" w:eastAsiaTheme="minorEastAsia" w:hAnsiTheme="minorHAnsi" w:cstheme="minorBidi"/>
            <w:noProof/>
            <w:sz w:val="22"/>
            <w:szCs w:val="22"/>
          </w:rPr>
          <w:tab/>
        </w:r>
        <w:r w:rsidRPr="00966EA5">
          <w:rPr>
            <w:rStyle w:val="Hypertextovodkaz"/>
            <w:rFonts w:cs="Calibri"/>
            <w:noProof/>
          </w:rPr>
          <w:t>Rovné příležitosti a zákaz diskriminace</w:t>
        </w:r>
        <w:r>
          <w:rPr>
            <w:noProof/>
            <w:webHidden/>
          </w:rPr>
          <w:tab/>
        </w:r>
        <w:r>
          <w:rPr>
            <w:noProof/>
            <w:webHidden/>
          </w:rPr>
          <w:fldChar w:fldCharType="begin"/>
        </w:r>
        <w:r>
          <w:rPr>
            <w:noProof/>
            <w:webHidden/>
          </w:rPr>
          <w:instrText xml:space="preserve"> PAGEREF _Toc520445346 \h </w:instrText>
        </w:r>
        <w:r>
          <w:rPr>
            <w:noProof/>
            <w:webHidden/>
          </w:rPr>
        </w:r>
        <w:r>
          <w:rPr>
            <w:noProof/>
            <w:webHidden/>
          </w:rPr>
          <w:fldChar w:fldCharType="separate"/>
        </w:r>
        <w:r>
          <w:rPr>
            <w:noProof/>
            <w:webHidden/>
          </w:rPr>
          <w:t>239</w:t>
        </w:r>
        <w:r>
          <w:rPr>
            <w:noProof/>
            <w:webHidden/>
          </w:rPr>
          <w:fldChar w:fldCharType="end"/>
        </w:r>
      </w:hyperlink>
    </w:p>
    <w:p w14:paraId="52F1C08D" w14:textId="77777777" w:rsidR="00AF6FE3" w:rsidRDefault="00AF6FE3">
      <w:pPr>
        <w:pStyle w:val="Obsah2"/>
        <w:tabs>
          <w:tab w:val="left" w:pos="1100"/>
          <w:tab w:val="right" w:leader="dot" w:pos="9202"/>
        </w:tabs>
        <w:rPr>
          <w:rFonts w:asciiTheme="minorHAnsi" w:eastAsiaTheme="minorEastAsia" w:hAnsiTheme="minorHAnsi" w:cstheme="minorBidi"/>
          <w:noProof/>
          <w:sz w:val="22"/>
          <w:szCs w:val="22"/>
        </w:rPr>
      </w:pPr>
      <w:hyperlink w:anchor="_Toc520445347" w:history="1">
        <w:r w:rsidRPr="00966EA5">
          <w:rPr>
            <w:rStyle w:val="Hypertextovodkaz"/>
            <w:rFonts w:cs="Calibri"/>
            <w:noProof/>
          </w:rPr>
          <w:t>11.3</w:t>
        </w:r>
        <w:r>
          <w:rPr>
            <w:rFonts w:asciiTheme="minorHAnsi" w:eastAsiaTheme="minorEastAsia" w:hAnsiTheme="minorHAnsi" w:cstheme="minorBidi"/>
            <w:noProof/>
            <w:sz w:val="22"/>
            <w:szCs w:val="22"/>
          </w:rPr>
          <w:tab/>
        </w:r>
        <w:r w:rsidRPr="00966EA5">
          <w:rPr>
            <w:rStyle w:val="Hypertextovodkaz"/>
            <w:rFonts w:cs="Calibri"/>
            <w:noProof/>
          </w:rPr>
          <w:t>Rovnost mezi muži a ženami</w:t>
        </w:r>
        <w:r>
          <w:rPr>
            <w:noProof/>
            <w:webHidden/>
          </w:rPr>
          <w:tab/>
        </w:r>
        <w:r>
          <w:rPr>
            <w:noProof/>
            <w:webHidden/>
          </w:rPr>
          <w:fldChar w:fldCharType="begin"/>
        </w:r>
        <w:r>
          <w:rPr>
            <w:noProof/>
            <w:webHidden/>
          </w:rPr>
          <w:instrText xml:space="preserve"> PAGEREF _Toc520445347 \h </w:instrText>
        </w:r>
        <w:r>
          <w:rPr>
            <w:noProof/>
            <w:webHidden/>
          </w:rPr>
        </w:r>
        <w:r>
          <w:rPr>
            <w:noProof/>
            <w:webHidden/>
          </w:rPr>
          <w:fldChar w:fldCharType="separate"/>
        </w:r>
        <w:r>
          <w:rPr>
            <w:noProof/>
            <w:webHidden/>
          </w:rPr>
          <w:t>240</w:t>
        </w:r>
        <w:r>
          <w:rPr>
            <w:noProof/>
            <w:webHidden/>
          </w:rPr>
          <w:fldChar w:fldCharType="end"/>
        </w:r>
      </w:hyperlink>
    </w:p>
    <w:p w14:paraId="1F74B49F" w14:textId="77777777" w:rsidR="00AF6FE3" w:rsidRDefault="00AF6FE3">
      <w:pPr>
        <w:pStyle w:val="Obsah1"/>
        <w:tabs>
          <w:tab w:val="left" w:pos="1320"/>
          <w:tab w:val="right" w:leader="dot" w:pos="9202"/>
        </w:tabs>
        <w:rPr>
          <w:rFonts w:asciiTheme="minorHAnsi" w:eastAsiaTheme="minorEastAsia" w:hAnsiTheme="minorHAnsi" w:cstheme="minorBidi"/>
          <w:b w:val="0"/>
          <w:noProof/>
          <w:sz w:val="22"/>
          <w:szCs w:val="22"/>
        </w:rPr>
      </w:pPr>
      <w:hyperlink w:anchor="_Toc520445348" w:history="1">
        <w:r w:rsidRPr="00966EA5">
          <w:rPr>
            <w:rStyle w:val="Hypertextovodkaz"/>
            <w:noProof/>
            <w:spacing w:val="20"/>
          </w:rPr>
          <w:t>ODDÍL 12</w:t>
        </w:r>
        <w:r>
          <w:rPr>
            <w:rFonts w:asciiTheme="minorHAnsi" w:eastAsiaTheme="minorEastAsia" w:hAnsiTheme="minorHAnsi" w:cstheme="minorBidi"/>
            <w:b w:val="0"/>
            <w:noProof/>
            <w:sz w:val="22"/>
            <w:szCs w:val="22"/>
          </w:rPr>
          <w:tab/>
        </w:r>
        <w:r w:rsidRPr="00966EA5">
          <w:rPr>
            <w:rStyle w:val="Hypertextovodkaz"/>
            <w:noProof/>
          </w:rPr>
          <w:t>Samostatné prvky</w:t>
        </w:r>
        <w:r>
          <w:rPr>
            <w:noProof/>
            <w:webHidden/>
          </w:rPr>
          <w:tab/>
        </w:r>
        <w:r>
          <w:rPr>
            <w:noProof/>
            <w:webHidden/>
          </w:rPr>
          <w:fldChar w:fldCharType="begin"/>
        </w:r>
        <w:r>
          <w:rPr>
            <w:noProof/>
            <w:webHidden/>
          </w:rPr>
          <w:instrText xml:space="preserve"> PAGEREF _Toc520445348 \h </w:instrText>
        </w:r>
        <w:r>
          <w:rPr>
            <w:noProof/>
            <w:webHidden/>
          </w:rPr>
        </w:r>
        <w:r>
          <w:rPr>
            <w:noProof/>
            <w:webHidden/>
          </w:rPr>
          <w:fldChar w:fldCharType="separate"/>
        </w:r>
        <w:r>
          <w:rPr>
            <w:noProof/>
            <w:webHidden/>
          </w:rPr>
          <w:t>241</w:t>
        </w:r>
        <w:r>
          <w:rPr>
            <w:noProof/>
            <w:webHidden/>
          </w:rPr>
          <w:fldChar w:fldCharType="end"/>
        </w:r>
      </w:hyperlink>
    </w:p>
    <w:p w14:paraId="5B41F19B" w14:textId="77777777" w:rsidR="00AF6FE3" w:rsidRDefault="00AF6FE3">
      <w:pPr>
        <w:pStyle w:val="Obsah2"/>
        <w:tabs>
          <w:tab w:val="left" w:pos="1100"/>
          <w:tab w:val="right" w:leader="dot" w:pos="9202"/>
        </w:tabs>
        <w:rPr>
          <w:rFonts w:asciiTheme="minorHAnsi" w:eastAsiaTheme="minorEastAsia" w:hAnsiTheme="minorHAnsi" w:cstheme="minorBidi"/>
          <w:noProof/>
          <w:sz w:val="22"/>
          <w:szCs w:val="22"/>
        </w:rPr>
      </w:pPr>
      <w:hyperlink w:anchor="_Toc520445349" w:history="1">
        <w:r w:rsidRPr="00966EA5">
          <w:rPr>
            <w:rStyle w:val="Hypertextovodkaz"/>
            <w:rFonts w:cs="Calibri"/>
            <w:noProof/>
          </w:rPr>
          <w:t>12.1</w:t>
        </w:r>
        <w:r>
          <w:rPr>
            <w:rFonts w:asciiTheme="minorHAnsi" w:eastAsiaTheme="minorEastAsia" w:hAnsiTheme="minorHAnsi" w:cstheme="minorBidi"/>
            <w:noProof/>
            <w:sz w:val="22"/>
            <w:szCs w:val="22"/>
          </w:rPr>
          <w:tab/>
        </w:r>
        <w:r w:rsidRPr="00966EA5">
          <w:rPr>
            <w:rStyle w:val="Hypertextovodkaz"/>
            <w:rFonts w:cs="Calibri"/>
            <w:noProof/>
          </w:rPr>
          <w:t>Velké projekty, které mají být během programového období realizovány</w:t>
        </w:r>
        <w:r>
          <w:rPr>
            <w:noProof/>
            <w:webHidden/>
          </w:rPr>
          <w:tab/>
        </w:r>
        <w:r>
          <w:rPr>
            <w:noProof/>
            <w:webHidden/>
          </w:rPr>
          <w:fldChar w:fldCharType="begin"/>
        </w:r>
        <w:r>
          <w:rPr>
            <w:noProof/>
            <w:webHidden/>
          </w:rPr>
          <w:instrText xml:space="preserve"> PAGEREF _Toc520445349 \h </w:instrText>
        </w:r>
        <w:r>
          <w:rPr>
            <w:noProof/>
            <w:webHidden/>
          </w:rPr>
        </w:r>
        <w:r>
          <w:rPr>
            <w:noProof/>
            <w:webHidden/>
          </w:rPr>
          <w:fldChar w:fldCharType="separate"/>
        </w:r>
        <w:r>
          <w:rPr>
            <w:noProof/>
            <w:webHidden/>
          </w:rPr>
          <w:t>241</w:t>
        </w:r>
        <w:r>
          <w:rPr>
            <w:noProof/>
            <w:webHidden/>
          </w:rPr>
          <w:fldChar w:fldCharType="end"/>
        </w:r>
      </w:hyperlink>
    </w:p>
    <w:p w14:paraId="0BDEA9D8" w14:textId="77777777" w:rsidR="00AF6FE3" w:rsidRDefault="00AF6FE3">
      <w:pPr>
        <w:pStyle w:val="Obsah2"/>
        <w:tabs>
          <w:tab w:val="left" w:pos="1100"/>
          <w:tab w:val="right" w:leader="dot" w:pos="9202"/>
        </w:tabs>
        <w:rPr>
          <w:rFonts w:asciiTheme="minorHAnsi" w:eastAsiaTheme="minorEastAsia" w:hAnsiTheme="minorHAnsi" w:cstheme="minorBidi"/>
          <w:noProof/>
          <w:sz w:val="22"/>
          <w:szCs w:val="22"/>
        </w:rPr>
      </w:pPr>
      <w:hyperlink w:anchor="_Toc520445350" w:history="1">
        <w:r w:rsidRPr="00966EA5">
          <w:rPr>
            <w:rStyle w:val="Hypertextovodkaz"/>
            <w:rFonts w:cs="Calibri"/>
            <w:noProof/>
          </w:rPr>
          <w:t>12.2</w:t>
        </w:r>
        <w:r>
          <w:rPr>
            <w:rFonts w:asciiTheme="minorHAnsi" w:eastAsiaTheme="minorEastAsia" w:hAnsiTheme="minorHAnsi" w:cstheme="minorBidi"/>
            <w:noProof/>
            <w:sz w:val="22"/>
            <w:szCs w:val="22"/>
          </w:rPr>
          <w:tab/>
        </w:r>
        <w:r w:rsidRPr="00966EA5">
          <w:rPr>
            <w:rStyle w:val="Hypertextovodkaz"/>
            <w:rFonts w:cs="Calibri"/>
            <w:noProof/>
          </w:rPr>
          <w:t>Výkonnostní rámec pro operační program</w:t>
        </w:r>
        <w:r>
          <w:rPr>
            <w:noProof/>
            <w:webHidden/>
          </w:rPr>
          <w:tab/>
        </w:r>
        <w:r>
          <w:rPr>
            <w:noProof/>
            <w:webHidden/>
          </w:rPr>
          <w:fldChar w:fldCharType="begin"/>
        </w:r>
        <w:r>
          <w:rPr>
            <w:noProof/>
            <w:webHidden/>
          </w:rPr>
          <w:instrText xml:space="preserve"> PAGEREF _Toc520445350 \h </w:instrText>
        </w:r>
        <w:r>
          <w:rPr>
            <w:noProof/>
            <w:webHidden/>
          </w:rPr>
        </w:r>
        <w:r>
          <w:rPr>
            <w:noProof/>
            <w:webHidden/>
          </w:rPr>
          <w:fldChar w:fldCharType="separate"/>
        </w:r>
        <w:r>
          <w:rPr>
            <w:noProof/>
            <w:webHidden/>
          </w:rPr>
          <w:t>242</w:t>
        </w:r>
        <w:r>
          <w:rPr>
            <w:noProof/>
            <w:webHidden/>
          </w:rPr>
          <w:fldChar w:fldCharType="end"/>
        </w:r>
      </w:hyperlink>
    </w:p>
    <w:p w14:paraId="78267179" w14:textId="77777777" w:rsidR="00AF6FE3" w:rsidRDefault="00AF6FE3">
      <w:pPr>
        <w:pStyle w:val="Obsah2"/>
        <w:tabs>
          <w:tab w:val="left" w:pos="1100"/>
          <w:tab w:val="right" w:leader="dot" w:pos="9202"/>
        </w:tabs>
        <w:rPr>
          <w:rFonts w:asciiTheme="minorHAnsi" w:eastAsiaTheme="minorEastAsia" w:hAnsiTheme="minorHAnsi" w:cstheme="minorBidi"/>
          <w:noProof/>
          <w:sz w:val="22"/>
          <w:szCs w:val="22"/>
        </w:rPr>
      </w:pPr>
      <w:hyperlink w:anchor="_Toc520445351" w:history="1">
        <w:r w:rsidRPr="00966EA5">
          <w:rPr>
            <w:rStyle w:val="Hypertextovodkaz"/>
            <w:rFonts w:cs="Calibri"/>
            <w:noProof/>
          </w:rPr>
          <w:t>12.3</w:t>
        </w:r>
        <w:r>
          <w:rPr>
            <w:rFonts w:asciiTheme="minorHAnsi" w:eastAsiaTheme="minorEastAsia" w:hAnsiTheme="minorHAnsi" w:cstheme="minorBidi"/>
            <w:noProof/>
            <w:sz w:val="22"/>
            <w:szCs w:val="22"/>
          </w:rPr>
          <w:tab/>
        </w:r>
        <w:r w:rsidRPr="00966EA5">
          <w:rPr>
            <w:rStyle w:val="Hypertextovodkaz"/>
            <w:rFonts w:cs="Calibri"/>
            <w:noProof/>
          </w:rPr>
          <w:t>Seznam příslušných partnerů zapojených do přípravy operačního programu</w:t>
        </w:r>
        <w:r>
          <w:rPr>
            <w:noProof/>
            <w:webHidden/>
          </w:rPr>
          <w:tab/>
        </w:r>
        <w:r>
          <w:rPr>
            <w:noProof/>
            <w:webHidden/>
          </w:rPr>
          <w:fldChar w:fldCharType="begin"/>
        </w:r>
        <w:r>
          <w:rPr>
            <w:noProof/>
            <w:webHidden/>
          </w:rPr>
          <w:instrText xml:space="preserve"> PAGEREF _Toc520445351 \h </w:instrText>
        </w:r>
        <w:r>
          <w:rPr>
            <w:noProof/>
            <w:webHidden/>
          </w:rPr>
        </w:r>
        <w:r>
          <w:rPr>
            <w:noProof/>
            <w:webHidden/>
          </w:rPr>
          <w:fldChar w:fldCharType="separate"/>
        </w:r>
        <w:r>
          <w:rPr>
            <w:noProof/>
            <w:webHidden/>
          </w:rPr>
          <w:t>243</w:t>
        </w:r>
        <w:r>
          <w:rPr>
            <w:noProof/>
            <w:webHidden/>
          </w:rPr>
          <w:fldChar w:fldCharType="end"/>
        </w:r>
      </w:hyperlink>
      <w:bookmarkStart w:id="0" w:name="_GoBack"/>
      <w:bookmarkEnd w:id="0"/>
    </w:p>
    <w:p w14:paraId="75DC1D06" w14:textId="77777777" w:rsidR="00AF6FE3" w:rsidRDefault="00AF6FE3">
      <w:pPr>
        <w:pStyle w:val="Obsah2"/>
        <w:tabs>
          <w:tab w:val="right" w:leader="dot" w:pos="9202"/>
        </w:tabs>
        <w:rPr>
          <w:rFonts w:asciiTheme="minorHAnsi" w:eastAsiaTheme="minorEastAsia" w:hAnsiTheme="minorHAnsi" w:cstheme="minorBidi"/>
          <w:noProof/>
          <w:sz w:val="22"/>
          <w:szCs w:val="22"/>
        </w:rPr>
      </w:pPr>
      <w:hyperlink w:anchor="_Toc520445352" w:history="1">
        <w:r w:rsidRPr="00966EA5">
          <w:rPr>
            <w:rStyle w:val="Hypertextovodkaz"/>
            <w:rFonts w:cs="Calibri"/>
            <w:noProof/>
          </w:rPr>
          <w:t>PŘÍLOHY (nahrány do systému pro elektronickou výměnu dat jako samostatné soubory)</w:t>
        </w:r>
        <w:r>
          <w:rPr>
            <w:noProof/>
            <w:webHidden/>
          </w:rPr>
          <w:tab/>
        </w:r>
        <w:r>
          <w:rPr>
            <w:noProof/>
            <w:webHidden/>
          </w:rPr>
          <w:fldChar w:fldCharType="begin"/>
        </w:r>
        <w:r>
          <w:rPr>
            <w:noProof/>
            <w:webHidden/>
          </w:rPr>
          <w:instrText xml:space="preserve"> PAGEREF _Toc520445352 \h </w:instrText>
        </w:r>
        <w:r>
          <w:rPr>
            <w:noProof/>
            <w:webHidden/>
          </w:rPr>
        </w:r>
        <w:r>
          <w:rPr>
            <w:noProof/>
            <w:webHidden/>
          </w:rPr>
          <w:fldChar w:fldCharType="separate"/>
        </w:r>
        <w:r>
          <w:rPr>
            <w:noProof/>
            <w:webHidden/>
          </w:rPr>
          <w:t>247</w:t>
        </w:r>
        <w:r>
          <w:rPr>
            <w:noProof/>
            <w:webHidden/>
          </w:rPr>
          <w:fldChar w:fldCharType="end"/>
        </w:r>
      </w:hyperlink>
    </w:p>
    <w:p w14:paraId="5E2CFC7C" w14:textId="77777777" w:rsidR="00C21FE5" w:rsidRPr="00DD47DF" w:rsidRDefault="002756E7" w:rsidP="00C21FE5">
      <w:pPr>
        <w:overflowPunct/>
        <w:autoSpaceDE/>
        <w:autoSpaceDN/>
        <w:adjustRightInd/>
        <w:spacing w:before="120" w:after="60"/>
        <w:textAlignment w:val="auto"/>
        <w:rPr>
          <w:rFonts w:ascii="Calibri" w:hAnsi="Calibri" w:cs="Calibri"/>
          <w:b/>
          <w:caps/>
          <w:sz w:val="28"/>
          <w:szCs w:val="28"/>
        </w:rPr>
      </w:pPr>
      <w:r w:rsidRPr="00DD47DF">
        <w:rPr>
          <w:rFonts w:ascii="Calibri" w:hAnsi="Calibri" w:cs="Calibri"/>
          <w:b/>
          <w:caps/>
          <w:sz w:val="28"/>
          <w:szCs w:val="28"/>
        </w:rPr>
        <w:fldChar w:fldCharType="end"/>
      </w:r>
    </w:p>
    <w:p w14:paraId="7EDEF6C3" w14:textId="77777777" w:rsidR="00C21FE5" w:rsidRPr="00DD47DF" w:rsidRDefault="00C21FE5" w:rsidP="00C21FE5">
      <w:pPr>
        <w:overflowPunct/>
        <w:autoSpaceDE/>
        <w:autoSpaceDN/>
        <w:adjustRightInd/>
        <w:spacing w:before="120" w:after="60"/>
        <w:textAlignment w:val="auto"/>
        <w:rPr>
          <w:rFonts w:ascii="Calibri" w:hAnsi="Calibri" w:cs="Calibri"/>
          <w:b/>
          <w:caps/>
          <w:sz w:val="28"/>
          <w:szCs w:val="28"/>
        </w:rPr>
      </w:pPr>
    </w:p>
    <w:p w14:paraId="4AAD8F40" w14:textId="77777777" w:rsidR="00C21FE5" w:rsidRPr="00DD47DF" w:rsidRDefault="00C21FE5" w:rsidP="00C21FE5">
      <w:pPr>
        <w:overflowPunct/>
        <w:autoSpaceDE/>
        <w:autoSpaceDN/>
        <w:adjustRightInd/>
        <w:spacing w:before="120" w:after="60"/>
        <w:textAlignment w:val="auto"/>
        <w:rPr>
          <w:rFonts w:ascii="Calibri" w:hAnsi="Calibri" w:cs="Calibri"/>
          <w:b/>
          <w:caps/>
          <w:sz w:val="28"/>
          <w:szCs w:val="28"/>
        </w:rPr>
      </w:pPr>
    </w:p>
    <w:p w14:paraId="7F5D6030" w14:textId="77777777" w:rsidR="00C21FE5" w:rsidRPr="00DD47DF" w:rsidRDefault="00C21FE5" w:rsidP="00C21FE5">
      <w:pPr>
        <w:overflowPunct/>
        <w:autoSpaceDE/>
        <w:autoSpaceDN/>
        <w:adjustRightInd/>
        <w:spacing w:before="120" w:after="60"/>
        <w:textAlignment w:val="auto"/>
        <w:rPr>
          <w:rFonts w:ascii="Calibri" w:hAnsi="Calibri" w:cs="Calibri"/>
          <w:b/>
          <w:caps/>
          <w:sz w:val="28"/>
          <w:szCs w:val="28"/>
        </w:rPr>
      </w:pPr>
    </w:p>
    <w:p w14:paraId="3C401EC1" w14:textId="77777777" w:rsidR="00C21FE5" w:rsidRPr="00DD47DF" w:rsidRDefault="00C21FE5" w:rsidP="00C21FE5">
      <w:pPr>
        <w:overflowPunct/>
        <w:autoSpaceDE/>
        <w:autoSpaceDN/>
        <w:adjustRightInd/>
        <w:spacing w:before="120" w:after="60"/>
        <w:textAlignment w:val="auto"/>
        <w:rPr>
          <w:rFonts w:ascii="Calibri" w:hAnsi="Calibri" w:cs="Calibri"/>
          <w:b/>
          <w:caps/>
          <w:sz w:val="28"/>
          <w:szCs w:val="28"/>
        </w:rPr>
      </w:pPr>
    </w:p>
    <w:p w14:paraId="02E89BC6" w14:textId="77777777" w:rsidR="00C21FE5" w:rsidRPr="00DD47DF" w:rsidRDefault="00C21FE5" w:rsidP="00C21FE5">
      <w:pPr>
        <w:overflowPunct/>
        <w:autoSpaceDE/>
        <w:autoSpaceDN/>
        <w:adjustRightInd/>
        <w:spacing w:before="120" w:after="60"/>
        <w:textAlignment w:val="auto"/>
        <w:rPr>
          <w:rFonts w:ascii="Calibri" w:hAnsi="Calibri" w:cs="Calibri"/>
          <w:b/>
          <w:caps/>
          <w:sz w:val="28"/>
          <w:szCs w:val="28"/>
        </w:rPr>
      </w:pPr>
    </w:p>
    <w:p w14:paraId="30AC9D40" w14:textId="77777777" w:rsidR="00704234" w:rsidRPr="00DD47DF" w:rsidRDefault="00704234" w:rsidP="00300283">
      <w:pPr>
        <w:overflowPunct/>
        <w:autoSpaceDE/>
        <w:autoSpaceDN/>
        <w:adjustRightInd/>
        <w:spacing w:before="120" w:after="60"/>
        <w:textAlignment w:val="auto"/>
        <w:rPr>
          <w:rFonts w:ascii="Calibri" w:hAnsi="Calibri" w:cs="Calibri"/>
          <w:b/>
          <w:caps/>
          <w:sz w:val="28"/>
          <w:szCs w:val="28"/>
        </w:rPr>
      </w:pPr>
    </w:p>
    <w:p w14:paraId="69195B12" w14:textId="77777777" w:rsidR="00C21FE5" w:rsidRPr="00DD47DF" w:rsidRDefault="00C21FE5" w:rsidP="00300283">
      <w:pPr>
        <w:overflowPunct/>
        <w:autoSpaceDE/>
        <w:autoSpaceDN/>
        <w:adjustRightInd/>
        <w:spacing w:before="120" w:after="60"/>
        <w:textAlignment w:val="auto"/>
        <w:rPr>
          <w:rFonts w:ascii="Calibri" w:hAnsi="Calibri" w:cs="Calibri"/>
          <w:b/>
          <w:caps/>
          <w:sz w:val="28"/>
          <w:szCs w:val="28"/>
        </w:rPr>
      </w:pPr>
    </w:p>
    <w:p w14:paraId="0CC7A293" w14:textId="77777777" w:rsidR="00C21FE5" w:rsidRPr="00DD47DF" w:rsidRDefault="00C21FE5" w:rsidP="00300283">
      <w:pPr>
        <w:overflowPunct/>
        <w:autoSpaceDE/>
        <w:autoSpaceDN/>
        <w:adjustRightInd/>
        <w:spacing w:before="120" w:after="60"/>
        <w:textAlignment w:val="auto"/>
        <w:rPr>
          <w:rFonts w:ascii="Calibri" w:hAnsi="Calibri" w:cs="Calibri"/>
          <w:b/>
          <w:caps/>
          <w:sz w:val="28"/>
          <w:szCs w:val="28"/>
        </w:rPr>
      </w:pPr>
    </w:p>
    <w:p w14:paraId="61B49D7E" w14:textId="77777777" w:rsidR="00C21FE5" w:rsidRPr="00DD47DF" w:rsidRDefault="00C21FE5" w:rsidP="00300283">
      <w:pPr>
        <w:overflowPunct/>
        <w:autoSpaceDE/>
        <w:autoSpaceDN/>
        <w:adjustRightInd/>
        <w:spacing w:before="120" w:after="60"/>
        <w:textAlignment w:val="auto"/>
        <w:rPr>
          <w:rFonts w:ascii="Calibri" w:hAnsi="Calibri" w:cs="Calibri"/>
          <w:b/>
          <w:caps/>
          <w:sz w:val="28"/>
          <w:szCs w:val="28"/>
        </w:rPr>
      </w:pPr>
    </w:p>
    <w:p w14:paraId="690ADE89" w14:textId="77777777" w:rsidR="000C44FC" w:rsidRPr="00DD47DF" w:rsidRDefault="00704234" w:rsidP="00C21FE5">
      <w:pPr>
        <w:pStyle w:val="Standardntext"/>
        <w:rPr>
          <w:b/>
        </w:rPr>
      </w:pPr>
      <w:r w:rsidRPr="00DD47DF">
        <w:rPr>
          <w:b/>
        </w:rPr>
        <w:t>Tato verze programového dokumentu OP PIK je zpracována v souladu s</w:t>
      </w:r>
      <w:r w:rsidR="00F31452" w:rsidRPr="00DD47DF">
        <w:rPr>
          <w:b/>
        </w:rPr>
        <w:t> </w:t>
      </w:r>
      <w:r w:rsidRPr="00DD47DF">
        <w:rPr>
          <w:b/>
        </w:rPr>
        <w:t>příloh</w:t>
      </w:r>
      <w:r w:rsidR="00F31452" w:rsidRPr="00DD47DF">
        <w:rPr>
          <w:b/>
        </w:rPr>
        <w:t>ou „</w:t>
      </w:r>
      <w:r w:rsidRPr="00DD47DF">
        <w:rPr>
          <w:b/>
        </w:rPr>
        <w:t>Vzor pro operační programy v rámci cíle Investice pro růst a zaměstnanost“</w:t>
      </w:r>
      <w:r w:rsidR="00F31452" w:rsidRPr="00DD47DF">
        <w:rPr>
          <w:b/>
        </w:rPr>
        <w:t xml:space="preserve"> p</w:t>
      </w:r>
      <w:r w:rsidR="00514AFF" w:rsidRPr="00DD47DF">
        <w:rPr>
          <w:b/>
        </w:rPr>
        <w:t>rováděcí</w:t>
      </w:r>
      <w:r w:rsidR="00F31452" w:rsidRPr="00DD47DF">
        <w:rPr>
          <w:b/>
        </w:rPr>
        <w:t>ho</w:t>
      </w:r>
      <w:r w:rsidR="00514AFF" w:rsidRPr="00DD47DF">
        <w:rPr>
          <w:b/>
        </w:rPr>
        <w:t xml:space="preserve"> nařízení Komise (EU) č. 288/2014 ze dne 25. února 2014</w:t>
      </w:r>
      <w:r w:rsidRPr="00DD47DF">
        <w:rPr>
          <w:b/>
        </w:rPr>
        <w:t>.</w:t>
      </w:r>
      <w:r w:rsidR="00184621" w:rsidRPr="00DD47DF">
        <w:rPr>
          <w:b/>
        </w:rPr>
        <w:t xml:space="preserve"> </w:t>
      </w:r>
      <w:r w:rsidR="000C44FC" w:rsidRPr="00DD47DF">
        <w:rPr>
          <w:b/>
        </w:rPr>
        <w:br w:type="page"/>
      </w:r>
    </w:p>
    <w:p w14:paraId="61081FF5" w14:textId="77777777" w:rsidR="000C44FC" w:rsidRPr="00DD47DF" w:rsidRDefault="000C44FC" w:rsidP="000C44FC">
      <w:pPr>
        <w:overflowPunct/>
        <w:autoSpaceDE/>
        <w:autoSpaceDN/>
        <w:adjustRightInd/>
        <w:spacing w:before="120" w:after="60"/>
        <w:textAlignment w:val="auto"/>
        <w:rPr>
          <w:rFonts w:ascii="Calibri" w:hAnsi="Calibri" w:cs="Calibri"/>
          <w:b/>
          <w:caps/>
          <w:sz w:val="28"/>
          <w:szCs w:val="28"/>
        </w:rPr>
      </w:pPr>
      <w:r w:rsidRPr="00DD47DF">
        <w:rPr>
          <w:rFonts w:ascii="Calibri" w:hAnsi="Calibri" w:cs="Calibri"/>
          <w:b/>
          <w:caps/>
          <w:sz w:val="28"/>
          <w:szCs w:val="28"/>
        </w:rPr>
        <w:lastRenderedPageBreak/>
        <w:t xml:space="preserve">Seznam </w:t>
      </w:r>
      <w:r w:rsidR="00536909" w:rsidRPr="00DD47DF">
        <w:rPr>
          <w:rFonts w:ascii="Calibri" w:hAnsi="Calibri" w:cs="Calibri"/>
          <w:b/>
          <w:caps/>
          <w:sz w:val="28"/>
          <w:szCs w:val="28"/>
        </w:rPr>
        <w:t xml:space="preserve">použitých </w:t>
      </w:r>
      <w:r w:rsidRPr="00DD47DF">
        <w:rPr>
          <w:rFonts w:ascii="Calibri" w:hAnsi="Calibri" w:cs="Calibri"/>
          <w:b/>
          <w:caps/>
          <w:sz w:val="28"/>
          <w:szCs w:val="28"/>
        </w:rPr>
        <w:t>zkratek</w:t>
      </w:r>
    </w:p>
    <w:p w14:paraId="0FBEF351" w14:textId="77777777" w:rsidR="000C44FC" w:rsidRPr="00DD47DF" w:rsidRDefault="000C44FC" w:rsidP="000C44FC">
      <w:pPr>
        <w:pStyle w:val="Standardntext"/>
      </w:pPr>
    </w:p>
    <w:tbl>
      <w:tblPr>
        <w:tblW w:w="0" w:type="auto"/>
        <w:tblCellMar>
          <w:left w:w="57" w:type="dxa"/>
          <w:right w:w="57" w:type="dxa"/>
        </w:tblCellMar>
        <w:tblLook w:val="04A0" w:firstRow="1" w:lastRow="0" w:firstColumn="1" w:lastColumn="0" w:noHBand="0" w:noVBand="1"/>
      </w:tblPr>
      <w:tblGrid>
        <w:gridCol w:w="2376"/>
        <w:gridCol w:w="6836"/>
      </w:tblGrid>
      <w:tr w:rsidR="00F37CF9" w:rsidRPr="00DD47DF" w14:paraId="5EA3B3FB" w14:textId="77777777">
        <w:tc>
          <w:tcPr>
            <w:tcW w:w="2376" w:type="dxa"/>
            <w:shd w:val="clear" w:color="auto" w:fill="auto"/>
          </w:tcPr>
          <w:p w14:paraId="2B8920D3" w14:textId="77777777" w:rsidR="00F37CF9" w:rsidRPr="00DD47DF" w:rsidRDefault="00F37CF9" w:rsidP="00142A82">
            <w:pPr>
              <w:pStyle w:val="Tabulka"/>
              <w:jc w:val="left"/>
              <w:rPr>
                <w:rFonts w:cs="Calibri"/>
              </w:rPr>
            </w:pPr>
            <w:r w:rsidRPr="00DD47DF">
              <w:rPr>
                <w:rFonts w:cs="Calibri"/>
              </w:rPr>
              <w:t>CEF</w:t>
            </w:r>
          </w:p>
        </w:tc>
        <w:tc>
          <w:tcPr>
            <w:tcW w:w="6836" w:type="dxa"/>
            <w:shd w:val="clear" w:color="auto" w:fill="auto"/>
          </w:tcPr>
          <w:p w14:paraId="46BD138C" w14:textId="77777777" w:rsidR="00F37CF9" w:rsidRPr="00DD47DF" w:rsidRDefault="00F37CF9" w:rsidP="00142A82">
            <w:pPr>
              <w:pStyle w:val="Tabulka"/>
              <w:jc w:val="left"/>
              <w:rPr>
                <w:rFonts w:cs="Calibri"/>
              </w:rPr>
            </w:pPr>
            <w:r w:rsidRPr="00DD47DF">
              <w:rPr>
                <w:rFonts w:cs="Calibri"/>
              </w:rPr>
              <w:t>Nástroj pro propojení Evropy</w:t>
            </w:r>
          </w:p>
        </w:tc>
      </w:tr>
      <w:tr w:rsidR="00F37CF9" w:rsidRPr="00DD47DF" w14:paraId="5ED87936" w14:textId="77777777">
        <w:tc>
          <w:tcPr>
            <w:tcW w:w="2376" w:type="dxa"/>
            <w:shd w:val="clear" w:color="auto" w:fill="auto"/>
          </w:tcPr>
          <w:p w14:paraId="493C8105" w14:textId="77777777" w:rsidR="00F37CF9" w:rsidRPr="00DD47DF" w:rsidRDefault="00F37CF9" w:rsidP="00142A82">
            <w:pPr>
              <w:pStyle w:val="Tabulka"/>
              <w:jc w:val="left"/>
              <w:rPr>
                <w:rFonts w:cs="Calibri"/>
              </w:rPr>
            </w:pPr>
            <w:r w:rsidRPr="00DD47DF">
              <w:rPr>
                <w:rFonts w:cs="Calibri"/>
              </w:rPr>
              <w:t>CLLD</w:t>
            </w:r>
          </w:p>
        </w:tc>
        <w:tc>
          <w:tcPr>
            <w:tcW w:w="6836" w:type="dxa"/>
            <w:shd w:val="clear" w:color="auto" w:fill="auto"/>
          </w:tcPr>
          <w:p w14:paraId="312E78AE" w14:textId="77777777" w:rsidR="00F37CF9" w:rsidRPr="00DD47DF" w:rsidRDefault="00F37CF9" w:rsidP="00142A82">
            <w:pPr>
              <w:pStyle w:val="Tabulka"/>
              <w:jc w:val="left"/>
              <w:rPr>
                <w:rFonts w:cs="Calibri"/>
              </w:rPr>
            </w:pPr>
            <w:r w:rsidRPr="00DD47DF">
              <w:rPr>
                <w:rFonts w:cs="Calibri"/>
              </w:rPr>
              <w:t>Komunitně vedený místní rozvoj</w:t>
            </w:r>
          </w:p>
        </w:tc>
      </w:tr>
      <w:tr w:rsidR="00F37CF9" w:rsidRPr="00DD47DF" w14:paraId="14F77CD2" w14:textId="77777777">
        <w:tc>
          <w:tcPr>
            <w:tcW w:w="2376" w:type="dxa"/>
            <w:shd w:val="clear" w:color="auto" w:fill="auto"/>
          </w:tcPr>
          <w:p w14:paraId="31AEE9D4" w14:textId="77777777" w:rsidR="00F37CF9" w:rsidRPr="00DD47DF" w:rsidRDefault="00F37CF9" w:rsidP="00142A82">
            <w:pPr>
              <w:pStyle w:val="Tabulka"/>
              <w:jc w:val="left"/>
              <w:rPr>
                <w:rFonts w:cs="Calibri"/>
              </w:rPr>
            </w:pPr>
            <w:r w:rsidRPr="00DD47DF">
              <w:rPr>
                <w:rFonts w:cs="Calibri"/>
              </w:rPr>
              <w:t>COSME</w:t>
            </w:r>
          </w:p>
        </w:tc>
        <w:tc>
          <w:tcPr>
            <w:tcW w:w="6836" w:type="dxa"/>
            <w:shd w:val="clear" w:color="auto" w:fill="auto"/>
          </w:tcPr>
          <w:p w14:paraId="1E4D425C" w14:textId="77777777" w:rsidR="00F37CF9" w:rsidRPr="00DD47DF" w:rsidRDefault="00F37CF9" w:rsidP="00142A82">
            <w:pPr>
              <w:pStyle w:val="Tabulka"/>
              <w:jc w:val="left"/>
              <w:rPr>
                <w:rFonts w:cs="Calibri"/>
              </w:rPr>
            </w:pPr>
            <w:r w:rsidRPr="00DD47DF">
              <w:rPr>
                <w:rFonts w:cs="Calibri"/>
              </w:rPr>
              <w:t>Program pro konkurenceschopnost podniků s důrazem na malé a střední podniky 2014-2020</w:t>
            </w:r>
          </w:p>
        </w:tc>
      </w:tr>
      <w:tr w:rsidR="009E6C87" w:rsidRPr="00DD47DF" w14:paraId="6004FE1C" w14:textId="77777777">
        <w:tc>
          <w:tcPr>
            <w:tcW w:w="2376" w:type="dxa"/>
            <w:shd w:val="clear" w:color="auto" w:fill="auto"/>
          </w:tcPr>
          <w:p w14:paraId="757C3D02" w14:textId="77777777" w:rsidR="009E6C87" w:rsidRPr="00DD47DF" w:rsidRDefault="009E6C87" w:rsidP="00142A82">
            <w:pPr>
              <w:pStyle w:val="Tabulka"/>
              <w:jc w:val="left"/>
              <w:rPr>
                <w:rFonts w:cs="Calibri"/>
              </w:rPr>
            </w:pPr>
            <w:r w:rsidRPr="00DD47DF">
              <w:rPr>
                <w:rFonts w:cs="Calibri"/>
              </w:rPr>
              <w:t>CSS</w:t>
            </w:r>
          </w:p>
        </w:tc>
        <w:tc>
          <w:tcPr>
            <w:tcW w:w="6836" w:type="dxa"/>
            <w:shd w:val="clear" w:color="auto" w:fill="auto"/>
          </w:tcPr>
          <w:p w14:paraId="3A3D62D3" w14:textId="77777777" w:rsidR="009E6C87" w:rsidRPr="00DD47DF" w:rsidRDefault="009E6C87" w:rsidP="00142A82">
            <w:pPr>
              <w:pStyle w:val="Tabulka"/>
              <w:jc w:val="left"/>
              <w:rPr>
                <w:rFonts w:cs="Calibri"/>
              </w:rPr>
            </w:pPr>
            <w:r w:rsidRPr="00DD47DF">
              <w:rPr>
                <w:rFonts w:cs="Calibri"/>
              </w:rPr>
              <w:t>Centrum sdílených služeb</w:t>
            </w:r>
          </w:p>
        </w:tc>
      </w:tr>
      <w:tr w:rsidR="00F37CF9" w:rsidRPr="00DD47DF" w14:paraId="517DD0E8" w14:textId="77777777">
        <w:tc>
          <w:tcPr>
            <w:tcW w:w="2376" w:type="dxa"/>
            <w:shd w:val="clear" w:color="auto" w:fill="auto"/>
          </w:tcPr>
          <w:p w14:paraId="3A95609F" w14:textId="77777777" w:rsidR="00F37CF9" w:rsidRPr="00DD47DF" w:rsidRDefault="00F37CF9" w:rsidP="00142A82">
            <w:pPr>
              <w:pStyle w:val="Tabulka"/>
              <w:jc w:val="left"/>
              <w:rPr>
                <w:rFonts w:cs="Calibri"/>
              </w:rPr>
            </w:pPr>
            <w:r w:rsidRPr="00DD47DF">
              <w:rPr>
                <w:rFonts w:cs="Calibri"/>
              </w:rPr>
              <w:t>ČMZRB</w:t>
            </w:r>
          </w:p>
        </w:tc>
        <w:tc>
          <w:tcPr>
            <w:tcW w:w="6836" w:type="dxa"/>
            <w:shd w:val="clear" w:color="auto" w:fill="auto"/>
          </w:tcPr>
          <w:p w14:paraId="0FA8958C" w14:textId="77777777" w:rsidR="00F37CF9" w:rsidRPr="00DD47DF" w:rsidRDefault="00F37CF9" w:rsidP="00142A82">
            <w:pPr>
              <w:pStyle w:val="Tabulka"/>
              <w:jc w:val="left"/>
              <w:rPr>
                <w:rFonts w:cs="Calibri"/>
              </w:rPr>
            </w:pPr>
            <w:r w:rsidRPr="00DD47DF">
              <w:rPr>
                <w:rFonts w:cs="Calibri"/>
              </w:rPr>
              <w:t>Českomoravská záruční a rozvojové banka, a.s.</w:t>
            </w:r>
          </w:p>
        </w:tc>
      </w:tr>
      <w:tr w:rsidR="00F37CF9" w:rsidRPr="00DD47DF" w14:paraId="68C20C89" w14:textId="77777777">
        <w:tc>
          <w:tcPr>
            <w:tcW w:w="2376" w:type="dxa"/>
            <w:shd w:val="clear" w:color="auto" w:fill="auto"/>
          </w:tcPr>
          <w:p w14:paraId="62C44532" w14:textId="77777777" w:rsidR="00F37CF9" w:rsidRPr="00DD47DF" w:rsidRDefault="00F37CF9" w:rsidP="00142A82">
            <w:pPr>
              <w:pStyle w:val="Tabulka"/>
              <w:jc w:val="left"/>
              <w:rPr>
                <w:rFonts w:cs="Calibri"/>
              </w:rPr>
            </w:pPr>
            <w:r w:rsidRPr="00DD47DF">
              <w:rPr>
                <w:rFonts w:cs="Calibri"/>
              </w:rPr>
              <w:t>ČSÚ</w:t>
            </w:r>
          </w:p>
        </w:tc>
        <w:tc>
          <w:tcPr>
            <w:tcW w:w="6836" w:type="dxa"/>
            <w:shd w:val="clear" w:color="auto" w:fill="auto"/>
          </w:tcPr>
          <w:p w14:paraId="1E9F851B" w14:textId="77777777" w:rsidR="00F37CF9" w:rsidRPr="00DD47DF" w:rsidRDefault="00F37CF9" w:rsidP="00142A82">
            <w:pPr>
              <w:pStyle w:val="Tabulka"/>
              <w:jc w:val="left"/>
              <w:rPr>
                <w:rFonts w:cs="Calibri"/>
              </w:rPr>
            </w:pPr>
            <w:r w:rsidRPr="00DD47DF">
              <w:rPr>
                <w:rFonts w:cs="Calibri"/>
              </w:rPr>
              <w:t>Český statistický úřad</w:t>
            </w:r>
          </w:p>
        </w:tc>
      </w:tr>
      <w:tr w:rsidR="00F37CF9" w:rsidRPr="00DD47DF" w14:paraId="31F3EAF7" w14:textId="77777777">
        <w:tc>
          <w:tcPr>
            <w:tcW w:w="2376" w:type="dxa"/>
            <w:shd w:val="clear" w:color="auto" w:fill="auto"/>
          </w:tcPr>
          <w:p w14:paraId="7767D8A8" w14:textId="77777777" w:rsidR="00F37CF9" w:rsidRPr="00DD47DF" w:rsidRDefault="00F37CF9" w:rsidP="00142A82">
            <w:pPr>
              <w:pStyle w:val="Tabulka"/>
              <w:jc w:val="left"/>
              <w:rPr>
                <w:rFonts w:cs="Calibri"/>
              </w:rPr>
            </w:pPr>
            <w:r w:rsidRPr="00DD47DF">
              <w:rPr>
                <w:rFonts w:cs="Calibri"/>
              </w:rPr>
              <w:t>ČTÚ</w:t>
            </w:r>
          </w:p>
        </w:tc>
        <w:tc>
          <w:tcPr>
            <w:tcW w:w="6836" w:type="dxa"/>
            <w:shd w:val="clear" w:color="auto" w:fill="auto"/>
          </w:tcPr>
          <w:p w14:paraId="65EF8CA8" w14:textId="77777777" w:rsidR="00F37CF9" w:rsidRPr="00DD47DF" w:rsidRDefault="00F37CF9" w:rsidP="00142A82">
            <w:pPr>
              <w:pStyle w:val="Tabulka"/>
              <w:jc w:val="left"/>
              <w:rPr>
                <w:rFonts w:cs="Calibri"/>
              </w:rPr>
            </w:pPr>
            <w:r w:rsidRPr="00DD47DF">
              <w:rPr>
                <w:rFonts w:cs="Calibri"/>
              </w:rPr>
              <w:t>Český telekomunikační úřad</w:t>
            </w:r>
          </w:p>
        </w:tc>
      </w:tr>
      <w:tr w:rsidR="00F37CF9" w:rsidRPr="00DD47DF" w14:paraId="2F2DB7EE" w14:textId="77777777">
        <w:tc>
          <w:tcPr>
            <w:tcW w:w="2376" w:type="dxa"/>
            <w:shd w:val="clear" w:color="auto" w:fill="auto"/>
          </w:tcPr>
          <w:p w14:paraId="7589C8B7" w14:textId="77777777" w:rsidR="00F37CF9" w:rsidRPr="00DD47DF" w:rsidRDefault="00F37CF9" w:rsidP="00142A82">
            <w:pPr>
              <w:pStyle w:val="Tabulka"/>
              <w:jc w:val="left"/>
              <w:rPr>
                <w:rFonts w:cs="Calibri"/>
              </w:rPr>
            </w:pPr>
            <w:r w:rsidRPr="00DD47DF">
              <w:rPr>
                <w:rFonts w:cs="Calibri"/>
              </w:rPr>
              <w:t xml:space="preserve">DG ENERGY </w:t>
            </w:r>
          </w:p>
        </w:tc>
        <w:tc>
          <w:tcPr>
            <w:tcW w:w="6836" w:type="dxa"/>
            <w:shd w:val="clear" w:color="auto" w:fill="auto"/>
          </w:tcPr>
          <w:p w14:paraId="41E5FD28" w14:textId="77777777" w:rsidR="00F37CF9" w:rsidRPr="00DD47DF" w:rsidRDefault="00F37CF9" w:rsidP="00142A82">
            <w:pPr>
              <w:pStyle w:val="Tabulka"/>
              <w:jc w:val="left"/>
              <w:rPr>
                <w:rFonts w:cs="Calibri"/>
              </w:rPr>
            </w:pPr>
            <w:r w:rsidRPr="00DD47DF">
              <w:rPr>
                <w:rStyle w:val="st1"/>
                <w:szCs w:val="24"/>
              </w:rPr>
              <w:t>Generální ředitelství EK pro energetiku</w:t>
            </w:r>
          </w:p>
        </w:tc>
      </w:tr>
      <w:tr w:rsidR="00F37CF9" w:rsidRPr="00DD47DF" w14:paraId="36E1C0E8" w14:textId="77777777">
        <w:tc>
          <w:tcPr>
            <w:tcW w:w="2376" w:type="dxa"/>
            <w:shd w:val="clear" w:color="auto" w:fill="auto"/>
          </w:tcPr>
          <w:p w14:paraId="07F5FB7B" w14:textId="77777777" w:rsidR="00F37CF9" w:rsidRPr="00DD47DF" w:rsidRDefault="00F37CF9" w:rsidP="00142A82">
            <w:pPr>
              <w:pStyle w:val="Tabulka"/>
              <w:jc w:val="left"/>
              <w:rPr>
                <w:rFonts w:cs="Calibri"/>
              </w:rPr>
            </w:pPr>
            <w:r w:rsidRPr="00DD47DF">
              <w:rPr>
                <w:rFonts w:cs="Calibri"/>
              </w:rPr>
              <w:t>DG REGIO</w:t>
            </w:r>
          </w:p>
        </w:tc>
        <w:tc>
          <w:tcPr>
            <w:tcW w:w="6836" w:type="dxa"/>
            <w:shd w:val="clear" w:color="auto" w:fill="auto"/>
          </w:tcPr>
          <w:p w14:paraId="02BD653F" w14:textId="77777777" w:rsidR="00F37CF9" w:rsidRPr="00DD47DF" w:rsidRDefault="00F37CF9" w:rsidP="00142A82">
            <w:pPr>
              <w:pStyle w:val="Tabulka"/>
              <w:jc w:val="left"/>
              <w:rPr>
                <w:rFonts w:cs="Calibri"/>
              </w:rPr>
            </w:pPr>
            <w:r w:rsidRPr="00DD47DF">
              <w:rPr>
                <w:rStyle w:val="st1"/>
                <w:szCs w:val="24"/>
              </w:rPr>
              <w:t>Generální ředitelství EK pro regionální politiku</w:t>
            </w:r>
          </w:p>
        </w:tc>
      </w:tr>
      <w:tr w:rsidR="00F37CF9" w:rsidRPr="00DD47DF" w14:paraId="0DFEFF5D" w14:textId="77777777">
        <w:tc>
          <w:tcPr>
            <w:tcW w:w="2376" w:type="dxa"/>
            <w:shd w:val="clear" w:color="auto" w:fill="auto"/>
          </w:tcPr>
          <w:p w14:paraId="0DB265C5" w14:textId="77777777" w:rsidR="00F37CF9" w:rsidRPr="00DD47DF" w:rsidRDefault="00F37CF9" w:rsidP="00142A82">
            <w:pPr>
              <w:pStyle w:val="Tabulka"/>
              <w:jc w:val="left"/>
              <w:rPr>
                <w:rFonts w:cs="Calibri"/>
              </w:rPr>
            </w:pPr>
            <w:r w:rsidRPr="00DD47DF">
              <w:rPr>
                <w:rFonts w:cs="Calibri"/>
              </w:rPr>
              <w:t>DG RESEARCH</w:t>
            </w:r>
          </w:p>
        </w:tc>
        <w:tc>
          <w:tcPr>
            <w:tcW w:w="6836" w:type="dxa"/>
            <w:shd w:val="clear" w:color="auto" w:fill="auto"/>
          </w:tcPr>
          <w:p w14:paraId="0FF6E6C0" w14:textId="77777777" w:rsidR="00F37CF9" w:rsidRPr="00DD47DF" w:rsidRDefault="00F37CF9" w:rsidP="00142A82">
            <w:pPr>
              <w:pStyle w:val="Tabulka"/>
              <w:jc w:val="left"/>
              <w:rPr>
                <w:rFonts w:cs="Calibri"/>
              </w:rPr>
            </w:pPr>
            <w:r w:rsidRPr="00DD47DF">
              <w:rPr>
                <w:rStyle w:val="st1"/>
                <w:szCs w:val="24"/>
              </w:rPr>
              <w:t>Generální ředitelství EK pro výzkum</w:t>
            </w:r>
          </w:p>
        </w:tc>
      </w:tr>
      <w:tr w:rsidR="00253374" w:rsidRPr="00DD47DF" w14:paraId="2C4ECA72" w14:textId="77777777">
        <w:tc>
          <w:tcPr>
            <w:tcW w:w="2376" w:type="dxa"/>
            <w:shd w:val="clear" w:color="auto" w:fill="auto"/>
          </w:tcPr>
          <w:p w14:paraId="0A973B53" w14:textId="77777777" w:rsidR="00253374" w:rsidRPr="00DD47DF" w:rsidRDefault="00253374" w:rsidP="00142A82">
            <w:pPr>
              <w:pStyle w:val="Tabulka"/>
              <w:jc w:val="left"/>
              <w:rPr>
                <w:rFonts w:cs="Calibri"/>
              </w:rPr>
            </w:pPr>
            <w:r w:rsidRPr="00DD47DF">
              <w:rPr>
                <w:rFonts w:cs="Calibri"/>
              </w:rPr>
              <w:t>EaSI</w:t>
            </w:r>
          </w:p>
        </w:tc>
        <w:tc>
          <w:tcPr>
            <w:tcW w:w="6836" w:type="dxa"/>
            <w:shd w:val="clear" w:color="auto" w:fill="auto"/>
          </w:tcPr>
          <w:p w14:paraId="66CB9CE4" w14:textId="77777777" w:rsidR="00253374" w:rsidRPr="00DD47DF" w:rsidRDefault="00253374" w:rsidP="00142A82">
            <w:pPr>
              <w:pStyle w:val="Tabulka"/>
              <w:jc w:val="left"/>
              <w:rPr>
                <w:rStyle w:val="st1"/>
                <w:szCs w:val="24"/>
              </w:rPr>
            </w:pPr>
            <w:r w:rsidRPr="00DD47DF">
              <w:rPr>
                <w:rStyle w:val="st1"/>
                <w:szCs w:val="24"/>
              </w:rPr>
              <w:t>Program Evropské unie pro zaměstnanost a sociální inovace</w:t>
            </w:r>
          </w:p>
        </w:tc>
      </w:tr>
      <w:tr w:rsidR="00F37CF9" w:rsidRPr="00DD47DF" w14:paraId="3D390CB1" w14:textId="77777777">
        <w:tc>
          <w:tcPr>
            <w:tcW w:w="2376" w:type="dxa"/>
            <w:shd w:val="clear" w:color="auto" w:fill="auto"/>
          </w:tcPr>
          <w:p w14:paraId="65B9354E" w14:textId="77777777" w:rsidR="00F37CF9" w:rsidRPr="00DD47DF" w:rsidRDefault="00F37CF9" w:rsidP="00142A82">
            <w:pPr>
              <w:pStyle w:val="Tabulka"/>
              <w:jc w:val="left"/>
              <w:rPr>
                <w:rFonts w:cs="Calibri"/>
              </w:rPr>
            </w:pPr>
            <w:r w:rsidRPr="00DD47DF">
              <w:rPr>
                <w:rFonts w:cs="Calibri"/>
              </w:rPr>
              <w:t>EFRR</w:t>
            </w:r>
          </w:p>
        </w:tc>
        <w:tc>
          <w:tcPr>
            <w:tcW w:w="6836" w:type="dxa"/>
            <w:shd w:val="clear" w:color="auto" w:fill="auto"/>
          </w:tcPr>
          <w:p w14:paraId="0D3ECC87" w14:textId="77777777" w:rsidR="00F37CF9" w:rsidRPr="00DD47DF" w:rsidRDefault="00F37CF9" w:rsidP="00142A82">
            <w:pPr>
              <w:pStyle w:val="Tabulka"/>
              <w:jc w:val="left"/>
              <w:rPr>
                <w:rFonts w:cs="Calibri"/>
              </w:rPr>
            </w:pPr>
            <w:r w:rsidRPr="00DD47DF">
              <w:rPr>
                <w:rFonts w:cs="Calibri"/>
              </w:rPr>
              <w:t>Evropský fond pro regionální rozvoj</w:t>
            </w:r>
          </w:p>
        </w:tc>
      </w:tr>
      <w:tr w:rsidR="00F37CF9" w:rsidRPr="00DD47DF" w14:paraId="5FC66E14" w14:textId="77777777">
        <w:tc>
          <w:tcPr>
            <w:tcW w:w="2376" w:type="dxa"/>
            <w:shd w:val="clear" w:color="auto" w:fill="auto"/>
          </w:tcPr>
          <w:p w14:paraId="50A8BE3D" w14:textId="77777777" w:rsidR="00F37CF9" w:rsidRPr="00DD47DF" w:rsidRDefault="00F37CF9" w:rsidP="00142A82">
            <w:pPr>
              <w:pStyle w:val="Tabulka"/>
              <w:jc w:val="left"/>
              <w:rPr>
                <w:rFonts w:cs="Calibri"/>
              </w:rPr>
            </w:pPr>
            <w:r w:rsidRPr="00DD47DF">
              <w:rPr>
                <w:rFonts w:cs="Calibri"/>
              </w:rPr>
              <w:t>EIA</w:t>
            </w:r>
          </w:p>
        </w:tc>
        <w:tc>
          <w:tcPr>
            <w:tcW w:w="6836" w:type="dxa"/>
            <w:shd w:val="clear" w:color="auto" w:fill="auto"/>
          </w:tcPr>
          <w:p w14:paraId="7496FF20" w14:textId="77777777" w:rsidR="00F37CF9" w:rsidRPr="00DD47DF" w:rsidRDefault="00F37CF9" w:rsidP="00142A82">
            <w:pPr>
              <w:pStyle w:val="Tabulka"/>
              <w:jc w:val="left"/>
              <w:rPr>
                <w:rFonts w:cs="Calibri"/>
              </w:rPr>
            </w:pPr>
            <w:r w:rsidRPr="00DD47DF">
              <w:rPr>
                <w:rFonts w:cs="Calibri"/>
              </w:rPr>
              <w:t>Posuzování vlivů záměru na životní prostředí</w:t>
            </w:r>
          </w:p>
        </w:tc>
      </w:tr>
      <w:tr w:rsidR="00F37CF9" w:rsidRPr="00DD47DF" w14:paraId="51AA4D9A" w14:textId="77777777">
        <w:tc>
          <w:tcPr>
            <w:tcW w:w="2376" w:type="dxa"/>
            <w:shd w:val="clear" w:color="auto" w:fill="auto"/>
          </w:tcPr>
          <w:p w14:paraId="5A79CE0E" w14:textId="77777777" w:rsidR="00F37CF9" w:rsidRPr="00DD47DF" w:rsidRDefault="00F37CF9" w:rsidP="00142A82">
            <w:pPr>
              <w:pStyle w:val="Tabulka"/>
              <w:jc w:val="left"/>
              <w:rPr>
                <w:rFonts w:cs="Calibri"/>
              </w:rPr>
            </w:pPr>
            <w:r w:rsidRPr="00DD47DF">
              <w:rPr>
                <w:rFonts w:cs="Calibri"/>
              </w:rPr>
              <w:t>EK</w:t>
            </w:r>
          </w:p>
        </w:tc>
        <w:tc>
          <w:tcPr>
            <w:tcW w:w="6836" w:type="dxa"/>
            <w:shd w:val="clear" w:color="auto" w:fill="auto"/>
          </w:tcPr>
          <w:p w14:paraId="0DE2D24B" w14:textId="77777777" w:rsidR="00F37CF9" w:rsidRPr="00DD47DF" w:rsidRDefault="00F37CF9" w:rsidP="00142A82">
            <w:pPr>
              <w:pStyle w:val="Tabulka"/>
              <w:jc w:val="left"/>
              <w:rPr>
                <w:rFonts w:cs="Calibri"/>
              </w:rPr>
            </w:pPr>
            <w:r w:rsidRPr="00DD47DF">
              <w:rPr>
                <w:rFonts w:cs="Calibri"/>
              </w:rPr>
              <w:t>Evropská komise</w:t>
            </w:r>
          </w:p>
        </w:tc>
      </w:tr>
      <w:tr w:rsidR="00F37CF9" w:rsidRPr="00DD47DF" w14:paraId="3DFADC50" w14:textId="77777777">
        <w:tc>
          <w:tcPr>
            <w:tcW w:w="2376" w:type="dxa"/>
            <w:shd w:val="clear" w:color="auto" w:fill="auto"/>
          </w:tcPr>
          <w:p w14:paraId="0D6FFC4B" w14:textId="77777777" w:rsidR="00F37CF9" w:rsidRPr="00DD47DF" w:rsidRDefault="00F37CF9" w:rsidP="00142A82">
            <w:pPr>
              <w:pStyle w:val="Tabulka"/>
              <w:jc w:val="left"/>
              <w:rPr>
                <w:rFonts w:cs="Calibri"/>
              </w:rPr>
            </w:pPr>
            <w:r w:rsidRPr="00DD47DF">
              <w:rPr>
                <w:rFonts w:cs="Calibri"/>
              </w:rPr>
              <w:t>EMFF</w:t>
            </w:r>
          </w:p>
        </w:tc>
        <w:tc>
          <w:tcPr>
            <w:tcW w:w="6836" w:type="dxa"/>
            <w:shd w:val="clear" w:color="auto" w:fill="auto"/>
          </w:tcPr>
          <w:p w14:paraId="1C2E7994" w14:textId="77777777" w:rsidR="00F37CF9" w:rsidRPr="00DD47DF" w:rsidRDefault="00F37CF9" w:rsidP="00142A82">
            <w:pPr>
              <w:pStyle w:val="Tabulka"/>
              <w:jc w:val="left"/>
              <w:rPr>
                <w:rFonts w:cs="Calibri"/>
              </w:rPr>
            </w:pPr>
            <w:r w:rsidRPr="00DD47DF">
              <w:rPr>
                <w:rFonts w:cs="Calibri"/>
              </w:rPr>
              <w:t>Evropský námořní a rybářské fond</w:t>
            </w:r>
          </w:p>
        </w:tc>
      </w:tr>
      <w:tr w:rsidR="00DA544B" w:rsidRPr="00DD47DF" w14:paraId="0BB33B3D" w14:textId="77777777">
        <w:tc>
          <w:tcPr>
            <w:tcW w:w="2376" w:type="dxa"/>
            <w:shd w:val="clear" w:color="auto" w:fill="auto"/>
          </w:tcPr>
          <w:p w14:paraId="5BE2AFB8" w14:textId="77777777" w:rsidR="00DA544B" w:rsidRPr="00DD47DF" w:rsidRDefault="00DA544B" w:rsidP="00142A82">
            <w:pPr>
              <w:pStyle w:val="Tabulka"/>
              <w:jc w:val="left"/>
              <w:rPr>
                <w:rFonts w:cs="Calibri"/>
              </w:rPr>
            </w:pPr>
            <w:r w:rsidRPr="00DD47DF">
              <w:rPr>
                <w:rFonts w:cs="Calibri"/>
              </w:rPr>
              <w:t>ERÚ</w:t>
            </w:r>
          </w:p>
        </w:tc>
        <w:tc>
          <w:tcPr>
            <w:tcW w:w="6836" w:type="dxa"/>
            <w:shd w:val="clear" w:color="auto" w:fill="auto"/>
          </w:tcPr>
          <w:p w14:paraId="227C0AB3" w14:textId="77777777" w:rsidR="00DA544B" w:rsidRPr="00DD47DF" w:rsidRDefault="00DA544B" w:rsidP="00142A82">
            <w:pPr>
              <w:pStyle w:val="Tabulka"/>
              <w:jc w:val="left"/>
              <w:rPr>
                <w:rFonts w:cs="Calibri"/>
              </w:rPr>
            </w:pPr>
            <w:r w:rsidRPr="00DD47DF">
              <w:rPr>
                <w:rFonts w:cs="Calibri"/>
              </w:rPr>
              <w:t>Energetický regulační úřad</w:t>
            </w:r>
          </w:p>
        </w:tc>
      </w:tr>
      <w:tr w:rsidR="00F37CF9" w:rsidRPr="00DD47DF" w14:paraId="2F2B20E3" w14:textId="77777777">
        <w:tc>
          <w:tcPr>
            <w:tcW w:w="2376" w:type="dxa"/>
            <w:shd w:val="clear" w:color="auto" w:fill="auto"/>
          </w:tcPr>
          <w:p w14:paraId="75F44E33" w14:textId="77777777" w:rsidR="00F37CF9" w:rsidRPr="00DD47DF" w:rsidRDefault="00F37CF9" w:rsidP="00142A82">
            <w:pPr>
              <w:pStyle w:val="Tabulka"/>
              <w:jc w:val="left"/>
              <w:rPr>
                <w:rFonts w:cs="Calibri"/>
              </w:rPr>
            </w:pPr>
            <w:r w:rsidRPr="00DD47DF">
              <w:rPr>
                <w:rFonts w:cs="Calibri"/>
              </w:rPr>
              <w:t>ESF</w:t>
            </w:r>
          </w:p>
        </w:tc>
        <w:tc>
          <w:tcPr>
            <w:tcW w:w="6836" w:type="dxa"/>
            <w:shd w:val="clear" w:color="auto" w:fill="auto"/>
          </w:tcPr>
          <w:p w14:paraId="3868FFD3" w14:textId="77777777" w:rsidR="00F37CF9" w:rsidRPr="00DD47DF" w:rsidRDefault="00F37CF9" w:rsidP="00142A82">
            <w:pPr>
              <w:pStyle w:val="Tabulka"/>
              <w:jc w:val="left"/>
              <w:rPr>
                <w:rFonts w:cs="Calibri"/>
              </w:rPr>
            </w:pPr>
            <w:r w:rsidRPr="00DD47DF">
              <w:rPr>
                <w:rFonts w:cs="Calibri"/>
              </w:rPr>
              <w:t>Evropský sociální fond</w:t>
            </w:r>
          </w:p>
        </w:tc>
      </w:tr>
      <w:tr w:rsidR="00F37CF9" w:rsidRPr="00DD47DF" w14:paraId="6DCFC3A8" w14:textId="77777777">
        <w:tc>
          <w:tcPr>
            <w:tcW w:w="2376" w:type="dxa"/>
            <w:shd w:val="clear" w:color="auto" w:fill="auto"/>
          </w:tcPr>
          <w:p w14:paraId="24997923" w14:textId="77777777" w:rsidR="00F37CF9" w:rsidRPr="00DD47DF" w:rsidRDefault="00F37CF9" w:rsidP="00142A82">
            <w:pPr>
              <w:pStyle w:val="Tabulka"/>
              <w:jc w:val="left"/>
              <w:rPr>
                <w:rFonts w:cs="Calibri"/>
              </w:rPr>
            </w:pPr>
            <w:r w:rsidRPr="00DD47DF">
              <w:rPr>
                <w:rFonts w:cs="Calibri"/>
              </w:rPr>
              <w:t>ESIF / fondy ESI</w:t>
            </w:r>
          </w:p>
        </w:tc>
        <w:tc>
          <w:tcPr>
            <w:tcW w:w="6836" w:type="dxa"/>
            <w:shd w:val="clear" w:color="auto" w:fill="auto"/>
          </w:tcPr>
          <w:p w14:paraId="2EC8F0EF" w14:textId="77777777" w:rsidR="00F37CF9" w:rsidRPr="00DD47DF" w:rsidRDefault="00F37CF9" w:rsidP="00142A82">
            <w:pPr>
              <w:pStyle w:val="Tabulka"/>
              <w:jc w:val="left"/>
              <w:rPr>
                <w:rFonts w:cs="Calibri"/>
              </w:rPr>
            </w:pPr>
            <w:r w:rsidRPr="00DD47DF">
              <w:rPr>
                <w:rFonts w:cs="Calibri"/>
              </w:rPr>
              <w:t>Evropské strukturální a investiční fondy</w:t>
            </w:r>
          </w:p>
        </w:tc>
      </w:tr>
      <w:tr w:rsidR="00F37CF9" w:rsidRPr="00DD47DF" w14:paraId="1BAE028B" w14:textId="77777777">
        <w:tc>
          <w:tcPr>
            <w:tcW w:w="2376" w:type="dxa"/>
            <w:shd w:val="clear" w:color="auto" w:fill="auto"/>
          </w:tcPr>
          <w:p w14:paraId="56920522" w14:textId="77777777" w:rsidR="00F37CF9" w:rsidRPr="00DD47DF" w:rsidRDefault="00F37CF9" w:rsidP="00142A82">
            <w:pPr>
              <w:pStyle w:val="Tabulka"/>
              <w:jc w:val="left"/>
              <w:rPr>
                <w:rFonts w:cs="Calibri"/>
              </w:rPr>
            </w:pPr>
            <w:r w:rsidRPr="00DD47DF">
              <w:rPr>
                <w:rFonts w:cs="Calibri"/>
              </w:rPr>
              <w:t>EU</w:t>
            </w:r>
          </w:p>
        </w:tc>
        <w:tc>
          <w:tcPr>
            <w:tcW w:w="6836" w:type="dxa"/>
            <w:shd w:val="clear" w:color="auto" w:fill="auto"/>
          </w:tcPr>
          <w:p w14:paraId="3ADBC1FE" w14:textId="77777777" w:rsidR="00F37CF9" w:rsidRPr="00DD47DF" w:rsidRDefault="00F37CF9" w:rsidP="00142A82">
            <w:pPr>
              <w:pStyle w:val="Tabulka"/>
              <w:jc w:val="left"/>
              <w:rPr>
                <w:rFonts w:cs="Calibri"/>
              </w:rPr>
            </w:pPr>
            <w:r w:rsidRPr="00DD47DF">
              <w:rPr>
                <w:rFonts w:cs="Calibri"/>
              </w:rPr>
              <w:t>Evropská unie</w:t>
            </w:r>
          </w:p>
        </w:tc>
      </w:tr>
      <w:tr w:rsidR="00F37CF9" w:rsidRPr="00DD47DF" w14:paraId="45D9EACC" w14:textId="77777777">
        <w:tc>
          <w:tcPr>
            <w:tcW w:w="2376" w:type="dxa"/>
            <w:shd w:val="clear" w:color="auto" w:fill="auto"/>
          </w:tcPr>
          <w:p w14:paraId="7DA45D18" w14:textId="77777777" w:rsidR="00F37CF9" w:rsidRPr="00DD47DF" w:rsidRDefault="00F37CF9" w:rsidP="00142A82">
            <w:pPr>
              <w:pStyle w:val="Tabulka"/>
              <w:jc w:val="left"/>
              <w:rPr>
                <w:rFonts w:cs="Calibri"/>
              </w:rPr>
            </w:pPr>
            <w:r w:rsidRPr="00DD47DF">
              <w:rPr>
                <w:rFonts w:cs="Calibri"/>
              </w:rPr>
              <w:t>EZFRV</w:t>
            </w:r>
          </w:p>
        </w:tc>
        <w:tc>
          <w:tcPr>
            <w:tcW w:w="6836" w:type="dxa"/>
            <w:shd w:val="clear" w:color="auto" w:fill="auto"/>
          </w:tcPr>
          <w:p w14:paraId="25945051" w14:textId="77777777" w:rsidR="00F37CF9" w:rsidRPr="00DD47DF" w:rsidRDefault="00F37CF9" w:rsidP="00142A82">
            <w:pPr>
              <w:pStyle w:val="Tabulka"/>
              <w:jc w:val="left"/>
              <w:rPr>
                <w:rFonts w:cs="Calibri"/>
              </w:rPr>
            </w:pPr>
            <w:r w:rsidRPr="00DD47DF">
              <w:rPr>
                <w:rFonts w:cs="Calibri"/>
              </w:rPr>
              <w:t>Evropský zemědělský fondu pro rozvoj venkova</w:t>
            </w:r>
          </w:p>
        </w:tc>
      </w:tr>
      <w:tr w:rsidR="00F37CF9" w:rsidRPr="00DD47DF" w14:paraId="3FB880A8" w14:textId="77777777">
        <w:tc>
          <w:tcPr>
            <w:tcW w:w="2376" w:type="dxa"/>
            <w:shd w:val="clear" w:color="auto" w:fill="auto"/>
          </w:tcPr>
          <w:p w14:paraId="541176DD" w14:textId="77777777" w:rsidR="00F37CF9" w:rsidRPr="00DD47DF" w:rsidRDefault="00F37CF9" w:rsidP="00142A82">
            <w:pPr>
              <w:pStyle w:val="Tabulka"/>
              <w:jc w:val="left"/>
              <w:rPr>
                <w:rFonts w:cs="Calibri"/>
              </w:rPr>
            </w:pPr>
            <w:r w:rsidRPr="00DD47DF">
              <w:rPr>
                <w:rFonts w:cs="Calibri"/>
              </w:rPr>
              <w:t>FET</w:t>
            </w:r>
          </w:p>
        </w:tc>
        <w:tc>
          <w:tcPr>
            <w:tcW w:w="6836" w:type="dxa"/>
            <w:shd w:val="clear" w:color="auto" w:fill="auto"/>
          </w:tcPr>
          <w:p w14:paraId="3D09E58F" w14:textId="77777777" w:rsidR="00F37CF9" w:rsidRPr="00DD47DF" w:rsidRDefault="00F37CF9" w:rsidP="00142A82">
            <w:pPr>
              <w:pStyle w:val="Tabulka"/>
              <w:jc w:val="left"/>
              <w:rPr>
                <w:rFonts w:cs="Calibri"/>
              </w:rPr>
            </w:pPr>
            <w:r w:rsidRPr="00DD47DF">
              <w:rPr>
                <w:rStyle w:val="Zdraznn"/>
                <w:b w:val="0"/>
                <w:szCs w:val="24"/>
              </w:rPr>
              <w:t>Budoucí</w:t>
            </w:r>
            <w:r w:rsidRPr="00DD47DF">
              <w:rPr>
                <w:rStyle w:val="st1"/>
                <w:szCs w:val="24"/>
              </w:rPr>
              <w:t xml:space="preserve"> a vznikající </w:t>
            </w:r>
            <w:r w:rsidRPr="00DD47DF">
              <w:rPr>
                <w:rStyle w:val="Zdraznn"/>
                <w:b w:val="0"/>
                <w:szCs w:val="24"/>
              </w:rPr>
              <w:t>technologie</w:t>
            </w:r>
          </w:p>
        </w:tc>
      </w:tr>
      <w:tr w:rsidR="00343596" w:rsidRPr="00DD47DF" w14:paraId="6FA34B2B" w14:textId="77777777">
        <w:tc>
          <w:tcPr>
            <w:tcW w:w="2376" w:type="dxa"/>
            <w:shd w:val="clear" w:color="auto" w:fill="auto"/>
          </w:tcPr>
          <w:p w14:paraId="31339720" w14:textId="66879EEA" w:rsidR="00343596" w:rsidRPr="00DD47DF" w:rsidRDefault="00343596" w:rsidP="00142A82">
            <w:pPr>
              <w:pStyle w:val="Tabulka"/>
              <w:jc w:val="left"/>
              <w:rPr>
                <w:rFonts w:cs="Calibri"/>
              </w:rPr>
            </w:pPr>
            <w:r>
              <w:rPr>
                <w:rFonts w:cs="Calibri"/>
              </w:rPr>
              <w:t>FN</w:t>
            </w:r>
          </w:p>
        </w:tc>
        <w:tc>
          <w:tcPr>
            <w:tcW w:w="6836" w:type="dxa"/>
            <w:shd w:val="clear" w:color="auto" w:fill="auto"/>
          </w:tcPr>
          <w:p w14:paraId="23397DFE" w14:textId="7BE85F3B" w:rsidR="00343596" w:rsidRPr="00DD47DF" w:rsidRDefault="00343596" w:rsidP="00142A82">
            <w:pPr>
              <w:pStyle w:val="Tabulka"/>
              <w:jc w:val="left"/>
              <w:rPr>
                <w:rStyle w:val="Zdraznn"/>
                <w:b w:val="0"/>
                <w:szCs w:val="24"/>
              </w:rPr>
            </w:pPr>
            <w:r>
              <w:rPr>
                <w:rStyle w:val="Zdraznn"/>
                <w:b w:val="0"/>
                <w:szCs w:val="24"/>
              </w:rPr>
              <w:t>Finanční nástroj</w:t>
            </w:r>
          </w:p>
        </w:tc>
      </w:tr>
      <w:tr w:rsidR="00F37CF9" w:rsidRPr="00DD47DF" w14:paraId="13F04CD7" w14:textId="77777777">
        <w:tc>
          <w:tcPr>
            <w:tcW w:w="2376" w:type="dxa"/>
            <w:shd w:val="clear" w:color="auto" w:fill="auto"/>
          </w:tcPr>
          <w:p w14:paraId="242C817A" w14:textId="77777777" w:rsidR="00F37CF9" w:rsidRPr="00DD47DF" w:rsidRDefault="00F37CF9" w:rsidP="00142A82">
            <w:pPr>
              <w:pStyle w:val="Tabulka"/>
              <w:jc w:val="left"/>
              <w:rPr>
                <w:rFonts w:cs="Calibri"/>
              </w:rPr>
            </w:pPr>
            <w:r w:rsidRPr="00DD47DF">
              <w:rPr>
                <w:rFonts w:cs="Calibri"/>
              </w:rPr>
              <w:t>FS</w:t>
            </w:r>
          </w:p>
        </w:tc>
        <w:tc>
          <w:tcPr>
            <w:tcW w:w="6836" w:type="dxa"/>
            <w:shd w:val="clear" w:color="auto" w:fill="auto"/>
          </w:tcPr>
          <w:p w14:paraId="5A6FF3FE" w14:textId="77777777" w:rsidR="00F37CF9" w:rsidRPr="00DD47DF" w:rsidRDefault="00F37CF9" w:rsidP="00142A82">
            <w:pPr>
              <w:pStyle w:val="Tabulka"/>
              <w:jc w:val="left"/>
              <w:rPr>
                <w:rFonts w:cs="Calibri"/>
              </w:rPr>
            </w:pPr>
            <w:r w:rsidRPr="00DD47DF">
              <w:rPr>
                <w:rFonts w:cs="Calibri"/>
              </w:rPr>
              <w:t>Fond soudržnosti</w:t>
            </w:r>
          </w:p>
        </w:tc>
      </w:tr>
      <w:tr w:rsidR="00F37CF9" w:rsidRPr="00DD47DF" w14:paraId="7B6FC430" w14:textId="77777777">
        <w:tc>
          <w:tcPr>
            <w:tcW w:w="2376" w:type="dxa"/>
            <w:shd w:val="clear" w:color="auto" w:fill="auto"/>
          </w:tcPr>
          <w:p w14:paraId="04C0875C" w14:textId="77777777" w:rsidR="00F37CF9" w:rsidRPr="00DD47DF" w:rsidRDefault="00F37CF9" w:rsidP="00142A82">
            <w:pPr>
              <w:pStyle w:val="Tabulka"/>
              <w:jc w:val="left"/>
              <w:rPr>
                <w:rFonts w:cs="Calibri"/>
              </w:rPr>
            </w:pPr>
            <w:r w:rsidRPr="00DD47DF">
              <w:rPr>
                <w:rFonts w:cs="Calibri"/>
              </w:rPr>
              <w:t>ICT / IKT</w:t>
            </w:r>
          </w:p>
        </w:tc>
        <w:tc>
          <w:tcPr>
            <w:tcW w:w="6836" w:type="dxa"/>
            <w:shd w:val="clear" w:color="auto" w:fill="auto"/>
          </w:tcPr>
          <w:p w14:paraId="69159130" w14:textId="77777777" w:rsidR="00F37CF9" w:rsidRPr="00DD47DF" w:rsidRDefault="00F37CF9" w:rsidP="00142A82">
            <w:pPr>
              <w:pStyle w:val="Tabulka"/>
              <w:jc w:val="left"/>
              <w:rPr>
                <w:rFonts w:cs="Calibri"/>
              </w:rPr>
            </w:pPr>
            <w:r w:rsidRPr="00DD47DF">
              <w:rPr>
                <w:rFonts w:cs="Calibri"/>
              </w:rPr>
              <w:t>Informační a komunikační technologie</w:t>
            </w:r>
          </w:p>
        </w:tc>
      </w:tr>
      <w:tr w:rsidR="00F37CF9" w:rsidRPr="00DD47DF" w14:paraId="4A40FD19" w14:textId="77777777">
        <w:tc>
          <w:tcPr>
            <w:tcW w:w="2376" w:type="dxa"/>
            <w:shd w:val="clear" w:color="auto" w:fill="auto"/>
          </w:tcPr>
          <w:p w14:paraId="09C658E8" w14:textId="77777777" w:rsidR="00F37CF9" w:rsidRPr="00DD47DF" w:rsidRDefault="00F37CF9" w:rsidP="00142A82">
            <w:pPr>
              <w:pStyle w:val="Tabulka"/>
              <w:jc w:val="left"/>
              <w:rPr>
                <w:rFonts w:cs="Calibri"/>
              </w:rPr>
            </w:pPr>
            <w:r w:rsidRPr="00DD47DF">
              <w:rPr>
                <w:rFonts w:cs="Calibri"/>
              </w:rPr>
              <w:t>IP</w:t>
            </w:r>
          </w:p>
        </w:tc>
        <w:tc>
          <w:tcPr>
            <w:tcW w:w="6836" w:type="dxa"/>
            <w:shd w:val="clear" w:color="auto" w:fill="auto"/>
          </w:tcPr>
          <w:p w14:paraId="194D6C50" w14:textId="77777777" w:rsidR="00F37CF9" w:rsidRPr="00DD47DF" w:rsidRDefault="00F37CF9" w:rsidP="00142A82">
            <w:pPr>
              <w:pStyle w:val="Tabulka"/>
              <w:jc w:val="left"/>
              <w:rPr>
                <w:rFonts w:cs="Calibri"/>
              </w:rPr>
            </w:pPr>
            <w:r w:rsidRPr="00DD47DF">
              <w:rPr>
                <w:rFonts w:cs="Calibri"/>
              </w:rPr>
              <w:t>Investiční priorita</w:t>
            </w:r>
          </w:p>
        </w:tc>
      </w:tr>
      <w:tr w:rsidR="00F37CF9" w:rsidRPr="00DD47DF" w14:paraId="48DCE71B" w14:textId="77777777">
        <w:tc>
          <w:tcPr>
            <w:tcW w:w="2376" w:type="dxa"/>
            <w:shd w:val="clear" w:color="auto" w:fill="auto"/>
          </w:tcPr>
          <w:p w14:paraId="3A3A7F39" w14:textId="77777777" w:rsidR="00F37CF9" w:rsidRPr="00DD47DF" w:rsidRDefault="00F37CF9" w:rsidP="00142A82">
            <w:pPr>
              <w:pStyle w:val="Tabulka"/>
              <w:jc w:val="left"/>
              <w:rPr>
                <w:rFonts w:cs="Calibri"/>
              </w:rPr>
            </w:pPr>
            <w:r w:rsidRPr="00DD47DF">
              <w:rPr>
                <w:rFonts w:cs="Calibri"/>
              </w:rPr>
              <w:t>IROP</w:t>
            </w:r>
          </w:p>
        </w:tc>
        <w:tc>
          <w:tcPr>
            <w:tcW w:w="6836" w:type="dxa"/>
            <w:shd w:val="clear" w:color="auto" w:fill="auto"/>
          </w:tcPr>
          <w:p w14:paraId="712F910F" w14:textId="77777777" w:rsidR="00F37CF9" w:rsidRPr="00DD47DF" w:rsidRDefault="00F37CF9" w:rsidP="00142A82">
            <w:pPr>
              <w:pStyle w:val="Tabulka"/>
              <w:jc w:val="left"/>
              <w:rPr>
                <w:rFonts w:cs="Calibri"/>
              </w:rPr>
            </w:pPr>
            <w:r w:rsidRPr="00DD47DF">
              <w:rPr>
                <w:rFonts w:cs="Calibri"/>
              </w:rPr>
              <w:t>Integrovaný regionální operační program</w:t>
            </w:r>
          </w:p>
        </w:tc>
      </w:tr>
      <w:tr w:rsidR="00A841AE" w:rsidRPr="00DD47DF" w14:paraId="373C8DC0" w14:textId="77777777">
        <w:tc>
          <w:tcPr>
            <w:tcW w:w="2376" w:type="dxa"/>
            <w:shd w:val="clear" w:color="auto" w:fill="auto"/>
          </w:tcPr>
          <w:p w14:paraId="5D9ADDFC" w14:textId="77777777" w:rsidR="00A841AE" w:rsidRPr="00DD47DF" w:rsidRDefault="00A841AE" w:rsidP="00142A82">
            <w:pPr>
              <w:pStyle w:val="Tabulka"/>
              <w:jc w:val="left"/>
              <w:rPr>
                <w:rFonts w:cs="Calibri"/>
              </w:rPr>
            </w:pPr>
            <w:r w:rsidRPr="00DD47DF">
              <w:rPr>
                <w:rFonts w:cs="Calibri"/>
              </w:rPr>
              <w:t>IS</w:t>
            </w:r>
          </w:p>
        </w:tc>
        <w:tc>
          <w:tcPr>
            <w:tcW w:w="6836" w:type="dxa"/>
            <w:shd w:val="clear" w:color="auto" w:fill="auto"/>
          </w:tcPr>
          <w:p w14:paraId="1942EAF6" w14:textId="77777777" w:rsidR="00A841AE" w:rsidRPr="00DD47DF" w:rsidRDefault="00A841AE" w:rsidP="00142A82">
            <w:pPr>
              <w:pStyle w:val="Tabulka"/>
              <w:jc w:val="left"/>
              <w:rPr>
                <w:rFonts w:cs="Calibri"/>
              </w:rPr>
            </w:pPr>
            <w:r w:rsidRPr="00DD47DF">
              <w:rPr>
                <w:rFonts w:cs="Calibri"/>
              </w:rPr>
              <w:t>Implementační struktura</w:t>
            </w:r>
          </w:p>
        </w:tc>
      </w:tr>
      <w:tr w:rsidR="00F37CF9" w:rsidRPr="00DD47DF" w14:paraId="04D78C09" w14:textId="77777777">
        <w:tc>
          <w:tcPr>
            <w:tcW w:w="2376" w:type="dxa"/>
            <w:shd w:val="clear" w:color="auto" w:fill="auto"/>
          </w:tcPr>
          <w:p w14:paraId="2916C2F0" w14:textId="77777777" w:rsidR="00F37CF9" w:rsidRPr="00DD47DF" w:rsidRDefault="00F37CF9" w:rsidP="00142A82">
            <w:pPr>
              <w:pStyle w:val="Tabulka"/>
              <w:jc w:val="left"/>
              <w:rPr>
                <w:rFonts w:cs="Calibri"/>
              </w:rPr>
            </w:pPr>
            <w:r w:rsidRPr="00DD47DF">
              <w:rPr>
                <w:rFonts w:cs="Calibri"/>
              </w:rPr>
              <w:t>IT</w:t>
            </w:r>
          </w:p>
        </w:tc>
        <w:tc>
          <w:tcPr>
            <w:tcW w:w="6836" w:type="dxa"/>
            <w:shd w:val="clear" w:color="auto" w:fill="auto"/>
          </w:tcPr>
          <w:p w14:paraId="69412FE6" w14:textId="77777777" w:rsidR="00F37CF9" w:rsidRPr="00DD47DF" w:rsidRDefault="00F37CF9" w:rsidP="00142A82">
            <w:pPr>
              <w:pStyle w:val="Tabulka"/>
              <w:jc w:val="left"/>
              <w:rPr>
                <w:rFonts w:cs="Calibri"/>
              </w:rPr>
            </w:pPr>
            <w:r w:rsidRPr="00DD47DF">
              <w:rPr>
                <w:rFonts w:cs="Calibri"/>
              </w:rPr>
              <w:t>Informační technologie</w:t>
            </w:r>
          </w:p>
        </w:tc>
      </w:tr>
      <w:tr w:rsidR="00F37CF9" w:rsidRPr="00DD47DF" w14:paraId="00C1D4D7" w14:textId="77777777">
        <w:tc>
          <w:tcPr>
            <w:tcW w:w="2376" w:type="dxa"/>
            <w:shd w:val="clear" w:color="auto" w:fill="auto"/>
          </w:tcPr>
          <w:p w14:paraId="5C23E3F3" w14:textId="77777777" w:rsidR="00F37CF9" w:rsidRPr="00DD47DF" w:rsidRDefault="00F37CF9" w:rsidP="00142A82">
            <w:pPr>
              <w:pStyle w:val="Tabulka"/>
              <w:jc w:val="left"/>
              <w:rPr>
                <w:rFonts w:cs="Calibri"/>
              </w:rPr>
            </w:pPr>
            <w:r w:rsidRPr="00DD47DF">
              <w:rPr>
                <w:rFonts w:cs="Calibri"/>
              </w:rPr>
              <w:t>ITI</w:t>
            </w:r>
          </w:p>
        </w:tc>
        <w:tc>
          <w:tcPr>
            <w:tcW w:w="6836" w:type="dxa"/>
            <w:shd w:val="clear" w:color="auto" w:fill="auto"/>
          </w:tcPr>
          <w:p w14:paraId="67ECC155" w14:textId="77777777" w:rsidR="00F37CF9" w:rsidRPr="00DD47DF" w:rsidRDefault="00F37CF9" w:rsidP="00142A82">
            <w:pPr>
              <w:pStyle w:val="Tabulka"/>
              <w:jc w:val="left"/>
              <w:rPr>
                <w:rFonts w:cs="Calibri"/>
              </w:rPr>
            </w:pPr>
            <w:r w:rsidRPr="00DD47DF">
              <w:rPr>
                <w:rFonts w:cs="Calibri"/>
              </w:rPr>
              <w:t>Integrované územní investice</w:t>
            </w:r>
          </w:p>
        </w:tc>
      </w:tr>
      <w:tr w:rsidR="00F37CF9" w:rsidRPr="00DD47DF" w14:paraId="20C80352" w14:textId="77777777">
        <w:tc>
          <w:tcPr>
            <w:tcW w:w="2376" w:type="dxa"/>
            <w:shd w:val="clear" w:color="auto" w:fill="auto"/>
          </w:tcPr>
          <w:p w14:paraId="270EF25B" w14:textId="77777777" w:rsidR="00F37CF9" w:rsidRPr="00DD47DF" w:rsidRDefault="00F37CF9" w:rsidP="00142A82">
            <w:pPr>
              <w:pStyle w:val="Tabulka"/>
              <w:jc w:val="left"/>
              <w:rPr>
                <w:rFonts w:cs="Calibri"/>
              </w:rPr>
            </w:pPr>
            <w:r w:rsidRPr="00DD47DF">
              <w:rPr>
                <w:rFonts w:cs="Calibri"/>
              </w:rPr>
              <w:t>KETs</w:t>
            </w:r>
          </w:p>
        </w:tc>
        <w:tc>
          <w:tcPr>
            <w:tcW w:w="6836" w:type="dxa"/>
            <w:shd w:val="clear" w:color="auto" w:fill="auto"/>
          </w:tcPr>
          <w:p w14:paraId="03745405" w14:textId="77777777" w:rsidR="00F37CF9" w:rsidRPr="00DD47DF" w:rsidRDefault="00F37CF9" w:rsidP="00142A82">
            <w:pPr>
              <w:pStyle w:val="Tabulka"/>
              <w:jc w:val="left"/>
              <w:rPr>
                <w:rFonts w:cs="Calibri"/>
              </w:rPr>
            </w:pPr>
            <w:r w:rsidRPr="00DD47DF">
              <w:rPr>
                <w:rFonts w:cs="Calibri"/>
              </w:rPr>
              <w:t>Key Enabling Technologies (klíčové průřezové technologie)</w:t>
            </w:r>
          </w:p>
        </w:tc>
      </w:tr>
      <w:tr w:rsidR="00F37CF9" w:rsidRPr="00DD47DF" w14:paraId="5B70F09C" w14:textId="77777777">
        <w:tc>
          <w:tcPr>
            <w:tcW w:w="2376" w:type="dxa"/>
            <w:shd w:val="clear" w:color="auto" w:fill="auto"/>
          </w:tcPr>
          <w:p w14:paraId="3434252A" w14:textId="77777777" w:rsidR="00F37CF9" w:rsidRPr="00DD47DF" w:rsidRDefault="00F37CF9" w:rsidP="00142A82">
            <w:pPr>
              <w:pStyle w:val="Tabulka"/>
              <w:jc w:val="left"/>
              <w:rPr>
                <w:rFonts w:cs="Calibri"/>
              </w:rPr>
            </w:pPr>
            <w:r w:rsidRPr="00DD47DF">
              <w:rPr>
                <w:rFonts w:cs="Calibri"/>
              </w:rPr>
              <w:t>KTP</w:t>
            </w:r>
          </w:p>
        </w:tc>
        <w:tc>
          <w:tcPr>
            <w:tcW w:w="6836" w:type="dxa"/>
            <w:shd w:val="clear" w:color="auto" w:fill="auto"/>
          </w:tcPr>
          <w:p w14:paraId="4F827936" w14:textId="77777777" w:rsidR="00F37CF9" w:rsidRPr="00DD47DF" w:rsidRDefault="00F37CF9" w:rsidP="00142A82">
            <w:pPr>
              <w:pStyle w:val="Tabulka"/>
              <w:jc w:val="left"/>
              <w:rPr>
                <w:rFonts w:cs="Calibri"/>
              </w:rPr>
            </w:pPr>
            <w:r w:rsidRPr="00DD47DF">
              <w:rPr>
                <w:rFonts w:cs="Calibri"/>
              </w:rPr>
              <w:t>Knowledge Transfer Partnerships</w:t>
            </w:r>
          </w:p>
        </w:tc>
      </w:tr>
      <w:tr w:rsidR="00F37CF9" w:rsidRPr="00DD47DF" w14:paraId="77E3CC4D" w14:textId="77777777">
        <w:tc>
          <w:tcPr>
            <w:tcW w:w="2376" w:type="dxa"/>
            <w:shd w:val="clear" w:color="auto" w:fill="auto"/>
          </w:tcPr>
          <w:p w14:paraId="16CB66B1" w14:textId="77777777" w:rsidR="00F37CF9" w:rsidRPr="00DD47DF" w:rsidRDefault="00F37CF9" w:rsidP="00142A82">
            <w:pPr>
              <w:pStyle w:val="Tabulka"/>
              <w:jc w:val="left"/>
              <w:rPr>
                <w:rFonts w:cs="Calibri"/>
              </w:rPr>
            </w:pPr>
            <w:r w:rsidRPr="00DD47DF">
              <w:rPr>
                <w:rFonts w:cs="Calibri"/>
              </w:rPr>
              <w:t>KVET</w:t>
            </w:r>
          </w:p>
        </w:tc>
        <w:tc>
          <w:tcPr>
            <w:tcW w:w="6836" w:type="dxa"/>
            <w:shd w:val="clear" w:color="auto" w:fill="auto"/>
          </w:tcPr>
          <w:p w14:paraId="142F5BDC" w14:textId="77777777" w:rsidR="00F37CF9" w:rsidRPr="00DD47DF" w:rsidRDefault="00F37CF9" w:rsidP="00142A82">
            <w:pPr>
              <w:pStyle w:val="Tabulka"/>
              <w:jc w:val="left"/>
              <w:rPr>
                <w:rFonts w:cs="Calibri"/>
              </w:rPr>
            </w:pPr>
            <w:r w:rsidRPr="00DD47DF">
              <w:rPr>
                <w:rFonts w:cs="Calibri"/>
              </w:rPr>
              <w:t>Kombinovaná výroby elektřiny a tepla</w:t>
            </w:r>
          </w:p>
        </w:tc>
      </w:tr>
      <w:tr w:rsidR="003A7558" w:rsidRPr="00DD47DF" w14:paraId="15935001" w14:textId="77777777">
        <w:tc>
          <w:tcPr>
            <w:tcW w:w="2376" w:type="dxa"/>
            <w:shd w:val="clear" w:color="auto" w:fill="auto"/>
          </w:tcPr>
          <w:p w14:paraId="7921ADD1" w14:textId="77777777" w:rsidR="003A7558" w:rsidRPr="00DD47DF" w:rsidRDefault="003A7558" w:rsidP="00142A82">
            <w:pPr>
              <w:pStyle w:val="Tabulka"/>
              <w:jc w:val="left"/>
              <w:rPr>
                <w:rFonts w:cs="Calibri"/>
              </w:rPr>
            </w:pPr>
            <w:r w:rsidRPr="00DD47DF">
              <w:rPr>
                <w:rFonts w:cs="Calibri"/>
              </w:rPr>
              <w:t>MAS</w:t>
            </w:r>
          </w:p>
        </w:tc>
        <w:tc>
          <w:tcPr>
            <w:tcW w:w="6836" w:type="dxa"/>
            <w:shd w:val="clear" w:color="auto" w:fill="auto"/>
          </w:tcPr>
          <w:p w14:paraId="1C1610E8" w14:textId="77777777" w:rsidR="003A7558" w:rsidRPr="00DD47DF" w:rsidRDefault="003A7558" w:rsidP="00142A82">
            <w:pPr>
              <w:pStyle w:val="Tabulka"/>
              <w:jc w:val="left"/>
              <w:rPr>
                <w:rFonts w:cs="Calibri"/>
              </w:rPr>
            </w:pPr>
            <w:r w:rsidRPr="00DD47DF">
              <w:rPr>
                <w:rFonts w:cs="Calibri"/>
              </w:rPr>
              <w:t>Místní akční skupina</w:t>
            </w:r>
          </w:p>
        </w:tc>
      </w:tr>
      <w:tr w:rsidR="00F37CF9" w:rsidRPr="00DD47DF" w14:paraId="79CDA8B1" w14:textId="77777777">
        <w:tc>
          <w:tcPr>
            <w:tcW w:w="2376" w:type="dxa"/>
            <w:shd w:val="clear" w:color="auto" w:fill="auto"/>
          </w:tcPr>
          <w:p w14:paraId="4F70E0EC" w14:textId="77777777" w:rsidR="00F37CF9" w:rsidRPr="00DD47DF" w:rsidRDefault="00F37CF9" w:rsidP="00142A82">
            <w:pPr>
              <w:pStyle w:val="Tabulka"/>
              <w:jc w:val="left"/>
              <w:rPr>
                <w:rFonts w:cs="Calibri"/>
              </w:rPr>
            </w:pPr>
            <w:r w:rsidRPr="00DD47DF">
              <w:rPr>
                <w:rFonts w:cs="Calibri"/>
              </w:rPr>
              <w:lastRenderedPageBreak/>
              <w:t>MD</w:t>
            </w:r>
          </w:p>
        </w:tc>
        <w:tc>
          <w:tcPr>
            <w:tcW w:w="6836" w:type="dxa"/>
            <w:shd w:val="clear" w:color="auto" w:fill="auto"/>
          </w:tcPr>
          <w:p w14:paraId="38719E2B" w14:textId="77777777" w:rsidR="00F37CF9" w:rsidRPr="00DD47DF" w:rsidRDefault="000E47D9" w:rsidP="00142A82">
            <w:pPr>
              <w:pStyle w:val="Tabulka"/>
              <w:jc w:val="left"/>
              <w:rPr>
                <w:rFonts w:cs="Calibri"/>
              </w:rPr>
            </w:pPr>
            <w:r w:rsidRPr="00DD47DF">
              <w:rPr>
                <w:rFonts w:cs="Calibri"/>
              </w:rPr>
              <w:t>Ministerstvo dopravy</w:t>
            </w:r>
          </w:p>
        </w:tc>
      </w:tr>
      <w:tr w:rsidR="00F37CF9" w:rsidRPr="00DD47DF" w14:paraId="343A1B0E" w14:textId="77777777">
        <w:tc>
          <w:tcPr>
            <w:tcW w:w="2376" w:type="dxa"/>
            <w:shd w:val="clear" w:color="auto" w:fill="auto"/>
          </w:tcPr>
          <w:p w14:paraId="61CD7CAB" w14:textId="77777777" w:rsidR="00F37CF9" w:rsidRPr="00DD47DF" w:rsidRDefault="00F37CF9" w:rsidP="00142A82">
            <w:pPr>
              <w:pStyle w:val="Tabulka"/>
              <w:jc w:val="left"/>
              <w:rPr>
                <w:rFonts w:cs="Calibri"/>
              </w:rPr>
            </w:pPr>
            <w:r w:rsidRPr="00DD47DF">
              <w:rPr>
                <w:rFonts w:cs="Calibri"/>
              </w:rPr>
              <w:t>MF</w:t>
            </w:r>
          </w:p>
        </w:tc>
        <w:tc>
          <w:tcPr>
            <w:tcW w:w="6836" w:type="dxa"/>
            <w:shd w:val="clear" w:color="auto" w:fill="auto"/>
          </w:tcPr>
          <w:p w14:paraId="23349B64" w14:textId="77777777" w:rsidR="00F37CF9" w:rsidRPr="00DD47DF" w:rsidRDefault="000E47D9" w:rsidP="00142A82">
            <w:pPr>
              <w:pStyle w:val="Tabulka"/>
              <w:jc w:val="left"/>
              <w:rPr>
                <w:rFonts w:cs="Calibri"/>
              </w:rPr>
            </w:pPr>
            <w:r w:rsidRPr="00DD47DF">
              <w:rPr>
                <w:rFonts w:cs="Calibri"/>
              </w:rPr>
              <w:t>Ministerstvo financí</w:t>
            </w:r>
          </w:p>
        </w:tc>
      </w:tr>
      <w:tr w:rsidR="00F37CF9" w:rsidRPr="00DD47DF" w14:paraId="318C4211" w14:textId="77777777">
        <w:tc>
          <w:tcPr>
            <w:tcW w:w="2376" w:type="dxa"/>
            <w:shd w:val="clear" w:color="auto" w:fill="auto"/>
          </w:tcPr>
          <w:p w14:paraId="342CA5C1" w14:textId="77777777" w:rsidR="00F37CF9" w:rsidRPr="00DD47DF" w:rsidRDefault="00F37CF9" w:rsidP="00142A82">
            <w:pPr>
              <w:pStyle w:val="Tabulka"/>
              <w:jc w:val="left"/>
              <w:rPr>
                <w:rFonts w:cs="Calibri"/>
              </w:rPr>
            </w:pPr>
            <w:r w:rsidRPr="00DD47DF">
              <w:rPr>
                <w:rFonts w:cs="Calibri"/>
              </w:rPr>
              <w:t>MHMP</w:t>
            </w:r>
          </w:p>
        </w:tc>
        <w:tc>
          <w:tcPr>
            <w:tcW w:w="6836" w:type="dxa"/>
            <w:shd w:val="clear" w:color="auto" w:fill="auto"/>
          </w:tcPr>
          <w:p w14:paraId="2FDFA366" w14:textId="77777777" w:rsidR="00F37CF9" w:rsidRPr="00DD47DF" w:rsidRDefault="00F37CF9" w:rsidP="00142A82">
            <w:pPr>
              <w:pStyle w:val="Tabulka"/>
              <w:jc w:val="left"/>
              <w:rPr>
                <w:rFonts w:cs="Calibri"/>
              </w:rPr>
            </w:pPr>
            <w:r w:rsidRPr="00DD47DF">
              <w:rPr>
                <w:rFonts w:cs="Calibri"/>
              </w:rPr>
              <w:t>Magistrát hlavního města Prahy</w:t>
            </w:r>
          </w:p>
        </w:tc>
      </w:tr>
      <w:tr w:rsidR="00F37CF9" w:rsidRPr="00DD47DF" w14:paraId="2F1944AB" w14:textId="77777777">
        <w:tc>
          <w:tcPr>
            <w:tcW w:w="2376" w:type="dxa"/>
            <w:shd w:val="clear" w:color="auto" w:fill="auto"/>
          </w:tcPr>
          <w:p w14:paraId="6CCF60FD" w14:textId="77777777" w:rsidR="00F37CF9" w:rsidRPr="00DD47DF" w:rsidRDefault="00F37CF9" w:rsidP="00142A82">
            <w:pPr>
              <w:pStyle w:val="Tabulka"/>
              <w:jc w:val="left"/>
              <w:rPr>
                <w:rFonts w:cs="Calibri"/>
              </w:rPr>
            </w:pPr>
            <w:r w:rsidRPr="00DD47DF">
              <w:rPr>
                <w:rFonts w:cs="Calibri"/>
              </w:rPr>
              <w:t>MK</w:t>
            </w:r>
          </w:p>
        </w:tc>
        <w:tc>
          <w:tcPr>
            <w:tcW w:w="6836" w:type="dxa"/>
            <w:shd w:val="clear" w:color="auto" w:fill="auto"/>
          </w:tcPr>
          <w:p w14:paraId="6AC8A971" w14:textId="77777777" w:rsidR="00F37CF9" w:rsidRPr="00DD47DF" w:rsidRDefault="000E47D9" w:rsidP="00142A82">
            <w:pPr>
              <w:pStyle w:val="Tabulka"/>
              <w:jc w:val="left"/>
              <w:rPr>
                <w:rFonts w:cs="Calibri"/>
              </w:rPr>
            </w:pPr>
            <w:r w:rsidRPr="00DD47DF">
              <w:rPr>
                <w:rFonts w:cs="Calibri"/>
              </w:rPr>
              <w:t>Ministerstvo kultury</w:t>
            </w:r>
          </w:p>
        </w:tc>
      </w:tr>
      <w:tr w:rsidR="00F37CF9" w:rsidRPr="00DD47DF" w14:paraId="4956E8BC" w14:textId="77777777">
        <w:tc>
          <w:tcPr>
            <w:tcW w:w="2376" w:type="dxa"/>
            <w:shd w:val="clear" w:color="auto" w:fill="auto"/>
          </w:tcPr>
          <w:p w14:paraId="776C2E42" w14:textId="77777777" w:rsidR="00F37CF9" w:rsidRPr="00DD47DF" w:rsidRDefault="00F37CF9" w:rsidP="00142A82">
            <w:pPr>
              <w:pStyle w:val="Tabulka"/>
              <w:jc w:val="left"/>
              <w:rPr>
                <w:rFonts w:cs="Calibri"/>
              </w:rPr>
            </w:pPr>
            <w:r w:rsidRPr="00DD47DF">
              <w:rPr>
                <w:rFonts w:cs="Calibri"/>
              </w:rPr>
              <w:t>MMR-NOK</w:t>
            </w:r>
          </w:p>
        </w:tc>
        <w:tc>
          <w:tcPr>
            <w:tcW w:w="6836" w:type="dxa"/>
            <w:shd w:val="clear" w:color="auto" w:fill="auto"/>
          </w:tcPr>
          <w:p w14:paraId="0C378786" w14:textId="77777777" w:rsidR="00F37CF9" w:rsidRPr="00DD47DF" w:rsidRDefault="00F37CF9" w:rsidP="00142A82">
            <w:pPr>
              <w:pStyle w:val="Tabulka"/>
              <w:jc w:val="left"/>
              <w:rPr>
                <w:rFonts w:cs="Calibri"/>
              </w:rPr>
            </w:pPr>
            <w:r w:rsidRPr="00DD47DF">
              <w:rPr>
                <w:rFonts w:cs="Calibri"/>
              </w:rPr>
              <w:t>Ministerstvo pro místní rozvoj – Národní orgán pro koordinaci</w:t>
            </w:r>
          </w:p>
        </w:tc>
      </w:tr>
      <w:tr w:rsidR="00A14FE7" w:rsidRPr="00DD47DF" w14:paraId="39A8D5C7" w14:textId="77777777">
        <w:tc>
          <w:tcPr>
            <w:tcW w:w="2376" w:type="dxa"/>
            <w:shd w:val="clear" w:color="auto" w:fill="auto"/>
          </w:tcPr>
          <w:p w14:paraId="262B51F6" w14:textId="77777777" w:rsidR="00A14FE7" w:rsidRPr="00DD47DF" w:rsidRDefault="00A14FE7" w:rsidP="00A14FE7">
            <w:pPr>
              <w:pStyle w:val="Tabulka"/>
              <w:jc w:val="left"/>
              <w:rPr>
                <w:rFonts w:cs="Calibri"/>
              </w:rPr>
            </w:pPr>
            <w:r w:rsidRPr="00DD47DF">
              <w:rPr>
                <w:rFonts w:cs="Calibri"/>
              </w:rPr>
              <w:t>MMR-OSMS</w:t>
            </w:r>
          </w:p>
        </w:tc>
        <w:tc>
          <w:tcPr>
            <w:tcW w:w="6836" w:type="dxa"/>
            <w:shd w:val="clear" w:color="auto" w:fill="auto"/>
          </w:tcPr>
          <w:p w14:paraId="66F3FFCA" w14:textId="77777777" w:rsidR="00A14FE7" w:rsidRPr="00DD47DF" w:rsidRDefault="00A14FE7" w:rsidP="00142A82">
            <w:pPr>
              <w:pStyle w:val="Tabulka"/>
              <w:jc w:val="left"/>
              <w:rPr>
                <w:rFonts w:cs="Calibri"/>
              </w:rPr>
            </w:pPr>
            <w:r w:rsidRPr="00DD47DF">
              <w:rPr>
                <w:rFonts w:cs="Calibri"/>
              </w:rPr>
              <w:t>Ministerstvo pro místní rozvoj – odbor správy monitorovacího systému</w:t>
            </w:r>
          </w:p>
        </w:tc>
      </w:tr>
      <w:tr w:rsidR="00F37CF9" w:rsidRPr="00DD47DF" w14:paraId="6BFE53A2" w14:textId="77777777">
        <w:tc>
          <w:tcPr>
            <w:tcW w:w="2376" w:type="dxa"/>
            <w:shd w:val="clear" w:color="auto" w:fill="auto"/>
          </w:tcPr>
          <w:p w14:paraId="1D1E14A1" w14:textId="77777777" w:rsidR="00F37CF9" w:rsidRPr="00DD47DF" w:rsidRDefault="00F37CF9" w:rsidP="00142A82">
            <w:pPr>
              <w:pStyle w:val="Tabulka"/>
              <w:jc w:val="left"/>
              <w:rPr>
                <w:rFonts w:cs="Calibri"/>
              </w:rPr>
            </w:pPr>
            <w:r w:rsidRPr="00DD47DF">
              <w:rPr>
                <w:rFonts w:cs="Calibri"/>
              </w:rPr>
              <w:t>MP</w:t>
            </w:r>
          </w:p>
        </w:tc>
        <w:tc>
          <w:tcPr>
            <w:tcW w:w="6836" w:type="dxa"/>
            <w:shd w:val="clear" w:color="auto" w:fill="auto"/>
          </w:tcPr>
          <w:p w14:paraId="260A1618" w14:textId="77777777" w:rsidR="00F37CF9" w:rsidRPr="00DD47DF" w:rsidRDefault="00F37CF9" w:rsidP="00142A82">
            <w:pPr>
              <w:pStyle w:val="Tabulka"/>
              <w:jc w:val="left"/>
              <w:rPr>
                <w:rFonts w:cs="Calibri"/>
              </w:rPr>
            </w:pPr>
            <w:r w:rsidRPr="00DD47DF">
              <w:rPr>
                <w:rFonts w:cs="Calibri"/>
              </w:rPr>
              <w:t>Metodický pokyn</w:t>
            </w:r>
          </w:p>
        </w:tc>
      </w:tr>
      <w:tr w:rsidR="00F37CF9" w:rsidRPr="00DD47DF" w14:paraId="3AE13820" w14:textId="77777777">
        <w:tc>
          <w:tcPr>
            <w:tcW w:w="2376" w:type="dxa"/>
            <w:shd w:val="clear" w:color="auto" w:fill="auto"/>
          </w:tcPr>
          <w:p w14:paraId="16DB618B" w14:textId="77777777" w:rsidR="00F37CF9" w:rsidRPr="00DD47DF" w:rsidRDefault="00F37CF9" w:rsidP="00142A82">
            <w:pPr>
              <w:pStyle w:val="Tabulka"/>
              <w:jc w:val="left"/>
              <w:rPr>
                <w:rFonts w:cs="Calibri"/>
              </w:rPr>
            </w:pPr>
            <w:r w:rsidRPr="00DD47DF">
              <w:rPr>
                <w:rFonts w:cs="Calibri"/>
              </w:rPr>
              <w:t>MPO</w:t>
            </w:r>
          </w:p>
        </w:tc>
        <w:tc>
          <w:tcPr>
            <w:tcW w:w="6836" w:type="dxa"/>
            <w:shd w:val="clear" w:color="auto" w:fill="auto"/>
          </w:tcPr>
          <w:p w14:paraId="7939D65A" w14:textId="77777777" w:rsidR="00F37CF9" w:rsidRPr="00DD47DF" w:rsidRDefault="00F37CF9" w:rsidP="00142A82">
            <w:pPr>
              <w:pStyle w:val="Tabulka"/>
              <w:jc w:val="left"/>
              <w:rPr>
                <w:rFonts w:cs="Calibri"/>
              </w:rPr>
            </w:pPr>
            <w:r w:rsidRPr="00DD47DF">
              <w:rPr>
                <w:rFonts w:cs="Calibri"/>
              </w:rPr>
              <w:t>Mi</w:t>
            </w:r>
            <w:r w:rsidR="000E47D9" w:rsidRPr="00DD47DF">
              <w:rPr>
                <w:rFonts w:cs="Calibri"/>
              </w:rPr>
              <w:t>nisterstvo průmyslu a obchodu</w:t>
            </w:r>
          </w:p>
        </w:tc>
      </w:tr>
      <w:tr w:rsidR="00F37CF9" w:rsidRPr="00DD47DF" w14:paraId="28AE4E86" w14:textId="77777777">
        <w:tc>
          <w:tcPr>
            <w:tcW w:w="2376" w:type="dxa"/>
            <w:shd w:val="clear" w:color="auto" w:fill="auto"/>
          </w:tcPr>
          <w:p w14:paraId="6D330029" w14:textId="77777777" w:rsidR="00F37CF9" w:rsidRPr="00DD47DF" w:rsidRDefault="00F37CF9" w:rsidP="00142A82">
            <w:pPr>
              <w:pStyle w:val="Tabulka"/>
              <w:jc w:val="left"/>
              <w:rPr>
                <w:rFonts w:cs="Calibri"/>
              </w:rPr>
            </w:pPr>
            <w:r w:rsidRPr="00DD47DF">
              <w:rPr>
                <w:rFonts w:cs="Calibri"/>
              </w:rPr>
              <w:t>MPSV</w:t>
            </w:r>
          </w:p>
        </w:tc>
        <w:tc>
          <w:tcPr>
            <w:tcW w:w="6836" w:type="dxa"/>
            <w:shd w:val="clear" w:color="auto" w:fill="auto"/>
          </w:tcPr>
          <w:p w14:paraId="589A0B3F" w14:textId="77777777" w:rsidR="00F37CF9" w:rsidRPr="00DD47DF" w:rsidRDefault="00F37CF9" w:rsidP="00142A82">
            <w:pPr>
              <w:pStyle w:val="Tabulka"/>
              <w:jc w:val="left"/>
              <w:rPr>
                <w:rFonts w:cs="Calibri"/>
              </w:rPr>
            </w:pPr>
            <w:r w:rsidRPr="00DD47DF">
              <w:rPr>
                <w:rFonts w:cs="Calibri"/>
              </w:rPr>
              <w:t>Minis</w:t>
            </w:r>
            <w:r w:rsidR="000E47D9" w:rsidRPr="00DD47DF">
              <w:rPr>
                <w:rFonts w:cs="Calibri"/>
              </w:rPr>
              <w:t>terstvo práce a sociální věcí</w:t>
            </w:r>
          </w:p>
        </w:tc>
      </w:tr>
      <w:tr w:rsidR="00F37CF9" w:rsidRPr="00DD47DF" w14:paraId="1A900936" w14:textId="77777777">
        <w:tc>
          <w:tcPr>
            <w:tcW w:w="2376" w:type="dxa"/>
            <w:shd w:val="clear" w:color="auto" w:fill="auto"/>
          </w:tcPr>
          <w:p w14:paraId="42072DF7" w14:textId="77777777" w:rsidR="00F37CF9" w:rsidRPr="00DD47DF" w:rsidRDefault="00F37CF9" w:rsidP="00142A82">
            <w:pPr>
              <w:pStyle w:val="Tabulka"/>
              <w:jc w:val="left"/>
              <w:rPr>
                <w:rFonts w:cs="Calibri"/>
              </w:rPr>
            </w:pPr>
            <w:r w:rsidRPr="00DD47DF">
              <w:rPr>
                <w:rFonts w:cs="Calibri"/>
              </w:rPr>
              <w:t>MS 2014+</w:t>
            </w:r>
          </w:p>
        </w:tc>
        <w:tc>
          <w:tcPr>
            <w:tcW w:w="6836" w:type="dxa"/>
            <w:shd w:val="clear" w:color="auto" w:fill="auto"/>
          </w:tcPr>
          <w:p w14:paraId="287B3AEB" w14:textId="77777777" w:rsidR="00F37CF9" w:rsidRPr="00DD47DF" w:rsidRDefault="00F37CF9" w:rsidP="00142A82">
            <w:pPr>
              <w:pStyle w:val="Tabulka"/>
              <w:jc w:val="left"/>
              <w:rPr>
                <w:rFonts w:cs="Calibri"/>
              </w:rPr>
            </w:pPr>
            <w:r w:rsidRPr="00DD47DF">
              <w:rPr>
                <w:rFonts w:cs="Calibri"/>
              </w:rPr>
              <w:t xml:space="preserve">Jednotný monitorovací systém </w:t>
            </w:r>
            <w:r w:rsidR="00EF3400" w:rsidRPr="00DD47DF">
              <w:rPr>
                <w:rFonts w:cs="Calibri"/>
              </w:rPr>
              <w:t>pro programovací období 2014 - 2020</w:t>
            </w:r>
          </w:p>
        </w:tc>
      </w:tr>
      <w:tr w:rsidR="00F37CF9" w:rsidRPr="00DD47DF" w14:paraId="0B91654C" w14:textId="77777777">
        <w:tc>
          <w:tcPr>
            <w:tcW w:w="2376" w:type="dxa"/>
            <w:shd w:val="clear" w:color="auto" w:fill="auto"/>
          </w:tcPr>
          <w:p w14:paraId="22BE2D2B" w14:textId="77777777" w:rsidR="00F37CF9" w:rsidRPr="00DD47DF" w:rsidRDefault="00F37CF9" w:rsidP="00142A82">
            <w:pPr>
              <w:pStyle w:val="Tabulka"/>
              <w:jc w:val="left"/>
              <w:rPr>
                <w:rFonts w:cs="Calibri"/>
              </w:rPr>
            </w:pPr>
            <w:r w:rsidRPr="00DD47DF">
              <w:rPr>
                <w:rFonts w:cs="Calibri"/>
              </w:rPr>
              <w:t>MSP</w:t>
            </w:r>
          </w:p>
        </w:tc>
        <w:tc>
          <w:tcPr>
            <w:tcW w:w="6836" w:type="dxa"/>
            <w:shd w:val="clear" w:color="auto" w:fill="auto"/>
          </w:tcPr>
          <w:p w14:paraId="74D78836" w14:textId="77777777" w:rsidR="00F37CF9" w:rsidRPr="00DD47DF" w:rsidRDefault="00F37CF9" w:rsidP="00142A82">
            <w:pPr>
              <w:pStyle w:val="Tabulka"/>
              <w:jc w:val="left"/>
              <w:rPr>
                <w:rFonts w:cs="Calibri"/>
              </w:rPr>
            </w:pPr>
            <w:r w:rsidRPr="00DD47DF">
              <w:rPr>
                <w:rFonts w:cs="Calibri"/>
              </w:rPr>
              <w:t>Malé a střední podniky</w:t>
            </w:r>
          </w:p>
        </w:tc>
      </w:tr>
      <w:tr w:rsidR="00F37CF9" w:rsidRPr="00DD47DF" w14:paraId="4CB64CD0" w14:textId="77777777">
        <w:tc>
          <w:tcPr>
            <w:tcW w:w="2376" w:type="dxa"/>
            <w:shd w:val="clear" w:color="auto" w:fill="auto"/>
          </w:tcPr>
          <w:p w14:paraId="63E7DAD1" w14:textId="77777777" w:rsidR="00F37CF9" w:rsidRPr="00DD47DF" w:rsidRDefault="00F37CF9" w:rsidP="00142A82">
            <w:pPr>
              <w:pStyle w:val="Tabulka"/>
              <w:jc w:val="left"/>
              <w:rPr>
                <w:rFonts w:cs="Calibri"/>
              </w:rPr>
            </w:pPr>
            <w:r w:rsidRPr="00DD47DF">
              <w:rPr>
                <w:rFonts w:cs="Calibri"/>
              </w:rPr>
              <w:t>MSp</w:t>
            </w:r>
          </w:p>
        </w:tc>
        <w:tc>
          <w:tcPr>
            <w:tcW w:w="6836" w:type="dxa"/>
            <w:shd w:val="clear" w:color="auto" w:fill="auto"/>
          </w:tcPr>
          <w:p w14:paraId="50C26555" w14:textId="77777777" w:rsidR="00F37CF9" w:rsidRPr="00DD47DF" w:rsidRDefault="000E47D9" w:rsidP="00142A82">
            <w:pPr>
              <w:pStyle w:val="Tabulka"/>
              <w:jc w:val="left"/>
              <w:rPr>
                <w:rFonts w:cs="Calibri"/>
              </w:rPr>
            </w:pPr>
            <w:r w:rsidRPr="00DD47DF">
              <w:rPr>
                <w:rFonts w:cs="Calibri"/>
              </w:rPr>
              <w:t>Ministerstvo spravedlnosti</w:t>
            </w:r>
          </w:p>
        </w:tc>
      </w:tr>
      <w:tr w:rsidR="00F37CF9" w:rsidRPr="00DD47DF" w14:paraId="5AB1AFFB" w14:textId="77777777">
        <w:tc>
          <w:tcPr>
            <w:tcW w:w="2376" w:type="dxa"/>
            <w:shd w:val="clear" w:color="auto" w:fill="auto"/>
          </w:tcPr>
          <w:p w14:paraId="08ADA6BA" w14:textId="77777777" w:rsidR="00F37CF9" w:rsidRPr="00DD47DF" w:rsidRDefault="00F37CF9" w:rsidP="00142A82">
            <w:pPr>
              <w:pStyle w:val="Tabulka"/>
              <w:jc w:val="left"/>
              <w:rPr>
                <w:rFonts w:cs="Calibri"/>
              </w:rPr>
            </w:pPr>
            <w:r w:rsidRPr="00DD47DF">
              <w:rPr>
                <w:rFonts w:cs="Calibri"/>
              </w:rPr>
              <w:t>MŠMT</w:t>
            </w:r>
          </w:p>
        </w:tc>
        <w:tc>
          <w:tcPr>
            <w:tcW w:w="6836" w:type="dxa"/>
            <w:shd w:val="clear" w:color="auto" w:fill="auto"/>
          </w:tcPr>
          <w:p w14:paraId="08E1D4E9" w14:textId="77777777" w:rsidR="00F37CF9" w:rsidRPr="00DD47DF" w:rsidRDefault="00F37CF9" w:rsidP="00142A82">
            <w:pPr>
              <w:pStyle w:val="Tabulka"/>
              <w:jc w:val="left"/>
              <w:rPr>
                <w:rFonts w:cs="Calibri"/>
              </w:rPr>
            </w:pPr>
            <w:r w:rsidRPr="00DD47DF">
              <w:rPr>
                <w:rFonts w:cs="Calibri"/>
              </w:rPr>
              <w:t>Ministerstvo školství, ml</w:t>
            </w:r>
            <w:r w:rsidR="000E47D9" w:rsidRPr="00DD47DF">
              <w:rPr>
                <w:rFonts w:cs="Calibri"/>
              </w:rPr>
              <w:t>ádeže a tělovýchovy</w:t>
            </w:r>
          </w:p>
        </w:tc>
      </w:tr>
      <w:tr w:rsidR="00F37CF9" w:rsidRPr="00DD47DF" w14:paraId="580093DE" w14:textId="77777777">
        <w:tc>
          <w:tcPr>
            <w:tcW w:w="2376" w:type="dxa"/>
            <w:shd w:val="clear" w:color="auto" w:fill="auto"/>
          </w:tcPr>
          <w:p w14:paraId="6DB91901" w14:textId="77777777" w:rsidR="00F37CF9" w:rsidRPr="00DD47DF" w:rsidRDefault="00F37CF9" w:rsidP="00142A82">
            <w:pPr>
              <w:pStyle w:val="Tabulka"/>
              <w:jc w:val="left"/>
              <w:rPr>
                <w:rFonts w:cs="Calibri"/>
              </w:rPr>
            </w:pPr>
            <w:r w:rsidRPr="00DD47DF">
              <w:rPr>
                <w:rFonts w:cs="Calibri"/>
              </w:rPr>
              <w:t>MV</w:t>
            </w:r>
          </w:p>
        </w:tc>
        <w:tc>
          <w:tcPr>
            <w:tcW w:w="6836" w:type="dxa"/>
            <w:shd w:val="clear" w:color="auto" w:fill="auto"/>
          </w:tcPr>
          <w:p w14:paraId="71013FFC" w14:textId="77777777" w:rsidR="00F37CF9" w:rsidRPr="00DD47DF" w:rsidRDefault="000E47D9" w:rsidP="00142A82">
            <w:pPr>
              <w:pStyle w:val="Tabulka"/>
              <w:jc w:val="left"/>
              <w:rPr>
                <w:rFonts w:cs="Calibri"/>
              </w:rPr>
            </w:pPr>
            <w:r w:rsidRPr="00DD47DF">
              <w:rPr>
                <w:rFonts w:cs="Calibri"/>
              </w:rPr>
              <w:t>Ministerstvo vnitra</w:t>
            </w:r>
          </w:p>
        </w:tc>
      </w:tr>
      <w:tr w:rsidR="00D83F6F" w:rsidRPr="00DD47DF" w14:paraId="1231C1DF" w14:textId="77777777">
        <w:tc>
          <w:tcPr>
            <w:tcW w:w="2376" w:type="dxa"/>
            <w:shd w:val="clear" w:color="auto" w:fill="auto"/>
          </w:tcPr>
          <w:p w14:paraId="7133FBFD" w14:textId="19E747C7" w:rsidR="00D83F6F" w:rsidRPr="00DD47DF" w:rsidRDefault="00D83F6F" w:rsidP="00142A82">
            <w:pPr>
              <w:pStyle w:val="Tabulka"/>
              <w:jc w:val="left"/>
              <w:rPr>
                <w:rFonts w:cs="Calibri"/>
              </w:rPr>
            </w:pPr>
            <w:r>
              <w:rPr>
                <w:rFonts w:cs="Calibri"/>
              </w:rPr>
              <w:t xml:space="preserve">MV OP PIK </w:t>
            </w:r>
          </w:p>
        </w:tc>
        <w:tc>
          <w:tcPr>
            <w:tcW w:w="6836" w:type="dxa"/>
            <w:shd w:val="clear" w:color="auto" w:fill="auto"/>
          </w:tcPr>
          <w:p w14:paraId="7257179C" w14:textId="58B966DF" w:rsidR="00D83F6F" w:rsidRPr="00DD47DF" w:rsidRDefault="00D83F6F" w:rsidP="00142A82">
            <w:pPr>
              <w:pStyle w:val="Tabulka"/>
              <w:jc w:val="left"/>
              <w:rPr>
                <w:rFonts w:cs="Calibri"/>
              </w:rPr>
            </w:pPr>
            <w:r>
              <w:rPr>
                <w:rFonts w:cs="Calibri"/>
              </w:rPr>
              <w:t>Monitorovací výbor OP PIK</w:t>
            </w:r>
          </w:p>
        </w:tc>
      </w:tr>
      <w:tr w:rsidR="00F37CF9" w:rsidRPr="00DD47DF" w14:paraId="2FDDF425" w14:textId="77777777">
        <w:tc>
          <w:tcPr>
            <w:tcW w:w="2376" w:type="dxa"/>
            <w:shd w:val="clear" w:color="auto" w:fill="auto"/>
          </w:tcPr>
          <w:p w14:paraId="29358617" w14:textId="77777777" w:rsidR="00F37CF9" w:rsidRPr="00DD47DF" w:rsidRDefault="00F37CF9" w:rsidP="00142A82">
            <w:pPr>
              <w:pStyle w:val="Tabulka"/>
              <w:jc w:val="left"/>
              <w:rPr>
                <w:rFonts w:cs="Calibri"/>
              </w:rPr>
            </w:pPr>
            <w:r w:rsidRPr="00DD47DF">
              <w:rPr>
                <w:rFonts w:cs="Calibri"/>
              </w:rPr>
              <w:t>MZe</w:t>
            </w:r>
          </w:p>
        </w:tc>
        <w:tc>
          <w:tcPr>
            <w:tcW w:w="6836" w:type="dxa"/>
            <w:shd w:val="clear" w:color="auto" w:fill="auto"/>
          </w:tcPr>
          <w:p w14:paraId="0565DD0D" w14:textId="77777777" w:rsidR="00F37CF9" w:rsidRPr="00DD47DF" w:rsidRDefault="000E47D9" w:rsidP="00142A82">
            <w:pPr>
              <w:pStyle w:val="Tabulka"/>
              <w:jc w:val="left"/>
              <w:rPr>
                <w:rFonts w:cs="Calibri"/>
              </w:rPr>
            </w:pPr>
            <w:r w:rsidRPr="00DD47DF">
              <w:rPr>
                <w:rFonts w:cs="Calibri"/>
              </w:rPr>
              <w:t>Ministerstvo zemědělství</w:t>
            </w:r>
          </w:p>
        </w:tc>
      </w:tr>
      <w:tr w:rsidR="00F37CF9" w:rsidRPr="00DD47DF" w14:paraId="0D186D0F" w14:textId="77777777">
        <w:tc>
          <w:tcPr>
            <w:tcW w:w="2376" w:type="dxa"/>
            <w:shd w:val="clear" w:color="auto" w:fill="auto"/>
          </w:tcPr>
          <w:p w14:paraId="70EC00A9" w14:textId="77777777" w:rsidR="00F37CF9" w:rsidRPr="00DD47DF" w:rsidRDefault="00F37CF9" w:rsidP="00142A82">
            <w:pPr>
              <w:pStyle w:val="Tabulka"/>
              <w:jc w:val="left"/>
              <w:rPr>
                <w:rFonts w:cs="Calibri"/>
              </w:rPr>
            </w:pPr>
            <w:r w:rsidRPr="00DD47DF">
              <w:rPr>
                <w:rFonts w:cs="Calibri"/>
              </w:rPr>
              <w:t>MŽP</w:t>
            </w:r>
          </w:p>
        </w:tc>
        <w:tc>
          <w:tcPr>
            <w:tcW w:w="6836" w:type="dxa"/>
            <w:shd w:val="clear" w:color="auto" w:fill="auto"/>
          </w:tcPr>
          <w:p w14:paraId="28E24FB4" w14:textId="77777777" w:rsidR="00F37CF9" w:rsidRPr="00DD47DF" w:rsidRDefault="00F37CF9" w:rsidP="00142A82">
            <w:pPr>
              <w:pStyle w:val="Tabulka"/>
              <w:jc w:val="left"/>
              <w:rPr>
                <w:rFonts w:cs="Calibri"/>
              </w:rPr>
            </w:pPr>
            <w:r w:rsidRPr="00DD47DF">
              <w:rPr>
                <w:rFonts w:cs="Calibri"/>
              </w:rPr>
              <w:t>Min</w:t>
            </w:r>
            <w:r w:rsidR="000E47D9" w:rsidRPr="00DD47DF">
              <w:rPr>
                <w:rFonts w:cs="Calibri"/>
              </w:rPr>
              <w:t>isterstvo životního prostředí</w:t>
            </w:r>
          </w:p>
        </w:tc>
      </w:tr>
      <w:tr w:rsidR="00F37CF9" w:rsidRPr="00DD47DF" w14:paraId="52FDAEB2" w14:textId="77777777">
        <w:tc>
          <w:tcPr>
            <w:tcW w:w="2376" w:type="dxa"/>
            <w:shd w:val="clear" w:color="auto" w:fill="auto"/>
          </w:tcPr>
          <w:p w14:paraId="7D1C828E" w14:textId="77777777" w:rsidR="00F37CF9" w:rsidRPr="00DD47DF" w:rsidRDefault="00F37CF9" w:rsidP="00142A82">
            <w:pPr>
              <w:pStyle w:val="Tabulka"/>
              <w:jc w:val="left"/>
              <w:rPr>
                <w:rFonts w:cs="Calibri"/>
              </w:rPr>
            </w:pPr>
            <w:r w:rsidRPr="00DD47DF">
              <w:rPr>
                <w:rFonts w:cs="Calibri"/>
              </w:rPr>
              <w:t>NAP</w:t>
            </w:r>
          </w:p>
        </w:tc>
        <w:tc>
          <w:tcPr>
            <w:tcW w:w="6836" w:type="dxa"/>
            <w:shd w:val="clear" w:color="auto" w:fill="auto"/>
          </w:tcPr>
          <w:p w14:paraId="49C984EF" w14:textId="77777777" w:rsidR="00F37CF9" w:rsidRPr="00DD47DF" w:rsidRDefault="00F37CF9" w:rsidP="00142A82">
            <w:pPr>
              <w:pStyle w:val="Tabulka"/>
              <w:jc w:val="left"/>
              <w:rPr>
                <w:rFonts w:cs="Calibri"/>
              </w:rPr>
            </w:pPr>
            <w:r w:rsidRPr="00DD47DF">
              <w:rPr>
                <w:rFonts w:cs="Calibri"/>
              </w:rPr>
              <w:t>Národní akční plán ČR</w:t>
            </w:r>
          </w:p>
        </w:tc>
      </w:tr>
      <w:tr w:rsidR="00F37CF9" w:rsidRPr="00DD47DF" w14:paraId="18FF3051" w14:textId="77777777">
        <w:tc>
          <w:tcPr>
            <w:tcW w:w="2376" w:type="dxa"/>
            <w:shd w:val="clear" w:color="auto" w:fill="auto"/>
          </w:tcPr>
          <w:p w14:paraId="6923D5C0" w14:textId="77777777" w:rsidR="00F37CF9" w:rsidRPr="00DD47DF" w:rsidRDefault="00F37CF9" w:rsidP="00142A82">
            <w:pPr>
              <w:pStyle w:val="Tabulka"/>
              <w:jc w:val="left"/>
              <w:rPr>
                <w:rFonts w:cs="Calibri"/>
              </w:rPr>
            </w:pPr>
            <w:r w:rsidRPr="00DD47DF">
              <w:rPr>
                <w:rFonts w:cs="Calibri"/>
              </w:rPr>
              <w:t>NČI 2014+</w:t>
            </w:r>
          </w:p>
        </w:tc>
        <w:tc>
          <w:tcPr>
            <w:tcW w:w="6836" w:type="dxa"/>
            <w:shd w:val="clear" w:color="auto" w:fill="auto"/>
          </w:tcPr>
          <w:p w14:paraId="1ECC26F4" w14:textId="77777777" w:rsidR="00F37CF9" w:rsidRPr="00DD47DF" w:rsidRDefault="00F37CF9" w:rsidP="00142A82">
            <w:pPr>
              <w:pStyle w:val="Tabulka"/>
              <w:jc w:val="left"/>
              <w:rPr>
                <w:rFonts w:cs="Calibri"/>
              </w:rPr>
            </w:pPr>
            <w:r w:rsidRPr="00DD47DF">
              <w:rPr>
                <w:rFonts w:cs="Calibri"/>
              </w:rPr>
              <w:t xml:space="preserve">Národní číselník indikátorů </w:t>
            </w:r>
            <w:r w:rsidR="00EF3400" w:rsidRPr="00DD47DF">
              <w:rPr>
                <w:rFonts w:cs="Calibri"/>
              </w:rPr>
              <w:t xml:space="preserve">pro programovací období </w:t>
            </w:r>
            <w:r w:rsidRPr="00DD47DF">
              <w:rPr>
                <w:rFonts w:cs="Calibri"/>
              </w:rPr>
              <w:t>2014 - 2020</w:t>
            </w:r>
          </w:p>
        </w:tc>
      </w:tr>
      <w:tr w:rsidR="00AA3134" w:rsidRPr="00DD47DF" w14:paraId="212C47E7" w14:textId="77777777">
        <w:tc>
          <w:tcPr>
            <w:tcW w:w="2376" w:type="dxa"/>
            <w:shd w:val="clear" w:color="auto" w:fill="auto"/>
          </w:tcPr>
          <w:p w14:paraId="10ED4675" w14:textId="77777777" w:rsidR="00AA3134" w:rsidRPr="00DD47DF" w:rsidRDefault="00AA3134" w:rsidP="00142A82">
            <w:pPr>
              <w:pStyle w:val="Tabulka"/>
              <w:jc w:val="left"/>
              <w:rPr>
                <w:rFonts w:cs="Calibri"/>
              </w:rPr>
            </w:pPr>
            <w:r w:rsidRPr="00DD47DF">
              <w:rPr>
                <w:rFonts w:cs="Calibri"/>
              </w:rPr>
              <w:t>NDÚD</w:t>
            </w:r>
          </w:p>
        </w:tc>
        <w:tc>
          <w:tcPr>
            <w:tcW w:w="6836" w:type="dxa"/>
            <w:shd w:val="clear" w:color="auto" w:fill="auto"/>
          </w:tcPr>
          <w:p w14:paraId="79B49E5D" w14:textId="77777777" w:rsidR="00AA3134" w:rsidRPr="00DD47DF" w:rsidRDefault="00AA3134" w:rsidP="00142A82">
            <w:pPr>
              <w:pStyle w:val="Tabulka"/>
              <w:jc w:val="left"/>
              <w:rPr>
                <w:rFonts w:cs="Calibri"/>
              </w:rPr>
            </w:pPr>
            <w:r w:rsidRPr="00DD47DF">
              <w:rPr>
                <w:rFonts w:cs="Calibri"/>
              </w:rPr>
              <w:t>Národní dokument k územní dimenzi</w:t>
            </w:r>
          </w:p>
        </w:tc>
      </w:tr>
      <w:tr w:rsidR="00F37CF9" w:rsidRPr="00DD47DF" w14:paraId="5CFB1550" w14:textId="77777777">
        <w:tc>
          <w:tcPr>
            <w:tcW w:w="2376" w:type="dxa"/>
            <w:shd w:val="clear" w:color="auto" w:fill="auto"/>
          </w:tcPr>
          <w:p w14:paraId="3ACF34F9" w14:textId="77777777" w:rsidR="00F37CF9" w:rsidRPr="00DD47DF" w:rsidRDefault="00F37CF9" w:rsidP="00142A82">
            <w:pPr>
              <w:pStyle w:val="Tabulka"/>
              <w:jc w:val="left"/>
              <w:rPr>
                <w:rFonts w:cs="Calibri"/>
              </w:rPr>
            </w:pPr>
            <w:r w:rsidRPr="00DD47DF">
              <w:rPr>
                <w:rFonts w:cs="Calibri"/>
              </w:rPr>
              <w:t>NIS</w:t>
            </w:r>
          </w:p>
        </w:tc>
        <w:tc>
          <w:tcPr>
            <w:tcW w:w="6836" w:type="dxa"/>
            <w:shd w:val="clear" w:color="auto" w:fill="auto"/>
          </w:tcPr>
          <w:p w14:paraId="3A2FF5F2" w14:textId="77777777" w:rsidR="00F37CF9" w:rsidRPr="00DD47DF" w:rsidRDefault="00F37CF9" w:rsidP="00142A82">
            <w:pPr>
              <w:pStyle w:val="Tabulka"/>
              <w:jc w:val="left"/>
              <w:rPr>
                <w:rFonts w:cs="Calibri"/>
              </w:rPr>
            </w:pPr>
            <w:r w:rsidRPr="00DD47DF">
              <w:rPr>
                <w:rFonts w:cs="Calibri"/>
              </w:rPr>
              <w:t>Národní inovační strategie ČR</w:t>
            </w:r>
          </w:p>
        </w:tc>
      </w:tr>
      <w:tr w:rsidR="00F37CF9" w:rsidRPr="00DD47DF" w14:paraId="1C9F23D3" w14:textId="77777777">
        <w:tc>
          <w:tcPr>
            <w:tcW w:w="2376" w:type="dxa"/>
            <w:shd w:val="clear" w:color="auto" w:fill="auto"/>
          </w:tcPr>
          <w:p w14:paraId="276D7415" w14:textId="77777777" w:rsidR="00F37CF9" w:rsidRPr="00DD47DF" w:rsidRDefault="00F37CF9" w:rsidP="00142A82">
            <w:pPr>
              <w:pStyle w:val="Tabulka"/>
              <w:jc w:val="left"/>
              <w:rPr>
                <w:rFonts w:cs="Calibri"/>
              </w:rPr>
            </w:pPr>
            <w:r w:rsidRPr="00DD47DF">
              <w:rPr>
                <w:rFonts w:cs="Calibri"/>
              </w:rPr>
              <w:t>NNO</w:t>
            </w:r>
          </w:p>
        </w:tc>
        <w:tc>
          <w:tcPr>
            <w:tcW w:w="6836" w:type="dxa"/>
            <w:shd w:val="clear" w:color="auto" w:fill="auto"/>
          </w:tcPr>
          <w:p w14:paraId="2D0B1130" w14:textId="77777777" w:rsidR="00F37CF9" w:rsidRPr="00DD47DF" w:rsidRDefault="00F37CF9" w:rsidP="00142A82">
            <w:pPr>
              <w:pStyle w:val="Tabulka"/>
              <w:jc w:val="left"/>
              <w:rPr>
                <w:rFonts w:cs="Calibri"/>
              </w:rPr>
            </w:pPr>
            <w:r w:rsidRPr="00DD47DF">
              <w:rPr>
                <w:rFonts w:cs="Calibri"/>
              </w:rPr>
              <w:t xml:space="preserve">Nestátní nezisková </w:t>
            </w:r>
            <w:r w:rsidRPr="00DD47DF">
              <w:rPr>
                <w:rFonts w:cs="Calibri"/>
                <w:bCs/>
              </w:rPr>
              <w:t>organizace</w:t>
            </w:r>
          </w:p>
        </w:tc>
      </w:tr>
      <w:tr w:rsidR="00F37CF9" w:rsidRPr="00DD47DF" w14:paraId="7B6445A1" w14:textId="77777777">
        <w:tc>
          <w:tcPr>
            <w:tcW w:w="2376" w:type="dxa"/>
            <w:shd w:val="clear" w:color="auto" w:fill="auto"/>
          </w:tcPr>
          <w:p w14:paraId="202E10C6" w14:textId="77777777" w:rsidR="00F37CF9" w:rsidRPr="00DD47DF" w:rsidRDefault="00F37CF9" w:rsidP="00142A82">
            <w:pPr>
              <w:pStyle w:val="Tabulka"/>
              <w:jc w:val="left"/>
              <w:rPr>
                <w:rFonts w:cs="Calibri"/>
              </w:rPr>
            </w:pPr>
            <w:r w:rsidRPr="00DD47DF">
              <w:rPr>
                <w:rFonts w:cs="Calibri"/>
              </w:rPr>
              <w:t>NP VaVaI</w:t>
            </w:r>
          </w:p>
        </w:tc>
        <w:tc>
          <w:tcPr>
            <w:tcW w:w="6836" w:type="dxa"/>
            <w:shd w:val="clear" w:color="auto" w:fill="auto"/>
          </w:tcPr>
          <w:p w14:paraId="22463B79" w14:textId="77777777" w:rsidR="00F37CF9" w:rsidRPr="00DD47DF" w:rsidRDefault="00F37CF9" w:rsidP="00142A82">
            <w:pPr>
              <w:pStyle w:val="Tabulka"/>
              <w:jc w:val="left"/>
              <w:rPr>
                <w:rFonts w:cs="Calibri"/>
              </w:rPr>
            </w:pPr>
            <w:r w:rsidRPr="00DD47DF">
              <w:rPr>
                <w:rFonts w:cs="Calibri"/>
              </w:rPr>
              <w:t>Aktualizace Národní politiky výzkumu, vývoje a inovací České republiky na léta 2009 až 2015 s výhledem do roku 2020</w:t>
            </w:r>
          </w:p>
        </w:tc>
      </w:tr>
      <w:tr w:rsidR="00F37CF9" w:rsidRPr="00DD47DF" w14:paraId="64E10CC0" w14:textId="77777777">
        <w:tc>
          <w:tcPr>
            <w:tcW w:w="2376" w:type="dxa"/>
            <w:shd w:val="clear" w:color="auto" w:fill="auto"/>
          </w:tcPr>
          <w:p w14:paraId="50D025ED" w14:textId="77777777" w:rsidR="00F37CF9" w:rsidRPr="00DD47DF" w:rsidRDefault="00F37CF9" w:rsidP="00142A82">
            <w:pPr>
              <w:pStyle w:val="Tabulka"/>
              <w:jc w:val="left"/>
              <w:rPr>
                <w:rFonts w:cs="Calibri"/>
              </w:rPr>
            </w:pPr>
            <w:r w:rsidRPr="00DD47DF">
              <w:rPr>
                <w:rFonts w:cs="Calibri"/>
              </w:rPr>
              <w:t>NPR</w:t>
            </w:r>
          </w:p>
        </w:tc>
        <w:tc>
          <w:tcPr>
            <w:tcW w:w="6836" w:type="dxa"/>
            <w:shd w:val="clear" w:color="auto" w:fill="auto"/>
          </w:tcPr>
          <w:p w14:paraId="5C4BD96D" w14:textId="77777777" w:rsidR="00F37CF9" w:rsidRPr="00DD47DF" w:rsidRDefault="00F37CF9" w:rsidP="00142A82">
            <w:pPr>
              <w:pStyle w:val="Tabulka"/>
              <w:jc w:val="left"/>
              <w:rPr>
                <w:rFonts w:cs="Calibri"/>
              </w:rPr>
            </w:pPr>
            <w:r w:rsidRPr="00DD47DF">
              <w:rPr>
                <w:rFonts w:cs="Calibri"/>
              </w:rPr>
              <w:t>Národní program reforem ČR</w:t>
            </w:r>
          </w:p>
        </w:tc>
      </w:tr>
      <w:tr w:rsidR="00F37CF9" w:rsidRPr="00DD47DF" w14:paraId="7070984B" w14:textId="77777777">
        <w:tc>
          <w:tcPr>
            <w:tcW w:w="2376" w:type="dxa"/>
            <w:shd w:val="clear" w:color="auto" w:fill="auto"/>
          </w:tcPr>
          <w:p w14:paraId="28B32002" w14:textId="77777777" w:rsidR="00F37CF9" w:rsidRPr="00DD47DF" w:rsidRDefault="00F37CF9" w:rsidP="00142A82">
            <w:pPr>
              <w:pStyle w:val="Tabulka"/>
              <w:jc w:val="left"/>
              <w:rPr>
                <w:rFonts w:cs="Calibri"/>
              </w:rPr>
            </w:pPr>
            <w:r w:rsidRPr="00DD47DF">
              <w:rPr>
                <w:rFonts w:cs="Calibri"/>
              </w:rPr>
              <w:t>NUTS</w:t>
            </w:r>
          </w:p>
        </w:tc>
        <w:tc>
          <w:tcPr>
            <w:tcW w:w="6836" w:type="dxa"/>
            <w:shd w:val="clear" w:color="auto" w:fill="auto"/>
          </w:tcPr>
          <w:p w14:paraId="7ADFA2AC" w14:textId="77777777" w:rsidR="00F37CF9" w:rsidRPr="00DD47DF" w:rsidRDefault="00F37CF9" w:rsidP="00142A82">
            <w:pPr>
              <w:pStyle w:val="Tabulka"/>
              <w:jc w:val="left"/>
              <w:rPr>
                <w:rFonts w:cs="Calibri"/>
              </w:rPr>
            </w:pPr>
            <w:r w:rsidRPr="00DD47DF">
              <w:rPr>
                <w:rStyle w:val="st1"/>
                <w:szCs w:val="24"/>
              </w:rPr>
              <w:t>Nomenklatura územních statistických jednotek</w:t>
            </w:r>
          </w:p>
        </w:tc>
      </w:tr>
      <w:tr w:rsidR="00F37CF9" w:rsidRPr="00DD47DF" w14:paraId="33E01217" w14:textId="77777777">
        <w:tc>
          <w:tcPr>
            <w:tcW w:w="2376" w:type="dxa"/>
            <w:shd w:val="clear" w:color="auto" w:fill="auto"/>
          </w:tcPr>
          <w:p w14:paraId="2A8F602C" w14:textId="77777777" w:rsidR="00F37CF9" w:rsidRPr="00DD47DF" w:rsidRDefault="00F37CF9" w:rsidP="00142A82">
            <w:pPr>
              <w:pStyle w:val="Tabulka"/>
              <w:jc w:val="left"/>
              <w:rPr>
                <w:rFonts w:cs="Calibri"/>
              </w:rPr>
            </w:pPr>
            <w:r w:rsidRPr="00DD47DF">
              <w:rPr>
                <w:rFonts w:cs="Calibri"/>
              </w:rPr>
              <w:t>OP D</w:t>
            </w:r>
          </w:p>
        </w:tc>
        <w:tc>
          <w:tcPr>
            <w:tcW w:w="6836" w:type="dxa"/>
            <w:shd w:val="clear" w:color="auto" w:fill="auto"/>
          </w:tcPr>
          <w:p w14:paraId="59693340" w14:textId="77777777" w:rsidR="00F37CF9" w:rsidRPr="00DD47DF" w:rsidRDefault="00F37CF9" w:rsidP="00142A82">
            <w:pPr>
              <w:pStyle w:val="Tabulka"/>
              <w:jc w:val="left"/>
              <w:rPr>
                <w:rFonts w:cs="Calibri"/>
              </w:rPr>
            </w:pPr>
            <w:r w:rsidRPr="00DD47DF">
              <w:rPr>
                <w:rFonts w:cs="Calibri"/>
              </w:rPr>
              <w:t>Operační program Doprava</w:t>
            </w:r>
          </w:p>
        </w:tc>
      </w:tr>
      <w:tr w:rsidR="00F37CF9" w:rsidRPr="00DD47DF" w14:paraId="5AC4C268" w14:textId="77777777">
        <w:tc>
          <w:tcPr>
            <w:tcW w:w="2376" w:type="dxa"/>
            <w:shd w:val="clear" w:color="auto" w:fill="auto"/>
          </w:tcPr>
          <w:p w14:paraId="3622CF27" w14:textId="77777777" w:rsidR="00F37CF9" w:rsidRPr="00DD47DF" w:rsidRDefault="00F37CF9" w:rsidP="00142A82">
            <w:pPr>
              <w:pStyle w:val="Tabulka"/>
              <w:jc w:val="left"/>
              <w:rPr>
                <w:rFonts w:cs="Calibri"/>
              </w:rPr>
            </w:pPr>
            <w:r w:rsidRPr="00DD47DF">
              <w:rPr>
                <w:rFonts w:cs="Calibri"/>
              </w:rPr>
              <w:t>OP PIK</w:t>
            </w:r>
          </w:p>
        </w:tc>
        <w:tc>
          <w:tcPr>
            <w:tcW w:w="6836" w:type="dxa"/>
            <w:shd w:val="clear" w:color="auto" w:fill="auto"/>
          </w:tcPr>
          <w:p w14:paraId="7071D9FD" w14:textId="77777777" w:rsidR="00F37CF9" w:rsidRPr="00DD47DF" w:rsidRDefault="00F37CF9" w:rsidP="00142A82">
            <w:pPr>
              <w:pStyle w:val="Tabulka"/>
              <w:jc w:val="left"/>
              <w:rPr>
                <w:rFonts w:cs="Calibri"/>
              </w:rPr>
            </w:pPr>
            <w:r w:rsidRPr="00DD47DF">
              <w:rPr>
                <w:rFonts w:cs="Calibri"/>
              </w:rPr>
              <w:t>Operační program Podnikání a inovace pro konkurenceschopnost 2014 - 2020</w:t>
            </w:r>
          </w:p>
        </w:tc>
      </w:tr>
      <w:tr w:rsidR="00F37CF9" w:rsidRPr="00DD47DF" w14:paraId="319ED1FB" w14:textId="77777777">
        <w:tc>
          <w:tcPr>
            <w:tcW w:w="2376" w:type="dxa"/>
            <w:shd w:val="clear" w:color="auto" w:fill="auto"/>
          </w:tcPr>
          <w:p w14:paraId="49630797" w14:textId="77777777" w:rsidR="00F37CF9" w:rsidRPr="00DD47DF" w:rsidRDefault="00F37CF9" w:rsidP="00142A82">
            <w:pPr>
              <w:pStyle w:val="Tabulka"/>
              <w:jc w:val="left"/>
              <w:rPr>
                <w:rFonts w:cs="Calibri"/>
              </w:rPr>
            </w:pPr>
            <w:r w:rsidRPr="00DD47DF">
              <w:rPr>
                <w:rFonts w:cs="Calibri"/>
              </w:rPr>
              <w:t>OP PPR</w:t>
            </w:r>
          </w:p>
        </w:tc>
        <w:tc>
          <w:tcPr>
            <w:tcW w:w="6836" w:type="dxa"/>
            <w:shd w:val="clear" w:color="auto" w:fill="auto"/>
          </w:tcPr>
          <w:p w14:paraId="772716B3" w14:textId="77777777" w:rsidR="00F37CF9" w:rsidRPr="00DD47DF" w:rsidRDefault="00F37CF9" w:rsidP="00142A82">
            <w:pPr>
              <w:pStyle w:val="Tabulka"/>
              <w:jc w:val="left"/>
              <w:rPr>
                <w:rFonts w:cs="Calibri"/>
              </w:rPr>
            </w:pPr>
            <w:r w:rsidRPr="00DD47DF">
              <w:rPr>
                <w:rFonts w:cs="Calibri"/>
              </w:rPr>
              <w:t>Operační program Praha - pól růstu ČR</w:t>
            </w:r>
          </w:p>
        </w:tc>
      </w:tr>
      <w:tr w:rsidR="00F37CF9" w:rsidRPr="00DD47DF" w14:paraId="289FF5AC" w14:textId="77777777">
        <w:tc>
          <w:tcPr>
            <w:tcW w:w="2376" w:type="dxa"/>
            <w:shd w:val="clear" w:color="auto" w:fill="auto"/>
          </w:tcPr>
          <w:p w14:paraId="34EA54E3" w14:textId="77777777" w:rsidR="00F37CF9" w:rsidRPr="00DD47DF" w:rsidRDefault="00F37CF9" w:rsidP="00142A82">
            <w:pPr>
              <w:pStyle w:val="Tabulka"/>
              <w:jc w:val="left"/>
              <w:rPr>
                <w:rFonts w:cs="Calibri"/>
              </w:rPr>
            </w:pPr>
            <w:r w:rsidRPr="00DD47DF">
              <w:rPr>
                <w:rFonts w:cs="Calibri"/>
              </w:rPr>
              <w:t>OP R</w:t>
            </w:r>
          </w:p>
        </w:tc>
        <w:tc>
          <w:tcPr>
            <w:tcW w:w="6836" w:type="dxa"/>
            <w:shd w:val="clear" w:color="auto" w:fill="auto"/>
          </w:tcPr>
          <w:p w14:paraId="1CC765FA" w14:textId="77777777" w:rsidR="00F37CF9" w:rsidRPr="00DD47DF" w:rsidRDefault="00F37CF9" w:rsidP="00142A82">
            <w:pPr>
              <w:pStyle w:val="Tabulka"/>
              <w:jc w:val="left"/>
              <w:rPr>
                <w:rFonts w:cs="Calibri"/>
              </w:rPr>
            </w:pPr>
            <w:r w:rsidRPr="00DD47DF">
              <w:rPr>
                <w:rFonts w:cs="Calibri"/>
              </w:rPr>
              <w:t>Operační program Rybářství</w:t>
            </w:r>
          </w:p>
        </w:tc>
      </w:tr>
      <w:tr w:rsidR="00F37CF9" w:rsidRPr="00DD47DF" w14:paraId="5D322B75" w14:textId="77777777">
        <w:tc>
          <w:tcPr>
            <w:tcW w:w="2376" w:type="dxa"/>
            <w:shd w:val="clear" w:color="auto" w:fill="auto"/>
          </w:tcPr>
          <w:p w14:paraId="1BA096C3" w14:textId="77777777" w:rsidR="00F37CF9" w:rsidRPr="00DD47DF" w:rsidRDefault="00F37CF9" w:rsidP="00142A82">
            <w:pPr>
              <w:pStyle w:val="Tabulka"/>
              <w:jc w:val="left"/>
              <w:rPr>
                <w:rFonts w:cs="Calibri"/>
              </w:rPr>
            </w:pPr>
            <w:r w:rsidRPr="00DD47DF">
              <w:rPr>
                <w:rFonts w:cs="Calibri"/>
              </w:rPr>
              <w:t>OP VVV</w:t>
            </w:r>
          </w:p>
        </w:tc>
        <w:tc>
          <w:tcPr>
            <w:tcW w:w="6836" w:type="dxa"/>
            <w:shd w:val="clear" w:color="auto" w:fill="auto"/>
          </w:tcPr>
          <w:p w14:paraId="7AC4710E" w14:textId="77777777" w:rsidR="00F37CF9" w:rsidRPr="00DD47DF" w:rsidRDefault="00F37CF9" w:rsidP="00142A82">
            <w:pPr>
              <w:pStyle w:val="Tabulka"/>
              <w:jc w:val="left"/>
              <w:rPr>
                <w:rFonts w:cs="Calibri"/>
              </w:rPr>
            </w:pPr>
            <w:r w:rsidRPr="00DD47DF">
              <w:rPr>
                <w:rFonts w:cs="Calibri"/>
              </w:rPr>
              <w:t>Operační program Výzkum, vývoj a vzdělávání</w:t>
            </w:r>
          </w:p>
        </w:tc>
      </w:tr>
      <w:tr w:rsidR="00F37CF9" w:rsidRPr="00DD47DF" w14:paraId="40A16909" w14:textId="77777777">
        <w:tc>
          <w:tcPr>
            <w:tcW w:w="2376" w:type="dxa"/>
            <w:shd w:val="clear" w:color="auto" w:fill="auto"/>
          </w:tcPr>
          <w:p w14:paraId="68BA0DA1" w14:textId="77777777" w:rsidR="00F37CF9" w:rsidRPr="00DD47DF" w:rsidRDefault="00F37CF9" w:rsidP="00142A82">
            <w:pPr>
              <w:pStyle w:val="Tabulka"/>
              <w:jc w:val="left"/>
              <w:rPr>
                <w:rFonts w:cs="Calibri"/>
              </w:rPr>
            </w:pPr>
            <w:r w:rsidRPr="00DD47DF">
              <w:rPr>
                <w:rFonts w:cs="Calibri"/>
              </w:rPr>
              <w:t>OP Z</w:t>
            </w:r>
          </w:p>
        </w:tc>
        <w:tc>
          <w:tcPr>
            <w:tcW w:w="6836" w:type="dxa"/>
            <w:shd w:val="clear" w:color="auto" w:fill="auto"/>
          </w:tcPr>
          <w:p w14:paraId="44A9C96E" w14:textId="77777777" w:rsidR="00F37CF9" w:rsidRPr="00DD47DF" w:rsidRDefault="00F37CF9" w:rsidP="00142A82">
            <w:pPr>
              <w:pStyle w:val="Tabulka"/>
              <w:jc w:val="left"/>
              <w:rPr>
                <w:rFonts w:cs="Calibri"/>
              </w:rPr>
            </w:pPr>
            <w:r w:rsidRPr="00DD47DF">
              <w:rPr>
                <w:rFonts w:cs="Calibri"/>
              </w:rPr>
              <w:t>Operační program Zaměstnanost</w:t>
            </w:r>
          </w:p>
        </w:tc>
      </w:tr>
      <w:tr w:rsidR="00F37CF9" w:rsidRPr="00DD47DF" w14:paraId="0DDEB022" w14:textId="77777777">
        <w:tc>
          <w:tcPr>
            <w:tcW w:w="2376" w:type="dxa"/>
            <w:shd w:val="clear" w:color="auto" w:fill="auto"/>
          </w:tcPr>
          <w:p w14:paraId="0B476393" w14:textId="77777777" w:rsidR="00F37CF9" w:rsidRPr="00DD47DF" w:rsidRDefault="00F37CF9" w:rsidP="00142A82">
            <w:pPr>
              <w:pStyle w:val="Tabulka"/>
              <w:jc w:val="left"/>
              <w:rPr>
                <w:rFonts w:cs="Calibri"/>
              </w:rPr>
            </w:pPr>
            <w:r w:rsidRPr="00DD47DF">
              <w:rPr>
                <w:rFonts w:cs="Calibri"/>
              </w:rPr>
              <w:t>OP ŽP</w:t>
            </w:r>
          </w:p>
        </w:tc>
        <w:tc>
          <w:tcPr>
            <w:tcW w:w="6836" w:type="dxa"/>
            <w:shd w:val="clear" w:color="auto" w:fill="auto"/>
          </w:tcPr>
          <w:p w14:paraId="4CC3C80E" w14:textId="77777777" w:rsidR="00F37CF9" w:rsidRPr="00DD47DF" w:rsidRDefault="00F37CF9" w:rsidP="00142A82">
            <w:pPr>
              <w:pStyle w:val="Tabulka"/>
              <w:jc w:val="left"/>
              <w:rPr>
                <w:rFonts w:cs="Calibri"/>
              </w:rPr>
            </w:pPr>
            <w:r w:rsidRPr="00DD47DF">
              <w:rPr>
                <w:rFonts w:cs="Calibri"/>
              </w:rPr>
              <w:t>Operační program Životní prostředí</w:t>
            </w:r>
          </w:p>
        </w:tc>
      </w:tr>
      <w:tr w:rsidR="00F37CF9" w:rsidRPr="00DD47DF" w14:paraId="7743139C" w14:textId="77777777">
        <w:tc>
          <w:tcPr>
            <w:tcW w:w="2376" w:type="dxa"/>
            <w:shd w:val="clear" w:color="auto" w:fill="auto"/>
          </w:tcPr>
          <w:p w14:paraId="3317C32C" w14:textId="77777777" w:rsidR="00F37CF9" w:rsidRPr="00DD47DF" w:rsidRDefault="00F37CF9" w:rsidP="00142A82">
            <w:pPr>
              <w:pStyle w:val="Tabulka"/>
              <w:jc w:val="left"/>
              <w:rPr>
                <w:rFonts w:cs="Calibri"/>
              </w:rPr>
            </w:pPr>
            <w:r w:rsidRPr="00DD47DF">
              <w:rPr>
                <w:rFonts w:cs="Calibri"/>
              </w:rPr>
              <w:t>OPPI</w:t>
            </w:r>
          </w:p>
        </w:tc>
        <w:tc>
          <w:tcPr>
            <w:tcW w:w="6836" w:type="dxa"/>
            <w:shd w:val="clear" w:color="auto" w:fill="auto"/>
          </w:tcPr>
          <w:p w14:paraId="31A73904" w14:textId="77777777" w:rsidR="00F37CF9" w:rsidRPr="00DD47DF" w:rsidRDefault="00F37CF9" w:rsidP="00142A82">
            <w:pPr>
              <w:pStyle w:val="Tabulka"/>
              <w:jc w:val="left"/>
              <w:rPr>
                <w:rFonts w:cs="Calibri"/>
              </w:rPr>
            </w:pPr>
            <w:r w:rsidRPr="00DD47DF">
              <w:rPr>
                <w:rFonts w:cs="Calibri"/>
              </w:rPr>
              <w:t>Operační program Podnikání a inovace 2007-2013</w:t>
            </w:r>
          </w:p>
        </w:tc>
      </w:tr>
      <w:tr w:rsidR="00F37CF9" w:rsidRPr="00DD47DF" w14:paraId="4D87E4D8" w14:textId="77777777">
        <w:tc>
          <w:tcPr>
            <w:tcW w:w="2376" w:type="dxa"/>
            <w:shd w:val="clear" w:color="auto" w:fill="auto"/>
          </w:tcPr>
          <w:p w14:paraId="63543A9C" w14:textId="77777777" w:rsidR="00F37CF9" w:rsidRPr="00DD47DF" w:rsidRDefault="00F37CF9" w:rsidP="00142A82">
            <w:pPr>
              <w:pStyle w:val="Tabulka"/>
              <w:jc w:val="left"/>
              <w:rPr>
                <w:rFonts w:cs="Calibri"/>
              </w:rPr>
            </w:pPr>
            <w:r w:rsidRPr="00DD47DF">
              <w:rPr>
                <w:rFonts w:cs="Calibri"/>
              </w:rPr>
              <w:t>OSS</w:t>
            </w:r>
          </w:p>
        </w:tc>
        <w:tc>
          <w:tcPr>
            <w:tcW w:w="6836" w:type="dxa"/>
            <w:shd w:val="clear" w:color="auto" w:fill="auto"/>
          </w:tcPr>
          <w:p w14:paraId="31596517" w14:textId="77777777" w:rsidR="00F37CF9" w:rsidRPr="00DD47DF" w:rsidRDefault="00F37CF9" w:rsidP="00142A82">
            <w:pPr>
              <w:pStyle w:val="Tabulka"/>
              <w:jc w:val="left"/>
              <w:rPr>
                <w:rFonts w:cs="Calibri"/>
              </w:rPr>
            </w:pPr>
            <w:r w:rsidRPr="00DD47DF">
              <w:rPr>
                <w:rFonts w:cs="Calibri"/>
              </w:rPr>
              <w:t>Organizační složky státu</w:t>
            </w:r>
          </w:p>
        </w:tc>
      </w:tr>
      <w:tr w:rsidR="00F37CF9" w:rsidRPr="00DD47DF" w14:paraId="6FF86BAD" w14:textId="77777777">
        <w:tc>
          <w:tcPr>
            <w:tcW w:w="2376" w:type="dxa"/>
            <w:shd w:val="clear" w:color="auto" w:fill="auto"/>
          </w:tcPr>
          <w:p w14:paraId="716302DD" w14:textId="77777777" w:rsidR="00F37CF9" w:rsidRPr="00DD47DF" w:rsidRDefault="00F37CF9" w:rsidP="00142A82">
            <w:pPr>
              <w:pStyle w:val="Tabulka"/>
              <w:jc w:val="left"/>
              <w:rPr>
                <w:rFonts w:cs="Calibri"/>
              </w:rPr>
            </w:pPr>
            <w:r w:rsidRPr="00DD47DF">
              <w:rPr>
                <w:rFonts w:cs="Calibri"/>
              </w:rPr>
              <w:lastRenderedPageBreak/>
              <w:t>OSVČ</w:t>
            </w:r>
          </w:p>
        </w:tc>
        <w:tc>
          <w:tcPr>
            <w:tcW w:w="6836" w:type="dxa"/>
            <w:shd w:val="clear" w:color="auto" w:fill="auto"/>
          </w:tcPr>
          <w:p w14:paraId="7E71D4AA" w14:textId="77777777" w:rsidR="00F37CF9" w:rsidRPr="00DD47DF" w:rsidRDefault="00F37CF9" w:rsidP="00142A82">
            <w:pPr>
              <w:pStyle w:val="Tabulka"/>
              <w:jc w:val="left"/>
              <w:rPr>
                <w:rFonts w:cs="Calibri"/>
              </w:rPr>
            </w:pPr>
            <w:r w:rsidRPr="00DD47DF">
              <w:rPr>
                <w:rStyle w:val="st1"/>
                <w:szCs w:val="24"/>
              </w:rPr>
              <w:t>Osoba samostatně výdělečně činná</w:t>
            </w:r>
          </w:p>
        </w:tc>
      </w:tr>
      <w:tr w:rsidR="00F37CF9" w:rsidRPr="00DD47DF" w14:paraId="4BBEB9B1" w14:textId="77777777">
        <w:tc>
          <w:tcPr>
            <w:tcW w:w="2376" w:type="dxa"/>
            <w:shd w:val="clear" w:color="auto" w:fill="auto"/>
          </w:tcPr>
          <w:p w14:paraId="2847B7AC" w14:textId="77777777" w:rsidR="00F37CF9" w:rsidRPr="00DD47DF" w:rsidRDefault="00F37CF9" w:rsidP="00142A82">
            <w:pPr>
              <w:pStyle w:val="Tabulka"/>
              <w:jc w:val="left"/>
              <w:rPr>
                <w:rFonts w:cs="Calibri"/>
              </w:rPr>
            </w:pPr>
            <w:r w:rsidRPr="00DD47DF">
              <w:rPr>
                <w:rFonts w:cs="Calibri"/>
              </w:rPr>
              <w:t>OZE</w:t>
            </w:r>
          </w:p>
        </w:tc>
        <w:tc>
          <w:tcPr>
            <w:tcW w:w="6836" w:type="dxa"/>
            <w:shd w:val="clear" w:color="auto" w:fill="auto"/>
          </w:tcPr>
          <w:p w14:paraId="625E03A5" w14:textId="77777777" w:rsidR="00F37CF9" w:rsidRPr="00DD47DF" w:rsidRDefault="00F37CF9" w:rsidP="00142A82">
            <w:pPr>
              <w:pStyle w:val="Tabulka"/>
              <w:jc w:val="left"/>
              <w:rPr>
                <w:rFonts w:cs="Calibri"/>
              </w:rPr>
            </w:pPr>
            <w:r w:rsidRPr="00DD47DF">
              <w:rPr>
                <w:rFonts w:cs="Calibri"/>
              </w:rPr>
              <w:t>Obnovitelné zdroje energie</w:t>
            </w:r>
          </w:p>
        </w:tc>
      </w:tr>
      <w:tr w:rsidR="00F37CF9" w:rsidRPr="00DD47DF" w14:paraId="797D29DB" w14:textId="77777777">
        <w:tc>
          <w:tcPr>
            <w:tcW w:w="2376" w:type="dxa"/>
            <w:shd w:val="clear" w:color="auto" w:fill="auto"/>
          </w:tcPr>
          <w:p w14:paraId="6EE69297" w14:textId="77777777" w:rsidR="00F37CF9" w:rsidRPr="00DD47DF" w:rsidRDefault="00F37CF9" w:rsidP="00142A82">
            <w:pPr>
              <w:pStyle w:val="Tabulka"/>
              <w:jc w:val="left"/>
              <w:rPr>
                <w:rFonts w:cs="Calibri"/>
              </w:rPr>
            </w:pPr>
            <w:r w:rsidRPr="00DD47DF">
              <w:rPr>
                <w:rFonts w:cs="Calibri"/>
              </w:rPr>
              <w:t>PCO</w:t>
            </w:r>
          </w:p>
        </w:tc>
        <w:tc>
          <w:tcPr>
            <w:tcW w:w="6836" w:type="dxa"/>
            <w:shd w:val="clear" w:color="auto" w:fill="auto"/>
          </w:tcPr>
          <w:p w14:paraId="1E929C26" w14:textId="77777777" w:rsidR="00F37CF9" w:rsidRPr="00DD47DF" w:rsidRDefault="00F37CF9" w:rsidP="00142A82">
            <w:pPr>
              <w:pStyle w:val="Tabulka"/>
              <w:jc w:val="left"/>
              <w:rPr>
                <w:rFonts w:cs="Calibri"/>
              </w:rPr>
            </w:pPr>
            <w:r w:rsidRPr="00DD47DF">
              <w:rPr>
                <w:rFonts w:cs="Calibri"/>
              </w:rPr>
              <w:t>Platební a certifikační orgán</w:t>
            </w:r>
          </w:p>
        </w:tc>
      </w:tr>
      <w:tr w:rsidR="00F37CF9" w:rsidRPr="00DD47DF" w14:paraId="43435441" w14:textId="77777777">
        <w:tc>
          <w:tcPr>
            <w:tcW w:w="2376" w:type="dxa"/>
            <w:shd w:val="clear" w:color="auto" w:fill="auto"/>
          </w:tcPr>
          <w:p w14:paraId="51BB9E69" w14:textId="77777777" w:rsidR="00F37CF9" w:rsidRPr="00DD47DF" w:rsidRDefault="00F37CF9" w:rsidP="00142A82">
            <w:pPr>
              <w:pStyle w:val="Tabulka"/>
              <w:jc w:val="left"/>
              <w:rPr>
                <w:rFonts w:cs="Calibri"/>
              </w:rPr>
            </w:pPr>
            <w:r w:rsidRPr="00DD47DF">
              <w:rPr>
                <w:rFonts w:cs="Calibri"/>
              </w:rPr>
              <w:t>PCP</w:t>
            </w:r>
          </w:p>
        </w:tc>
        <w:tc>
          <w:tcPr>
            <w:tcW w:w="6836" w:type="dxa"/>
            <w:shd w:val="clear" w:color="auto" w:fill="auto"/>
          </w:tcPr>
          <w:p w14:paraId="25B8F2B2" w14:textId="77777777" w:rsidR="00F37CF9" w:rsidRPr="00DD47DF" w:rsidRDefault="00F37CF9" w:rsidP="00142A82">
            <w:pPr>
              <w:pStyle w:val="Tabulka"/>
              <w:jc w:val="left"/>
              <w:rPr>
                <w:rFonts w:cs="Calibri"/>
              </w:rPr>
            </w:pPr>
            <w:r w:rsidRPr="00DD47DF">
              <w:rPr>
                <w:rFonts w:cs="Calibri"/>
              </w:rPr>
              <w:t>Pre-commercial public procurement</w:t>
            </w:r>
          </w:p>
        </w:tc>
      </w:tr>
      <w:tr w:rsidR="00F37CF9" w:rsidRPr="00DD47DF" w14:paraId="415419AD" w14:textId="77777777">
        <w:tc>
          <w:tcPr>
            <w:tcW w:w="2376" w:type="dxa"/>
            <w:shd w:val="clear" w:color="auto" w:fill="auto"/>
          </w:tcPr>
          <w:p w14:paraId="0904274B" w14:textId="77777777" w:rsidR="00F37CF9" w:rsidRPr="00DD47DF" w:rsidRDefault="00F37CF9" w:rsidP="00142A82">
            <w:pPr>
              <w:pStyle w:val="Tabulka"/>
              <w:jc w:val="left"/>
              <w:rPr>
                <w:rFonts w:cs="Calibri"/>
              </w:rPr>
            </w:pPr>
            <w:r w:rsidRPr="00DD47DF">
              <w:rPr>
                <w:rFonts w:cs="Calibri"/>
              </w:rPr>
              <w:t>PD</w:t>
            </w:r>
          </w:p>
        </w:tc>
        <w:tc>
          <w:tcPr>
            <w:tcW w:w="6836" w:type="dxa"/>
            <w:shd w:val="clear" w:color="auto" w:fill="auto"/>
          </w:tcPr>
          <w:p w14:paraId="7F642E60" w14:textId="77777777" w:rsidR="00F37CF9" w:rsidRPr="00DD47DF" w:rsidRDefault="00F37CF9" w:rsidP="00142A82">
            <w:pPr>
              <w:pStyle w:val="Tabulka"/>
              <w:jc w:val="left"/>
              <w:rPr>
                <w:rFonts w:cs="Calibri"/>
              </w:rPr>
            </w:pPr>
            <w:r w:rsidRPr="00DD47DF">
              <w:rPr>
                <w:rFonts w:cs="Calibri"/>
              </w:rPr>
              <w:t>Programový dokument</w:t>
            </w:r>
          </w:p>
        </w:tc>
      </w:tr>
      <w:tr w:rsidR="00F37CF9" w:rsidRPr="00DD47DF" w14:paraId="748E4480" w14:textId="77777777">
        <w:tc>
          <w:tcPr>
            <w:tcW w:w="2376" w:type="dxa"/>
            <w:shd w:val="clear" w:color="auto" w:fill="auto"/>
          </w:tcPr>
          <w:p w14:paraId="5269E4FA" w14:textId="77777777" w:rsidR="00F37CF9" w:rsidRPr="00DD47DF" w:rsidRDefault="00F37CF9" w:rsidP="00142A82">
            <w:pPr>
              <w:pStyle w:val="Tabulka"/>
              <w:jc w:val="left"/>
              <w:rPr>
                <w:rFonts w:cs="Calibri"/>
              </w:rPr>
            </w:pPr>
            <w:r w:rsidRPr="00DD47DF">
              <w:rPr>
                <w:rFonts w:cs="Calibri"/>
              </w:rPr>
              <w:t>PO</w:t>
            </w:r>
          </w:p>
        </w:tc>
        <w:tc>
          <w:tcPr>
            <w:tcW w:w="6836" w:type="dxa"/>
            <w:shd w:val="clear" w:color="auto" w:fill="auto"/>
          </w:tcPr>
          <w:p w14:paraId="43823093" w14:textId="77777777" w:rsidR="00F37CF9" w:rsidRPr="00DD47DF" w:rsidRDefault="00F37CF9" w:rsidP="00142A82">
            <w:pPr>
              <w:pStyle w:val="Tabulka"/>
              <w:jc w:val="left"/>
              <w:rPr>
                <w:rFonts w:cs="Calibri"/>
              </w:rPr>
            </w:pPr>
            <w:r w:rsidRPr="00DD47DF">
              <w:rPr>
                <w:rFonts w:cs="Calibri"/>
              </w:rPr>
              <w:t>Prioritní osa</w:t>
            </w:r>
          </w:p>
        </w:tc>
      </w:tr>
      <w:tr w:rsidR="00F37CF9" w:rsidRPr="00DD47DF" w14:paraId="79D9FF56" w14:textId="77777777">
        <w:tc>
          <w:tcPr>
            <w:tcW w:w="2376" w:type="dxa"/>
            <w:shd w:val="clear" w:color="auto" w:fill="auto"/>
          </w:tcPr>
          <w:p w14:paraId="10E6DF2F" w14:textId="77777777" w:rsidR="00F37CF9" w:rsidRPr="00DD47DF" w:rsidRDefault="00F37CF9" w:rsidP="00142A82">
            <w:pPr>
              <w:pStyle w:val="Tabulka"/>
              <w:jc w:val="left"/>
              <w:rPr>
                <w:rFonts w:cs="Calibri"/>
              </w:rPr>
            </w:pPr>
            <w:r w:rsidRPr="00DD47DF">
              <w:rPr>
                <w:rFonts w:cs="Calibri"/>
              </w:rPr>
              <w:t>PRV</w:t>
            </w:r>
          </w:p>
        </w:tc>
        <w:tc>
          <w:tcPr>
            <w:tcW w:w="6836" w:type="dxa"/>
            <w:shd w:val="clear" w:color="auto" w:fill="auto"/>
          </w:tcPr>
          <w:p w14:paraId="040CCB25" w14:textId="77777777" w:rsidR="00F37CF9" w:rsidRPr="00DD47DF" w:rsidRDefault="00F37CF9" w:rsidP="00142A82">
            <w:pPr>
              <w:pStyle w:val="Tabulka"/>
              <w:jc w:val="left"/>
              <w:rPr>
                <w:rFonts w:cs="Calibri"/>
              </w:rPr>
            </w:pPr>
            <w:r w:rsidRPr="00DD47DF">
              <w:rPr>
                <w:rFonts w:cs="Calibri"/>
              </w:rPr>
              <w:t>Program rozvoje venkova</w:t>
            </w:r>
          </w:p>
        </w:tc>
      </w:tr>
      <w:tr w:rsidR="00F37CF9" w:rsidRPr="00DD47DF" w14:paraId="112C9CEB" w14:textId="77777777">
        <w:tc>
          <w:tcPr>
            <w:tcW w:w="2376" w:type="dxa"/>
            <w:shd w:val="clear" w:color="auto" w:fill="auto"/>
          </w:tcPr>
          <w:p w14:paraId="3B258F96" w14:textId="77777777" w:rsidR="00F37CF9" w:rsidRPr="00DD47DF" w:rsidRDefault="00241CA3" w:rsidP="00142A82">
            <w:pPr>
              <w:pStyle w:val="Tabulka"/>
              <w:jc w:val="left"/>
              <w:rPr>
                <w:rFonts w:cs="Calibri"/>
              </w:rPr>
            </w:pPr>
            <w:r w:rsidRPr="00DD47DF">
              <w:rPr>
                <w:rFonts w:cs="Calibri"/>
              </w:rPr>
              <w:t>PS</w:t>
            </w:r>
          </w:p>
        </w:tc>
        <w:tc>
          <w:tcPr>
            <w:tcW w:w="6836" w:type="dxa"/>
            <w:shd w:val="clear" w:color="auto" w:fill="auto"/>
          </w:tcPr>
          <w:p w14:paraId="2B024562" w14:textId="77777777" w:rsidR="00F37CF9" w:rsidRPr="00DD47DF" w:rsidRDefault="00241CA3" w:rsidP="00142A82">
            <w:pPr>
              <w:pStyle w:val="Tabulka"/>
              <w:jc w:val="left"/>
              <w:rPr>
                <w:rFonts w:cs="Calibri"/>
              </w:rPr>
            </w:pPr>
            <w:r w:rsidRPr="00DD47DF">
              <w:rPr>
                <w:rFonts w:cs="Calibri"/>
              </w:rPr>
              <w:t>Pracovní skupina</w:t>
            </w:r>
          </w:p>
        </w:tc>
      </w:tr>
      <w:tr w:rsidR="00241CA3" w:rsidRPr="00DD47DF" w14:paraId="08ADDEA7" w14:textId="77777777">
        <w:tc>
          <w:tcPr>
            <w:tcW w:w="2376" w:type="dxa"/>
            <w:shd w:val="clear" w:color="auto" w:fill="auto"/>
          </w:tcPr>
          <w:p w14:paraId="778C8E74" w14:textId="77777777" w:rsidR="00241CA3" w:rsidRPr="00DD47DF" w:rsidRDefault="00092326" w:rsidP="00142A82">
            <w:pPr>
              <w:pStyle w:val="Tabulka"/>
              <w:jc w:val="left"/>
              <w:rPr>
                <w:rFonts w:cs="Calibri"/>
              </w:rPr>
            </w:pPr>
            <w:r w:rsidRPr="00DD47DF">
              <w:rPr>
                <w:rFonts w:cs="Calibri"/>
              </w:rPr>
              <w:t>RIS3</w:t>
            </w:r>
          </w:p>
        </w:tc>
        <w:tc>
          <w:tcPr>
            <w:tcW w:w="6836" w:type="dxa"/>
            <w:shd w:val="clear" w:color="auto" w:fill="auto"/>
          </w:tcPr>
          <w:p w14:paraId="6641E2FD" w14:textId="77777777" w:rsidR="00241CA3" w:rsidRPr="00DD47DF" w:rsidRDefault="00241CA3" w:rsidP="00142A82">
            <w:pPr>
              <w:pStyle w:val="Tabulka"/>
              <w:jc w:val="left"/>
              <w:rPr>
                <w:rFonts w:cs="Calibri"/>
              </w:rPr>
            </w:pPr>
            <w:r w:rsidRPr="00DD47DF">
              <w:rPr>
                <w:rFonts w:cs="Calibri"/>
              </w:rPr>
              <w:t>Strategie inteligentní specializace ČR</w:t>
            </w:r>
          </w:p>
        </w:tc>
      </w:tr>
      <w:tr w:rsidR="00092326" w:rsidRPr="00DD47DF" w14:paraId="43A452C9" w14:textId="77777777">
        <w:tc>
          <w:tcPr>
            <w:tcW w:w="2376" w:type="dxa"/>
            <w:shd w:val="clear" w:color="auto" w:fill="auto"/>
          </w:tcPr>
          <w:p w14:paraId="11435EE0" w14:textId="77777777" w:rsidR="00092326" w:rsidRPr="00DD47DF" w:rsidRDefault="00092326" w:rsidP="00142A82">
            <w:pPr>
              <w:pStyle w:val="Tabulka"/>
              <w:jc w:val="left"/>
              <w:rPr>
                <w:rFonts w:cs="Calibri"/>
              </w:rPr>
            </w:pPr>
            <w:r w:rsidRPr="00DD47DF">
              <w:rPr>
                <w:rFonts w:cs="Calibri"/>
              </w:rPr>
              <w:t>ŘO</w:t>
            </w:r>
          </w:p>
        </w:tc>
        <w:tc>
          <w:tcPr>
            <w:tcW w:w="6836" w:type="dxa"/>
            <w:shd w:val="clear" w:color="auto" w:fill="auto"/>
          </w:tcPr>
          <w:p w14:paraId="609B5F4F" w14:textId="77777777" w:rsidR="00092326" w:rsidRPr="00DD47DF" w:rsidRDefault="00092326" w:rsidP="00142A82">
            <w:pPr>
              <w:pStyle w:val="Tabulka"/>
              <w:jc w:val="left"/>
              <w:rPr>
                <w:rFonts w:cs="Calibri"/>
              </w:rPr>
            </w:pPr>
            <w:r w:rsidRPr="00DD47DF">
              <w:rPr>
                <w:rFonts w:cs="Calibri"/>
              </w:rPr>
              <w:t>Řídící orgán</w:t>
            </w:r>
          </w:p>
        </w:tc>
      </w:tr>
      <w:tr w:rsidR="00241CA3" w:rsidRPr="00DD47DF" w14:paraId="42B2B1D9" w14:textId="77777777">
        <w:tc>
          <w:tcPr>
            <w:tcW w:w="2376" w:type="dxa"/>
            <w:shd w:val="clear" w:color="auto" w:fill="auto"/>
          </w:tcPr>
          <w:p w14:paraId="1208B0E1" w14:textId="77777777" w:rsidR="00241CA3" w:rsidRPr="00DD47DF" w:rsidRDefault="00241CA3" w:rsidP="00142A82">
            <w:pPr>
              <w:pStyle w:val="Tabulka"/>
              <w:jc w:val="left"/>
              <w:rPr>
                <w:rFonts w:cs="Calibri"/>
              </w:rPr>
            </w:pPr>
            <w:r w:rsidRPr="00DD47DF">
              <w:rPr>
                <w:rFonts w:cs="Calibri"/>
              </w:rPr>
              <w:t>SBA</w:t>
            </w:r>
          </w:p>
        </w:tc>
        <w:tc>
          <w:tcPr>
            <w:tcW w:w="6836" w:type="dxa"/>
            <w:shd w:val="clear" w:color="auto" w:fill="auto"/>
          </w:tcPr>
          <w:p w14:paraId="727662A1" w14:textId="77777777" w:rsidR="00241CA3" w:rsidRPr="00DD47DF" w:rsidRDefault="00241CA3" w:rsidP="00142A82">
            <w:pPr>
              <w:pStyle w:val="Tabulka"/>
              <w:jc w:val="left"/>
              <w:rPr>
                <w:rFonts w:cs="Calibri"/>
              </w:rPr>
            </w:pPr>
            <w:r w:rsidRPr="00DD47DF">
              <w:rPr>
                <w:rFonts w:cs="Calibri"/>
              </w:rPr>
              <w:t>Small Business Act</w:t>
            </w:r>
          </w:p>
        </w:tc>
      </w:tr>
      <w:tr w:rsidR="00241CA3" w:rsidRPr="00DD47DF" w14:paraId="5A819B05" w14:textId="77777777">
        <w:tc>
          <w:tcPr>
            <w:tcW w:w="2376" w:type="dxa"/>
            <w:shd w:val="clear" w:color="auto" w:fill="auto"/>
          </w:tcPr>
          <w:p w14:paraId="5C5DB94E" w14:textId="77777777" w:rsidR="00241CA3" w:rsidRPr="00DD47DF" w:rsidRDefault="00241CA3" w:rsidP="00142A82">
            <w:pPr>
              <w:pStyle w:val="Tabulka"/>
              <w:jc w:val="left"/>
              <w:rPr>
                <w:rFonts w:cs="Calibri"/>
              </w:rPr>
            </w:pPr>
            <w:r w:rsidRPr="00DD47DF">
              <w:rPr>
                <w:rFonts w:cs="Calibri"/>
              </w:rPr>
              <w:t>SC</w:t>
            </w:r>
          </w:p>
        </w:tc>
        <w:tc>
          <w:tcPr>
            <w:tcW w:w="6836" w:type="dxa"/>
            <w:shd w:val="clear" w:color="auto" w:fill="auto"/>
          </w:tcPr>
          <w:p w14:paraId="129ADF9F" w14:textId="77777777" w:rsidR="00241CA3" w:rsidRPr="00DD47DF" w:rsidRDefault="00241CA3" w:rsidP="00142A82">
            <w:pPr>
              <w:pStyle w:val="Tabulka"/>
              <w:jc w:val="left"/>
              <w:rPr>
                <w:rFonts w:cs="Calibri"/>
              </w:rPr>
            </w:pPr>
            <w:r w:rsidRPr="00DD47DF">
              <w:rPr>
                <w:rFonts w:cs="Calibri"/>
              </w:rPr>
              <w:t>Specifický cíl</w:t>
            </w:r>
          </w:p>
        </w:tc>
      </w:tr>
      <w:tr w:rsidR="00241CA3" w:rsidRPr="00DD47DF" w14:paraId="7DC1C435" w14:textId="77777777">
        <w:tc>
          <w:tcPr>
            <w:tcW w:w="2376" w:type="dxa"/>
            <w:shd w:val="clear" w:color="auto" w:fill="auto"/>
          </w:tcPr>
          <w:p w14:paraId="3924FADD" w14:textId="77777777" w:rsidR="00241CA3" w:rsidRPr="00DD47DF" w:rsidRDefault="00241CA3" w:rsidP="00142A82">
            <w:pPr>
              <w:pStyle w:val="Tabulka"/>
              <w:jc w:val="left"/>
              <w:rPr>
                <w:rFonts w:cs="Calibri"/>
              </w:rPr>
            </w:pPr>
            <w:r w:rsidRPr="00DD47DF">
              <w:rPr>
                <w:rFonts w:cs="Calibri"/>
              </w:rPr>
              <w:t>SEA</w:t>
            </w:r>
          </w:p>
        </w:tc>
        <w:tc>
          <w:tcPr>
            <w:tcW w:w="6836" w:type="dxa"/>
            <w:shd w:val="clear" w:color="auto" w:fill="auto"/>
          </w:tcPr>
          <w:p w14:paraId="5AB8C747" w14:textId="77777777" w:rsidR="00241CA3" w:rsidRPr="00DD47DF" w:rsidRDefault="00241CA3" w:rsidP="00142A82">
            <w:pPr>
              <w:pStyle w:val="Tabulka"/>
              <w:jc w:val="left"/>
              <w:rPr>
                <w:rFonts w:cs="Calibri"/>
              </w:rPr>
            </w:pPr>
            <w:r w:rsidRPr="00DD47DF">
              <w:rPr>
                <w:rFonts w:cs="Calibri"/>
              </w:rPr>
              <w:t>Posuzování vlivů koncepce na životní prostředí</w:t>
            </w:r>
          </w:p>
        </w:tc>
      </w:tr>
      <w:tr w:rsidR="00A83DD9" w:rsidRPr="00DD47DF" w14:paraId="62A71AAB" w14:textId="77777777">
        <w:tc>
          <w:tcPr>
            <w:tcW w:w="2376" w:type="dxa"/>
            <w:shd w:val="clear" w:color="auto" w:fill="auto"/>
          </w:tcPr>
          <w:p w14:paraId="0D912828" w14:textId="77777777" w:rsidR="00A83DD9" w:rsidRPr="00DD47DF" w:rsidRDefault="00A83DD9" w:rsidP="00142A82">
            <w:pPr>
              <w:pStyle w:val="Tabulka"/>
              <w:jc w:val="left"/>
              <w:rPr>
                <w:rFonts w:cs="Calibri"/>
              </w:rPr>
            </w:pPr>
            <w:r w:rsidRPr="00DD47DF">
              <w:rPr>
                <w:rFonts w:cs="Calibri"/>
              </w:rPr>
              <w:t>SEI</w:t>
            </w:r>
          </w:p>
        </w:tc>
        <w:tc>
          <w:tcPr>
            <w:tcW w:w="6836" w:type="dxa"/>
            <w:shd w:val="clear" w:color="auto" w:fill="auto"/>
          </w:tcPr>
          <w:p w14:paraId="14BE4699" w14:textId="77777777" w:rsidR="00A83DD9" w:rsidRPr="00DD47DF" w:rsidRDefault="00A83DD9" w:rsidP="00142A82">
            <w:pPr>
              <w:pStyle w:val="Tabulka"/>
              <w:jc w:val="left"/>
              <w:rPr>
                <w:rFonts w:cs="Calibri"/>
              </w:rPr>
            </w:pPr>
            <w:r w:rsidRPr="00DD47DF">
              <w:rPr>
                <w:rFonts w:cs="Calibri"/>
              </w:rPr>
              <w:t>Státní energetická inspekce ČR</w:t>
            </w:r>
          </w:p>
        </w:tc>
      </w:tr>
      <w:tr w:rsidR="00241CA3" w:rsidRPr="00DD47DF" w14:paraId="63C5CE52" w14:textId="77777777">
        <w:tc>
          <w:tcPr>
            <w:tcW w:w="2376" w:type="dxa"/>
            <w:shd w:val="clear" w:color="auto" w:fill="auto"/>
          </w:tcPr>
          <w:p w14:paraId="3FB71013" w14:textId="77777777" w:rsidR="00241CA3" w:rsidRPr="00DD47DF" w:rsidRDefault="00241CA3" w:rsidP="00142A82">
            <w:pPr>
              <w:pStyle w:val="Tabulka"/>
              <w:jc w:val="left"/>
              <w:rPr>
                <w:rFonts w:cs="Calibri"/>
              </w:rPr>
            </w:pPr>
            <w:r w:rsidRPr="00DD47DF">
              <w:rPr>
                <w:rFonts w:cs="Calibri"/>
              </w:rPr>
              <w:t>SEK</w:t>
            </w:r>
          </w:p>
        </w:tc>
        <w:tc>
          <w:tcPr>
            <w:tcW w:w="6836" w:type="dxa"/>
            <w:shd w:val="clear" w:color="auto" w:fill="auto"/>
          </w:tcPr>
          <w:p w14:paraId="6CF08FB4" w14:textId="77777777" w:rsidR="00241CA3" w:rsidRPr="00DD47DF" w:rsidRDefault="00241CA3" w:rsidP="00142A82">
            <w:pPr>
              <w:pStyle w:val="Tabulka"/>
              <w:jc w:val="left"/>
              <w:rPr>
                <w:rFonts w:cs="Calibri"/>
              </w:rPr>
            </w:pPr>
            <w:r w:rsidRPr="00DD47DF">
              <w:rPr>
                <w:rFonts w:cs="Calibri"/>
              </w:rPr>
              <w:t>Státní energetická koncepce ČR</w:t>
            </w:r>
          </w:p>
        </w:tc>
      </w:tr>
      <w:tr w:rsidR="00241CA3" w:rsidRPr="00DD47DF" w14:paraId="4501728B" w14:textId="77777777">
        <w:tc>
          <w:tcPr>
            <w:tcW w:w="2376" w:type="dxa"/>
            <w:shd w:val="clear" w:color="auto" w:fill="auto"/>
          </w:tcPr>
          <w:p w14:paraId="36890937" w14:textId="77777777" w:rsidR="00241CA3" w:rsidRPr="00DD47DF" w:rsidRDefault="00241CA3" w:rsidP="00142A82">
            <w:pPr>
              <w:pStyle w:val="Tabulka"/>
              <w:jc w:val="left"/>
              <w:rPr>
                <w:rFonts w:cs="Calibri"/>
              </w:rPr>
            </w:pPr>
            <w:r w:rsidRPr="00DD47DF">
              <w:rPr>
                <w:rFonts w:cs="Calibri"/>
              </w:rPr>
              <w:t>SFEU</w:t>
            </w:r>
          </w:p>
        </w:tc>
        <w:tc>
          <w:tcPr>
            <w:tcW w:w="6836" w:type="dxa"/>
            <w:shd w:val="clear" w:color="auto" w:fill="auto"/>
          </w:tcPr>
          <w:p w14:paraId="42334C43" w14:textId="77777777" w:rsidR="00241CA3" w:rsidRPr="00DD47DF" w:rsidRDefault="00241CA3" w:rsidP="00142A82">
            <w:pPr>
              <w:pStyle w:val="Tabulka"/>
              <w:jc w:val="left"/>
              <w:rPr>
                <w:rFonts w:cs="Calibri"/>
              </w:rPr>
            </w:pPr>
            <w:r w:rsidRPr="00DD47DF">
              <w:rPr>
                <w:rFonts w:cs="Calibri"/>
              </w:rPr>
              <w:t>Smlouva o fungování EU</w:t>
            </w:r>
          </w:p>
        </w:tc>
      </w:tr>
      <w:tr w:rsidR="00241CA3" w:rsidRPr="00DD47DF" w14:paraId="5101A798" w14:textId="77777777">
        <w:tc>
          <w:tcPr>
            <w:tcW w:w="2376" w:type="dxa"/>
            <w:shd w:val="clear" w:color="auto" w:fill="auto"/>
          </w:tcPr>
          <w:p w14:paraId="63940DEB" w14:textId="77777777" w:rsidR="00241CA3" w:rsidRPr="00DD47DF" w:rsidRDefault="00241CA3" w:rsidP="00142A82">
            <w:pPr>
              <w:pStyle w:val="Tabulka"/>
              <w:jc w:val="left"/>
              <w:rPr>
                <w:rFonts w:cs="Calibri"/>
              </w:rPr>
            </w:pPr>
            <w:r w:rsidRPr="00DD47DF">
              <w:rPr>
                <w:rFonts w:cs="Calibri"/>
              </w:rPr>
              <w:t>SMK</w:t>
            </w:r>
          </w:p>
        </w:tc>
        <w:tc>
          <w:tcPr>
            <w:tcW w:w="6836" w:type="dxa"/>
            <w:shd w:val="clear" w:color="auto" w:fill="auto"/>
          </w:tcPr>
          <w:p w14:paraId="41E6DEE4" w14:textId="77777777" w:rsidR="00241CA3" w:rsidRPr="00DD47DF" w:rsidRDefault="00241CA3" w:rsidP="00142A82">
            <w:pPr>
              <w:pStyle w:val="Tabulka"/>
              <w:jc w:val="left"/>
              <w:rPr>
                <w:rFonts w:cs="Calibri"/>
              </w:rPr>
            </w:pPr>
            <w:r w:rsidRPr="00DD47DF">
              <w:rPr>
                <w:rFonts w:cs="Calibri"/>
              </w:rPr>
              <w:t>Strategie mezinárodní konkurenceschopnosti ČR</w:t>
            </w:r>
          </w:p>
        </w:tc>
      </w:tr>
      <w:tr w:rsidR="00241CA3" w:rsidRPr="00DD47DF" w14:paraId="604350A0" w14:textId="77777777">
        <w:tc>
          <w:tcPr>
            <w:tcW w:w="2376" w:type="dxa"/>
            <w:shd w:val="clear" w:color="auto" w:fill="auto"/>
          </w:tcPr>
          <w:p w14:paraId="47875918" w14:textId="77777777" w:rsidR="00241CA3" w:rsidRPr="00DD47DF" w:rsidRDefault="00241CA3" w:rsidP="00142A82">
            <w:pPr>
              <w:pStyle w:val="Tabulka"/>
              <w:jc w:val="left"/>
              <w:rPr>
                <w:rFonts w:cs="Calibri"/>
              </w:rPr>
            </w:pPr>
            <w:r w:rsidRPr="00DD47DF">
              <w:rPr>
                <w:rFonts w:cs="Calibri"/>
              </w:rPr>
              <w:t>SRR</w:t>
            </w:r>
          </w:p>
        </w:tc>
        <w:tc>
          <w:tcPr>
            <w:tcW w:w="6836" w:type="dxa"/>
            <w:shd w:val="clear" w:color="auto" w:fill="auto"/>
          </w:tcPr>
          <w:p w14:paraId="2E71D69F" w14:textId="77777777" w:rsidR="00241CA3" w:rsidRPr="00DD47DF" w:rsidRDefault="00241CA3" w:rsidP="00142A82">
            <w:pPr>
              <w:pStyle w:val="Tabulka"/>
              <w:jc w:val="left"/>
              <w:rPr>
                <w:rFonts w:cs="Calibri"/>
              </w:rPr>
            </w:pPr>
            <w:r w:rsidRPr="00DD47DF">
              <w:rPr>
                <w:rFonts w:cs="Calibri"/>
              </w:rPr>
              <w:t>Strategie regionálního rozvoje ČR pro období 2014 – 2020</w:t>
            </w:r>
          </w:p>
        </w:tc>
      </w:tr>
      <w:tr w:rsidR="00241CA3" w:rsidRPr="00DD47DF" w14:paraId="282BDC9D" w14:textId="77777777">
        <w:tc>
          <w:tcPr>
            <w:tcW w:w="2376" w:type="dxa"/>
            <w:shd w:val="clear" w:color="auto" w:fill="auto"/>
          </w:tcPr>
          <w:p w14:paraId="1178F32D" w14:textId="77777777" w:rsidR="00241CA3" w:rsidRPr="00DD47DF" w:rsidRDefault="00241CA3" w:rsidP="00142A82">
            <w:pPr>
              <w:pStyle w:val="Tabulka"/>
              <w:jc w:val="left"/>
              <w:rPr>
                <w:rFonts w:cs="Calibri"/>
              </w:rPr>
            </w:pPr>
            <w:r w:rsidRPr="00DD47DF">
              <w:rPr>
                <w:rFonts w:cs="Calibri"/>
              </w:rPr>
              <w:t>SRUR</w:t>
            </w:r>
          </w:p>
        </w:tc>
        <w:tc>
          <w:tcPr>
            <w:tcW w:w="6836" w:type="dxa"/>
            <w:shd w:val="clear" w:color="auto" w:fill="auto"/>
          </w:tcPr>
          <w:p w14:paraId="6815D226" w14:textId="77777777" w:rsidR="00241CA3" w:rsidRPr="00DD47DF" w:rsidRDefault="00241CA3" w:rsidP="00142A82">
            <w:pPr>
              <w:pStyle w:val="Tabulka"/>
              <w:jc w:val="left"/>
              <w:rPr>
                <w:rFonts w:cs="Calibri"/>
              </w:rPr>
            </w:pPr>
            <w:r w:rsidRPr="00DD47DF">
              <w:rPr>
                <w:rFonts w:cs="Calibri"/>
              </w:rPr>
              <w:t>Strategický rámec udržitelného rozvoje ČR</w:t>
            </w:r>
          </w:p>
        </w:tc>
      </w:tr>
      <w:tr w:rsidR="00241CA3" w:rsidRPr="00DD47DF" w14:paraId="63A972AE" w14:textId="77777777">
        <w:tc>
          <w:tcPr>
            <w:tcW w:w="2376" w:type="dxa"/>
            <w:shd w:val="clear" w:color="auto" w:fill="auto"/>
          </w:tcPr>
          <w:p w14:paraId="35BB4096" w14:textId="77777777" w:rsidR="00241CA3" w:rsidRPr="00DD47DF" w:rsidRDefault="00241CA3" w:rsidP="00142A82">
            <w:pPr>
              <w:pStyle w:val="Tabulka"/>
              <w:jc w:val="left"/>
              <w:rPr>
                <w:rFonts w:cs="Calibri"/>
              </w:rPr>
            </w:pPr>
            <w:r w:rsidRPr="00DD47DF">
              <w:rPr>
                <w:rFonts w:cs="Calibri"/>
              </w:rPr>
              <w:t>SSR</w:t>
            </w:r>
          </w:p>
        </w:tc>
        <w:tc>
          <w:tcPr>
            <w:tcW w:w="6836" w:type="dxa"/>
            <w:shd w:val="clear" w:color="auto" w:fill="auto"/>
          </w:tcPr>
          <w:p w14:paraId="6BA99441" w14:textId="77777777" w:rsidR="00241CA3" w:rsidRPr="00DD47DF" w:rsidRDefault="00241CA3" w:rsidP="00142A82">
            <w:pPr>
              <w:pStyle w:val="Tabulka"/>
              <w:jc w:val="left"/>
              <w:rPr>
                <w:rFonts w:cs="Calibri"/>
              </w:rPr>
            </w:pPr>
            <w:r w:rsidRPr="00DD47DF">
              <w:rPr>
                <w:rFonts w:cs="Calibri"/>
              </w:rPr>
              <w:t>Společný strategický rámec</w:t>
            </w:r>
          </w:p>
        </w:tc>
      </w:tr>
      <w:tr w:rsidR="0037504E" w:rsidRPr="00DD47DF" w14:paraId="553A2D9D" w14:textId="77777777">
        <w:tc>
          <w:tcPr>
            <w:tcW w:w="2376" w:type="dxa"/>
            <w:shd w:val="clear" w:color="auto" w:fill="auto"/>
          </w:tcPr>
          <w:p w14:paraId="76A15ACB" w14:textId="77777777" w:rsidR="0037504E" w:rsidRPr="00DD47DF" w:rsidRDefault="0037504E" w:rsidP="00142A82">
            <w:pPr>
              <w:pStyle w:val="Tabulka"/>
              <w:jc w:val="left"/>
              <w:rPr>
                <w:rFonts w:cs="Calibri"/>
              </w:rPr>
            </w:pPr>
            <w:r w:rsidRPr="00DD47DF">
              <w:rPr>
                <w:rFonts w:cs="Calibri"/>
              </w:rPr>
              <w:t>SÚPM-SVČ</w:t>
            </w:r>
          </w:p>
        </w:tc>
        <w:tc>
          <w:tcPr>
            <w:tcW w:w="6836" w:type="dxa"/>
            <w:shd w:val="clear" w:color="auto" w:fill="auto"/>
          </w:tcPr>
          <w:p w14:paraId="272518EE" w14:textId="77777777" w:rsidR="0037504E" w:rsidRPr="00DD47DF" w:rsidRDefault="0037504E" w:rsidP="00142A82">
            <w:pPr>
              <w:pStyle w:val="Tabulka"/>
              <w:jc w:val="left"/>
              <w:rPr>
                <w:rFonts w:cs="Calibri"/>
              </w:rPr>
            </w:pPr>
            <w:r w:rsidRPr="00DD47DF">
              <w:rPr>
                <w:rFonts w:cs="Calibri"/>
              </w:rPr>
              <w:t>Společensky účelné pracovní místo zřízené uchazečem o zaměstnání za účelem výkonu samostatně výdělečné činnosti</w:t>
            </w:r>
          </w:p>
        </w:tc>
      </w:tr>
      <w:tr w:rsidR="00241CA3" w:rsidRPr="00DD47DF" w14:paraId="4876295D" w14:textId="77777777">
        <w:tc>
          <w:tcPr>
            <w:tcW w:w="2376" w:type="dxa"/>
            <w:shd w:val="clear" w:color="auto" w:fill="auto"/>
          </w:tcPr>
          <w:p w14:paraId="33F4C0FE" w14:textId="77777777" w:rsidR="00241CA3" w:rsidRPr="00DD47DF" w:rsidRDefault="00241CA3" w:rsidP="00142A82">
            <w:pPr>
              <w:pStyle w:val="Tabulka"/>
              <w:jc w:val="left"/>
              <w:rPr>
                <w:rFonts w:cs="Calibri"/>
              </w:rPr>
            </w:pPr>
            <w:r w:rsidRPr="00DD47DF">
              <w:rPr>
                <w:rFonts w:cs="Calibri"/>
              </w:rPr>
              <w:t>TA ČR</w:t>
            </w:r>
          </w:p>
        </w:tc>
        <w:tc>
          <w:tcPr>
            <w:tcW w:w="6836" w:type="dxa"/>
            <w:shd w:val="clear" w:color="auto" w:fill="auto"/>
          </w:tcPr>
          <w:p w14:paraId="4F9CABC3" w14:textId="77777777" w:rsidR="00241CA3" w:rsidRPr="00DD47DF" w:rsidRDefault="00241CA3" w:rsidP="00142A82">
            <w:pPr>
              <w:pStyle w:val="Tabulka"/>
              <w:jc w:val="left"/>
              <w:rPr>
                <w:rFonts w:cs="Calibri"/>
              </w:rPr>
            </w:pPr>
            <w:r w:rsidRPr="00DD47DF">
              <w:rPr>
                <w:rFonts w:cs="Calibri"/>
              </w:rPr>
              <w:t>Technologická agentura České republiky</w:t>
            </w:r>
          </w:p>
        </w:tc>
      </w:tr>
      <w:tr w:rsidR="00241CA3" w:rsidRPr="00DD47DF" w14:paraId="439F5DA4" w14:textId="77777777">
        <w:tc>
          <w:tcPr>
            <w:tcW w:w="2376" w:type="dxa"/>
            <w:shd w:val="clear" w:color="auto" w:fill="auto"/>
          </w:tcPr>
          <w:p w14:paraId="781DA03C" w14:textId="77777777" w:rsidR="00241CA3" w:rsidRPr="00DD47DF" w:rsidRDefault="00241CA3" w:rsidP="00142A82">
            <w:pPr>
              <w:pStyle w:val="Tabulka"/>
              <w:jc w:val="left"/>
              <w:rPr>
                <w:rFonts w:cs="Calibri"/>
              </w:rPr>
            </w:pPr>
            <w:r w:rsidRPr="00DD47DF">
              <w:rPr>
                <w:rFonts w:cs="Calibri"/>
              </w:rPr>
              <w:t>TC</w:t>
            </w:r>
          </w:p>
        </w:tc>
        <w:tc>
          <w:tcPr>
            <w:tcW w:w="6836" w:type="dxa"/>
            <w:shd w:val="clear" w:color="auto" w:fill="auto"/>
          </w:tcPr>
          <w:p w14:paraId="23991AA1" w14:textId="77777777" w:rsidR="00241CA3" w:rsidRPr="00DD47DF" w:rsidRDefault="00241CA3" w:rsidP="00142A82">
            <w:pPr>
              <w:pStyle w:val="Tabulka"/>
              <w:jc w:val="left"/>
              <w:rPr>
                <w:rFonts w:cs="Calibri"/>
              </w:rPr>
            </w:pPr>
            <w:r w:rsidRPr="00DD47DF">
              <w:rPr>
                <w:rFonts w:cs="Calibri"/>
              </w:rPr>
              <w:t>Tematický cíl</w:t>
            </w:r>
          </w:p>
        </w:tc>
      </w:tr>
      <w:tr w:rsidR="00241CA3" w:rsidRPr="00DD47DF" w14:paraId="67BA917F" w14:textId="77777777">
        <w:tc>
          <w:tcPr>
            <w:tcW w:w="2376" w:type="dxa"/>
            <w:shd w:val="clear" w:color="auto" w:fill="auto"/>
          </w:tcPr>
          <w:p w14:paraId="53D83D89" w14:textId="77777777" w:rsidR="00241CA3" w:rsidRPr="00DD47DF" w:rsidRDefault="00241CA3" w:rsidP="00142A82">
            <w:pPr>
              <w:pStyle w:val="Tabulka"/>
              <w:jc w:val="left"/>
              <w:rPr>
                <w:rFonts w:cs="Calibri"/>
              </w:rPr>
            </w:pPr>
            <w:r w:rsidRPr="00DD47DF">
              <w:rPr>
                <w:rFonts w:cs="Calibri"/>
              </w:rPr>
              <w:t>TC AV</w:t>
            </w:r>
          </w:p>
        </w:tc>
        <w:tc>
          <w:tcPr>
            <w:tcW w:w="6836" w:type="dxa"/>
            <w:shd w:val="clear" w:color="auto" w:fill="auto"/>
          </w:tcPr>
          <w:p w14:paraId="29BD8C42" w14:textId="77777777" w:rsidR="00241CA3" w:rsidRPr="00DD47DF" w:rsidRDefault="00241CA3" w:rsidP="00142A82">
            <w:pPr>
              <w:pStyle w:val="Tabulka"/>
              <w:jc w:val="left"/>
              <w:rPr>
                <w:rFonts w:cs="Calibri"/>
              </w:rPr>
            </w:pPr>
            <w:r w:rsidRPr="00DD47DF">
              <w:rPr>
                <w:rFonts w:cs="Calibri"/>
              </w:rPr>
              <w:t>Technologické centrum Akademie věd ČR</w:t>
            </w:r>
          </w:p>
        </w:tc>
      </w:tr>
      <w:tr w:rsidR="00241CA3" w:rsidRPr="00DD47DF" w14:paraId="4A29BE53" w14:textId="77777777">
        <w:tc>
          <w:tcPr>
            <w:tcW w:w="2376" w:type="dxa"/>
            <w:shd w:val="clear" w:color="auto" w:fill="auto"/>
          </w:tcPr>
          <w:p w14:paraId="7B6CA6F3" w14:textId="77777777" w:rsidR="00241CA3" w:rsidRPr="00DD47DF" w:rsidRDefault="00241CA3" w:rsidP="00142A82">
            <w:pPr>
              <w:pStyle w:val="Tabulka"/>
              <w:jc w:val="left"/>
              <w:rPr>
                <w:rFonts w:cs="Calibri"/>
              </w:rPr>
            </w:pPr>
            <w:r w:rsidRPr="00DD47DF">
              <w:rPr>
                <w:rFonts w:cs="Calibri"/>
              </w:rPr>
              <w:t>ÚOHS</w:t>
            </w:r>
          </w:p>
        </w:tc>
        <w:tc>
          <w:tcPr>
            <w:tcW w:w="6836" w:type="dxa"/>
            <w:shd w:val="clear" w:color="auto" w:fill="auto"/>
          </w:tcPr>
          <w:p w14:paraId="124DB51C" w14:textId="77777777" w:rsidR="00241CA3" w:rsidRPr="00DD47DF" w:rsidRDefault="00241CA3" w:rsidP="00142A82">
            <w:pPr>
              <w:pStyle w:val="Tabulka"/>
              <w:jc w:val="left"/>
              <w:rPr>
                <w:rFonts w:cs="Calibri"/>
              </w:rPr>
            </w:pPr>
            <w:r w:rsidRPr="00DD47DF">
              <w:rPr>
                <w:rFonts w:cs="Calibri"/>
              </w:rPr>
              <w:t>Úřad pro ochranu hospodářské soutěže</w:t>
            </w:r>
          </w:p>
        </w:tc>
      </w:tr>
      <w:tr w:rsidR="00E94BD9" w:rsidRPr="00DD47DF" w14:paraId="08342CEC" w14:textId="77777777">
        <w:tc>
          <w:tcPr>
            <w:tcW w:w="2376" w:type="dxa"/>
            <w:shd w:val="clear" w:color="auto" w:fill="auto"/>
          </w:tcPr>
          <w:p w14:paraId="3E77571C" w14:textId="77777777" w:rsidR="00E94BD9" w:rsidRPr="00DD47DF" w:rsidRDefault="00E94BD9" w:rsidP="00142A82">
            <w:pPr>
              <w:pStyle w:val="Tabulka"/>
              <w:jc w:val="left"/>
              <w:rPr>
                <w:rFonts w:cs="Calibri"/>
              </w:rPr>
            </w:pPr>
            <w:r w:rsidRPr="00DD47DF">
              <w:rPr>
                <w:rFonts w:cs="Calibri"/>
              </w:rPr>
              <w:t>ÚP ČP</w:t>
            </w:r>
          </w:p>
        </w:tc>
        <w:tc>
          <w:tcPr>
            <w:tcW w:w="6836" w:type="dxa"/>
            <w:shd w:val="clear" w:color="auto" w:fill="auto"/>
          </w:tcPr>
          <w:p w14:paraId="0355A8AA" w14:textId="77777777" w:rsidR="00E94BD9" w:rsidRPr="00DD47DF" w:rsidRDefault="00E94BD9" w:rsidP="00142A82">
            <w:pPr>
              <w:pStyle w:val="Tabulka"/>
              <w:jc w:val="left"/>
              <w:rPr>
                <w:rFonts w:cs="Calibri"/>
              </w:rPr>
            </w:pPr>
            <w:r w:rsidRPr="00DD47DF">
              <w:rPr>
                <w:rFonts w:cs="Calibri"/>
              </w:rPr>
              <w:t xml:space="preserve">Úřad práce </w:t>
            </w:r>
            <w:r w:rsidR="002D1B8D" w:rsidRPr="00DD47DF">
              <w:rPr>
                <w:rFonts w:cs="Calibri"/>
              </w:rPr>
              <w:t>Č</w:t>
            </w:r>
            <w:r w:rsidRPr="00DD47DF">
              <w:rPr>
                <w:rFonts w:cs="Calibri"/>
              </w:rPr>
              <w:t>eské republiky</w:t>
            </w:r>
          </w:p>
        </w:tc>
      </w:tr>
      <w:tr w:rsidR="00241CA3" w:rsidRPr="00DD47DF" w14:paraId="0B265F45" w14:textId="77777777">
        <w:tc>
          <w:tcPr>
            <w:tcW w:w="2376" w:type="dxa"/>
            <w:shd w:val="clear" w:color="auto" w:fill="auto"/>
          </w:tcPr>
          <w:p w14:paraId="54ABFED3" w14:textId="77777777" w:rsidR="00241CA3" w:rsidRPr="00DD47DF" w:rsidRDefault="00241CA3" w:rsidP="00142A82">
            <w:pPr>
              <w:pStyle w:val="Tabulka"/>
              <w:jc w:val="left"/>
              <w:rPr>
                <w:rFonts w:cs="Calibri"/>
              </w:rPr>
            </w:pPr>
            <w:r w:rsidRPr="00DD47DF">
              <w:rPr>
                <w:rFonts w:cs="Calibri"/>
              </w:rPr>
              <w:t>UV</w:t>
            </w:r>
          </w:p>
        </w:tc>
        <w:tc>
          <w:tcPr>
            <w:tcW w:w="6836" w:type="dxa"/>
            <w:shd w:val="clear" w:color="auto" w:fill="auto"/>
          </w:tcPr>
          <w:p w14:paraId="655BBB1E" w14:textId="77777777" w:rsidR="00241CA3" w:rsidRPr="00DD47DF" w:rsidRDefault="00241CA3" w:rsidP="00142A82">
            <w:pPr>
              <w:pStyle w:val="Tabulka"/>
              <w:jc w:val="left"/>
              <w:rPr>
                <w:rFonts w:cs="Calibri"/>
              </w:rPr>
            </w:pPr>
            <w:r w:rsidRPr="00DD47DF">
              <w:rPr>
                <w:rFonts w:cs="Calibri"/>
              </w:rPr>
              <w:t>Usnesení vlády ČR</w:t>
            </w:r>
          </w:p>
        </w:tc>
      </w:tr>
      <w:tr w:rsidR="00241CA3" w:rsidRPr="00DD47DF" w14:paraId="7E59A9F5" w14:textId="77777777">
        <w:tc>
          <w:tcPr>
            <w:tcW w:w="2376" w:type="dxa"/>
            <w:shd w:val="clear" w:color="auto" w:fill="auto"/>
          </w:tcPr>
          <w:p w14:paraId="5A2186B9" w14:textId="77777777" w:rsidR="00241CA3" w:rsidRPr="00DD47DF" w:rsidRDefault="00241CA3" w:rsidP="00142A82">
            <w:pPr>
              <w:pStyle w:val="Tabulka"/>
              <w:jc w:val="left"/>
              <w:rPr>
                <w:rFonts w:cs="Calibri"/>
              </w:rPr>
            </w:pPr>
            <w:r w:rsidRPr="00DD47DF">
              <w:rPr>
                <w:rFonts w:cs="Calibri"/>
              </w:rPr>
              <w:t>ÚV</w:t>
            </w:r>
            <w:r w:rsidR="00DC60E3" w:rsidRPr="00DD47DF">
              <w:rPr>
                <w:rFonts w:cs="Calibri"/>
              </w:rPr>
              <w:t xml:space="preserve"> ČR</w:t>
            </w:r>
          </w:p>
        </w:tc>
        <w:tc>
          <w:tcPr>
            <w:tcW w:w="6836" w:type="dxa"/>
            <w:shd w:val="clear" w:color="auto" w:fill="auto"/>
          </w:tcPr>
          <w:p w14:paraId="533A4AF0" w14:textId="77777777" w:rsidR="00241CA3" w:rsidRPr="00DD47DF" w:rsidRDefault="00241CA3" w:rsidP="00142A82">
            <w:pPr>
              <w:pStyle w:val="Tabulka"/>
              <w:jc w:val="left"/>
              <w:rPr>
                <w:rFonts w:cs="Calibri"/>
              </w:rPr>
            </w:pPr>
            <w:r w:rsidRPr="00DD47DF">
              <w:rPr>
                <w:rFonts w:cs="Calibri"/>
              </w:rPr>
              <w:t xml:space="preserve">Úřad vlády </w:t>
            </w:r>
            <w:r w:rsidR="0048329A" w:rsidRPr="00DD47DF">
              <w:rPr>
                <w:rFonts w:cs="Calibri"/>
              </w:rPr>
              <w:t>Č</w:t>
            </w:r>
            <w:r w:rsidR="00DC60E3" w:rsidRPr="00DD47DF">
              <w:rPr>
                <w:rFonts w:cs="Calibri"/>
              </w:rPr>
              <w:t>eské republiky</w:t>
            </w:r>
          </w:p>
        </w:tc>
      </w:tr>
      <w:tr w:rsidR="00241CA3" w:rsidRPr="00DD47DF" w14:paraId="35812A13" w14:textId="77777777">
        <w:tc>
          <w:tcPr>
            <w:tcW w:w="2376" w:type="dxa"/>
            <w:shd w:val="clear" w:color="auto" w:fill="auto"/>
          </w:tcPr>
          <w:p w14:paraId="50DA14DD" w14:textId="77777777" w:rsidR="00241CA3" w:rsidRPr="00DD47DF" w:rsidRDefault="00241CA3" w:rsidP="00142A82">
            <w:pPr>
              <w:pStyle w:val="Tabulka"/>
              <w:jc w:val="left"/>
              <w:rPr>
                <w:rFonts w:cs="Calibri"/>
              </w:rPr>
            </w:pPr>
            <w:r w:rsidRPr="00DD47DF">
              <w:rPr>
                <w:rFonts w:cs="Calibri"/>
              </w:rPr>
              <w:t>VaVaI</w:t>
            </w:r>
          </w:p>
        </w:tc>
        <w:tc>
          <w:tcPr>
            <w:tcW w:w="6836" w:type="dxa"/>
            <w:shd w:val="clear" w:color="auto" w:fill="auto"/>
          </w:tcPr>
          <w:p w14:paraId="595F3BAC" w14:textId="77777777" w:rsidR="00241CA3" w:rsidRPr="00DD47DF" w:rsidRDefault="00241CA3" w:rsidP="00142A82">
            <w:pPr>
              <w:pStyle w:val="Tabulka"/>
              <w:jc w:val="left"/>
              <w:rPr>
                <w:rFonts w:cs="Calibri"/>
              </w:rPr>
            </w:pPr>
            <w:r w:rsidRPr="00DD47DF">
              <w:rPr>
                <w:rFonts w:cs="Calibri"/>
              </w:rPr>
              <w:t>Výzkum, vývoj a inovace</w:t>
            </w:r>
          </w:p>
        </w:tc>
      </w:tr>
      <w:tr w:rsidR="00241CA3" w:rsidRPr="00DD47DF" w14:paraId="5480389C" w14:textId="77777777">
        <w:tc>
          <w:tcPr>
            <w:tcW w:w="2376" w:type="dxa"/>
            <w:shd w:val="clear" w:color="auto" w:fill="auto"/>
          </w:tcPr>
          <w:p w14:paraId="3737E6A8" w14:textId="77777777" w:rsidR="00241CA3" w:rsidRPr="00DD47DF" w:rsidRDefault="00241CA3" w:rsidP="00142A82">
            <w:pPr>
              <w:pStyle w:val="Tabulka"/>
              <w:jc w:val="left"/>
              <w:rPr>
                <w:rFonts w:cs="Calibri"/>
              </w:rPr>
            </w:pPr>
            <w:r w:rsidRPr="00DD47DF">
              <w:rPr>
                <w:rFonts w:cs="Calibri"/>
              </w:rPr>
              <w:t>VP</w:t>
            </w:r>
          </w:p>
        </w:tc>
        <w:tc>
          <w:tcPr>
            <w:tcW w:w="6836" w:type="dxa"/>
            <w:shd w:val="clear" w:color="auto" w:fill="auto"/>
          </w:tcPr>
          <w:p w14:paraId="76988701" w14:textId="77777777" w:rsidR="00241CA3" w:rsidRPr="00DD47DF" w:rsidRDefault="00241CA3" w:rsidP="00142A82">
            <w:pPr>
              <w:pStyle w:val="Tabulka"/>
              <w:jc w:val="left"/>
              <w:rPr>
                <w:rFonts w:cs="Calibri"/>
              </w:rPr>
            </w:pPr>
            <w:r w:rsidRPr="00DD47DF">
              <w:rPr>
                <w:rFonts w:cs="Calibri"/>
              </w:rPr>
              <w:t>Veřejná podpora</w:t>
            </w:r>
          </w:p>
        </w:tc>
      </w:tr>
      <w:tr w:rsidR="00414568" w:rsidRPr="00DD47DF" w14:paraId="5A2BBCF7" w14:textId="77777777">
        <w:tc>
          <w:tcPr>
            <w:tcW w:w="2376" w:type="dxa"/>
            <w:shd w:val="clear" w:color="auto" w:fill="auto"/>
          </w:tcPr>
          <w:p w14:paraId="56088D44" w14:textId="77777777" w:rsidR="009118D7" w:rsidRPr="00DD47DF" w:rsidRDefault="009118D7" w:rsidP="00142A82">
            <w:pPr>
              <w:pStyle w:val="Tabulka"/>
              <w:jc w:val="left"/>
              <w:rPr>
                <w:rFonts w:cs="Calibri"/>
              </w:rPr>
            </w:pPr>
            <w:r w:rsidRPr="00DD47DF">
              <w:rPr>
                <w:rFonts w:cs="Calibri"/>
              </w:rPr>
              <w:t>VŠE</w:t>
            </w:r>
          </w:p>
          <w:p w14:paraId="21204651" w14:textId="77777777" w:rsidR="00414568" w:rsidRPr="00DD47DF" w:rsidRDefault="00414568" w:rsidP="00142A82">
            <w:pPr>
              <w:pStyle w:val="Tabulka"/>
              <w:jc w:val="left"/>
              <w:rPr>
                <w:rFonts w:cs="Calibri"/>
              </w:rPr>
            </w:pPr>
            <w:r w:rsidRPr="00DD47DF">
              <w:rPr>
                <w:rFonts w:cs="Calibri"/>
              </w:rPr>
              <w:t>VTP</w:t>
            </w:r>
          </w:p>
        </w:tc>
        <w:tc>
          <w:tcPr>
            <w:tcW w:w="6836" w:type="dxa"/>
            <w:shd w:val="clear" w:color="auto" w:fill="auto"/>
          </w:tcPr>
          <w:p w14:paraId="6E365861" w14:textId="77777777" w:rsidR="009118D7" w:rsidRPr="00DD47DF" w:rsidRDefault="009118D7" w:rsidP="009118D7">
            <w:pPr>
              <w:pStyle w:val="Tabulka"/>
              <w:tabs>
                <w:tab w:val="left" w:pos="3388"/>
              </w:tabs>
              <w:jc w:val="left"/>
              <w:rPr>
                <w:rFonts w:cs="Calibri"/>
              </w:rPr>
            </w:pPr>
            <w:r w:rsidRPr="00DD47DF">
              <w:rPr>
                <w:rFonts w:cs="Calibri"/>
              </w:rPr>
              <w:t xml:space="preserve">Vysoká škola ekonomická </w:t>
            </w:r>
            <w:r w:rsidR="00120476" w:rsidRPr="00DD47DF">
              <w:rPr>
                <w:rFonts w:cs="Calibri"/>
              </w:rPr>
              <w:t xml:space="preserve">v </w:t>
            </w:r>
            <w:r w:rsidRPr="00DD47DF">
              <w:rPr>
                <w:rFonts w:cs="Calibri"/>
              </w:rPr>
              <w:t>Pra</w:t>
            </w:r>
            <w:r w:rsidR="00120476" w:rsidRPr="00DD47DF">
              <w:rPr>
                <w:rFonts w:cs="Calibri"/>
              </w:rPr>
              <w:t>ze</w:t>
            </w:r>
          </w:p>
          <w:p w14:paraId="35E981F7" w14:textId="77777777" w:rsidR="00414568" w:rsidRPr="00DD47DF" w:rsidRDefault="00414568" w:rsidP="00142A82">
            <w:pPr>
              <w:pStyle w:val="Tabulka"/>
              <w:jc w:val="left"/>
              <w:rPr>
                <w:rFonts w:cs="Calibri"/>
              </w:rPr>
            </w:pPr>
            <w:r w:rsidRPr="00DD47DF">
              <w:rPr>
                <w:rFonts w:cs="Calibri"/>
              </w:rPr>
              <w:t>Vědecko</w:t>
            </w:r>
            <w:r w:rsidR="0038384A" w:rsidRPr="00DD47DF">
              <w:rPr>
                <w:rFonts w:cs="Calibri"/>
              </w:rPr>
              <w:t>technický</w:t>
            </w:r>
            <w:r w:rsidRPr="00DD47DF">
              <w:rPr>
                <w:rFonts w:cs="Calibri"/>
              </w:rPr>
              <w:t xml:space="preserve"> park</w:t>
            </w:r>
          </w:p>
        </w:tc>
      </w:tr>
      <w:tr w:rsidR="00241CA3" w:rsidRPr="00DD47DF" w14:paraId="4AA9F6F1" w14:textId="77777777">
        <w:tc>
          <w:tcPr>
            <w:tcW w:w="2376" w:type="dxa"/>
            <w:shd w:val="clear" w:color="auto" w:fill="auto"/>
          </w:tcPr>
          <w:p w14:paraId="5AFD4092" w14:textId="77777777" w:rsidR="00241CA3" w:rsidRPr="00DD47DF" w:rsidRDefault="00241CA3" w:rsidP="00142A82">
            <w:pPr>
              <w:pStyle w:val="Tabulka"/>
              <w:jc w:val="left"/>
              <w:rPr>
                <w:rFonts w:cs="Calibri"/>
              </w:rPr>
            </w:pPr>
            <w:r w:rsidRPr="00DD47DF">
              <w:rPr>
                <w:rFonts w:cs="Calibri"/>
              </w:rPr>
              <w:t>VVI</w:t>
            </w:r>
          </w:p>
        </w:tc>
        <w:tc>
          <w:tcPr>
            <w:tcW w:w="6836" w:type="dxa"/>
            <w:shd w:val="clear" w:color="auto" w:fill="auto"/>
          </w:tcPr>
          <w:p w14:paraId="40A31002" w14:textId="77777777" w:rsidR="00241CA3" w:rsidRPr="00DD47DF" w:rsidRDefault="00241CA3" w:rsidP="00142A82">
            <w:pPr>
              <w:pStyle w:val="Tabulka"/>
              <w:jc w:val="left"/>
              <w:rPr>
                <w:rFonts w:cs="Calibri"/>
              </w:rPr>
            </w:pPr>
            <w:r w:rsidRPr="00DD47DF">
              <w:rPr>
                <w:rStyle w:val="st1"/>
                <w:szCs w:val="24"/>
              </w:rPr>
              <w:t xml:space="preserve">Veřejná výzkumná </w:t>
            </w:r>
            <w:r w:rsidRPr="00DD47DF">
              <w:rPr>
                <w:rStyle w:val="Zdraznn"/>
                <w:b w:val="0"/>
                <w:szCs w:val="24"/>
              </w:rPr>
              <w:t>instituce</w:t>
            </w:r>
          </w:p>
        </w:tc>
      </w:tr>
      <w:tr w:rsidR="0046425C" w:rsidRPr="00DD47DF" w14:paraId="2A20E599" w14:textId="77777777">
        <w:tc>
          <w:tcPr>
            <w:tcW w:w="2376" w:type="dxa"/>
            <w:shd w:val="clear" w:color="auto" w:fill="auto"/>
          </w:tcPr>
          <w:p w14:paraId="757349B3" w14:textId="77777777" w:rsidR="0046425C" w:rsidRPr="00DD47DF" w:rsidRDefault="0046425C" w:rsidP="00142A82">
            <w:pPr>
              <w:pStyle w:val="Tabulka"/>
              <w:jc w:val="left"/>
              <w:rPr>
                <w:rFonts w:cs="Calibri"/>
              </w:rPr>
            </w:pPr>
            <w:r w:rsidRPr="00DD47DF">
              <w:rPr>
                <w:rFonts w:cs="Calibri"/>
              </w:rPr>
              <w:t>ZS</w:t>
            </w:r>
          </w:p>
        </w:tc>
        <w:tc>
          <w:tcPr>
            <w:tcW w:w="6836" w:type="dxa"/>
            <w:shd w:val="clear" w:color="auto" w:fill="auto"/>
          </w:tcPr>
          <w:p w14:paraId="62DF432C" w14:textId="77777777" w:rsidR="0046425C" w:rsidRPr="00DD47DF" w:rsidRDefault="0046425C" w:rsidP="00142A82">
            <w:pPr>
              <w:pStyle w:val="Tabulka"/>
              <w:jc w:val="left"/>
              <w:rPr>
                <w:rStyle w:val="st1"/>
                <w:szCs w:val="24"/>
              </w:rPr>
            </w:pPr>
            <w:r w:rsidRPr="00DD47DF">
              <w:rPr>
                <w:rStyle w:val="st1"/>
                <w:szCs w:val="24"/>
              </w:rPr>
              <w:t>Zprostředkující subjekt</w:t>
            </w:r>
          </w:p>
        </w:tc>
      </w:tr>
    </w:tbl>
    <w:p w14:paraId="7BE1D78E" w14:textId="77777777" w:rsidR="00D44AFC" w:rsidRPr="00DD47DF" w:rsidRDefault="00D44AFC" w:rsidP="00D44AFC">
      <w:pPr>
        <w:rPr>
          <w:rFonts w:ascii="Calibri" w:hAnsi="Calibri" w:cs="Calibri"/>
        </w:rPr>
      </w:pPr>
      <w:r w:rsidRPr="00DD47DF">
        <w:rPr>
          <w:rFonts w:ascii="Calibri" w:hAnsi="Calibri" w:cs="Calibri"/>
        </w:rPr>
        <w:br w:type="page"/>
      </w:r>
    </w:p>
    <w:p w14:paraId="22174D96" w14:textId="77777777" w:rsidR="0029795B" w:rsidRPr="00DD47DF" w:rsidRDefault="00F203B2" w:rsidP="00F203B2">
      <w:pPr>
        <w:pStyle w:val="Nadpis1"/>
      </w:pPr>
      <w:bookmarkStart w:id="1" w:name="_Toc520445237"/>
      <w:r w:rsidRPr="00DD47DF">
        <w:lastRenderedPageBreak/>
        <w:t>Strategie, na jejímž základě bude operační program přispívat ke strategii Unie pro inteligentní a udržitelný růst podporující začlenění a k dosažení hospodářské, sociální a územní soudržnosti</w:t>
      </w:r>
      <w:bookmarkEnd w:id="1"/>
    </w:p>
    <w:p w14:paraId="730835A7" w14:textId="77777777" w:rsidR="00394685" w:rsidRPr="00DD47DF" w:rsidRDefault="00F203B2" w:rsidP="00F203B2">
      <w:pPr>
        <w:pStyle w:val="Nadpis2"/>
        <w:rPr>
          <w:rFonts w:cs="Calibri"/>
        </w:rPr>
      </w:pPr>
      <w:bookmarkStart w:id="2" w:name="_Toc520445238"/>
      <w:r w:rsidRPr="00DD47DF">
        <w:rPr>
          <w:rFonts w:cs="Calibri"/>
        </w:rPr>
        <w:t>Strategie, na jejímž základě bude operační program přispívat ke strategii Unie pro inteligentní a udržitelný růst podporující začlenění a k dosažení hospodářské, sociální a územní soudržnosti</w:t>
      </w:r>
      <w:bookmarkEnd w:id="2"/>
      <w:r w:rsidR="00394685" w:rsidRPr="00DD47DF">
        <w:rPr>
          <w:rFonts w:cs="Calibri"/>
        </w:rPr>
        <w:t xml:space="preserve"> </w:t>
      </w:r>
    </w:p>
    <w:p w14:paraId="1CFF306C" w14:textId="77777777" w:rsidR="00606523" w:rsidRPr="00DD47DF" w:rsidRDefault="00606523" w:rsidP="00405487">
      <w:pPr>
        <w:pStyle w:val="Nadpis3"/>
        <w:rPr>
          <w:rFonts w:cs="Calibri"/>
        </w:rPr>
      </w:pPr>
      <w:bookmarkStart w:id="3" w:name="_Toc520445239"/>
      <w:r w:rsidRPr="00DD47DF">
        <w:rPr>
          <w:rFonts w:cs="Calibri"/>
        </w:rPr>
        <w:t>Popis strategie programu, pokud jde o jeho příspěvek k plnění strategie Unie pro inteligentní a udržitelný růst podporující začlenění a k dosažení hospodářské, sociální a územní soudržnosti.</w:t>
      </w:r>
      <w:bookmarkEnd w:id="3"/>
    </w:p>
    <w:p w14:paraId="04F15051" w14:textId="77777777" w:rsidR="0040363A" w:rsidRPr="00DD47DF" w:rsidRDefault="0040363A" w:rsidP="00405487">
      <w:pPr>
        <w:pStyle w:val="Standardntext"/>
      </w:pPr>
      <w:r w:rsidRPr="00DD47DF">
        <w:rPr>
          <w:b/>
        </w:rPr>
        <w:t>Operační program Podnikání a inovace pro konkurenceschopnost 2014 - 2020</w:t>
      </w:r>
      <w:r w:rsidRPr="00DD47DF">
        <w:t xml:space="preserve"> („Operační program“ nebo „OP PIK“) je dokument vypracovaný Řídícím orgánem OP PIK (Ministerstvem průmyslu a obchodu, MPO) ve spolupráci s partnery, který stanovuje cíle a priority pro efektivní využívání Evropského fondu pro regionální rozvoj („EFRR“) za účelem dosažení konkurenceschopné a udržitelné ekonomiky založené na znalostech a inovacích. OP PIK je realizován v rámci cíle Investice pro růst a zaměstnanost politiky soudržnosti EU. OP PIK byl zpracován v souladu s čl. 27 obecného nařízení</w:t>
      </w:r>
      <w:r w:rsidRPr="00DD47DF">
        <w:rPr>
          <w:rStyle w:val="Znakapoznpodarou"/>
        </w:rPr>
        <w:footnoteReference w:id="2"/>
      </w:r>
      <w:r w:rsidRPr="00DD47DF">
        <w:t>, který stanovuje jeho obsah, a zároveň v souladu se šablonami Evropské komise („Komise“ nebo „EK“)</w:t>
      </w:r>
      <w:r w:rsidRPr="00DD47DF">
        <w:rPr>
          <w:rStyle w:val="Znakapoznpodarou"/>
        </w:rPr>
        <w:footnoteReference w:id="3"/>
      </w:r>
      <w:r w:rsidRPr="00DD47DF">
        <w:t xml:space="preserve">. V rámci uvedeného cíle bude OP PIK přispívat k naplňování tematických cílů 1 až 4 a tematického cíle 7 definovaných v čl. 9 návrhu obecného nařízení. </w:t>
      </w:r>
    </w:p>
    <w:p w14:paraId="38A2E5EE" w14:textId="77777777" w:rsidR="0040363A" w:rsidRPr="00DD47DF" w:rsidRDefault="0040363A" w:rsidP="0040363A">
      <w:pPr>
        <w:pStyle w:val="Standardntext"/>
      </w:pPr>
      <w:r w:rsidRPr="00DD47DF">
        <w:t xml:space="preserve">Operační program stanovuje strategii, na základě které bude přispívat ke Strategii Unie pro inteligentní a udržitelný růst podporující začlenění </w:t>
      </w:r>
      <w:r w:rsidRPr="00DD47DF">
        <w:rPr>
          <w:bCs/>
        </w:rPr>
        <w:t>(„</w:t>
      </w:r>
      <w:r w:rsidRPr="00DD47DF">
        <w:t>Strategie Evropa 2020“ nebo „EU 2020“)</w:t>
      </w:r>
      <w:r w:rsidRPr="00DD47DF">
        <w:rPr>
          <w:rStyle w:val="Znakapoznpodarou"/>
        </w:rPr>
        <w:footnoteReference w:id="4"/>
      </w:r>
      <w:r w:rsidRPr="00DD47DF">
        <w:t>, a která je v souladu s ustanoveními obsaženými v obecném nařízení a nařízení o EFRR</w:t>
      </w:r>
      <w:r w:rsidRPr="00DD47DF">
        <w:rPr>
          <w:rStyle w:val="Znakapoznpodarou"/>
        </w:rPr>
        <w:footnoteReference w:id="5"/>
      </w:r>
      <w:r w:rsidRPr="00DD47DF">
        <w:t xml:space="preserve"> a s obsahem Dohody o partnerství pro programové období 2014-2020 („Dohoda o partnerství“ nebo „Dohoda“).</w:t>
      </w:r>
    </w:p>
    <w:p w14:paraId="5C5B9F45" w14:textId="77777777" w:rsidR="009759AE" w:rsidRPr="00DD47DF" w:rsidRDefault="0040363A" w:rsidP="0040363A">
      <w:pPr>
        <w:pStyle w:val="Standardntext"/>
      </w:pPr>
      <w:r w:rsidRPr="00DD47DF">
        <w:t>Strategie OP PIK je založena na dvou pilířích, které se vzájemně protínají. Jedním jsou společné myšlenky a cíle vtělené do Strategie Evropa 2020 a druhým jsou priority a potřeby ČR identifikované ve strategických dokumentech na národní i evropské úrovni. Vazba OP PIK na klíčové strategické dokumenty je obsažena v Nepovinné příloze č. 2.</w:t>
      </w:r>
    </w:p>
    <w:p w14:paraId="41FA02AB" w14:textId="77777777" w:rsidR="0040363A" w:rsidRPr="00DD47DF" w:rsidRDefault="0040363A" w:rsidP="0040363A">
      <w:pPr>
        <w:pStyle w:val="Standardntext"/>
      </w:pPr>
      <w:r w:rsidRPr="00DD47DF">
        <w:t>Při stanovování strategie OP PIK byly zohledněny zkušenosti s přípravou a implementací operačních programů dvou předchozích programových období, OP Průmysl a podnikání 2004-</w:t>
      </w:r>
      <w:r w:rsidRPr="00DD47DF">
        <w:lastRenderedPageBreak/>
        <w:t>2006 a OP Podnikání a inovace 2007-2013</w:t>
      </w:r>
      <w:r w:rsidRPr="00DD47DF">
        <w:rPr>
          <w:rStyle w:val="Znakapoznpodarou"/>
        </w:rPr>
        <w:footnoteReference w:id="6"/>
      </w:r>
      <w:r w:rsidRPr="00DD47DF">
        <w:t>. Důležitý prvek představovaly diskuse s partnery, kteří se v rámci principu partnerství podíleli na přípravě Operačního programu.</w:t>
      </w:r>
    </w:p>
    <w:p w14:paraId="2F45237A" w14:textId="77777777" w:rsidR="000C1224" w:rsidRPr="00DD47DF" w:rsidRDefault="0040363A" w:rsidP="0040363A">
      <w:pPr>
        <w:pStyle w:val="Standardntext"/>
      </w:pPr>
      <w:r w:rsidRPr="00DD47DF">
        <w:t>Vysokou přidanou hodnotu z hlediska kvality programování přineslo předběžné hodnocení OP PIK, v rámci něhož byly posuzovány identifikované potřeby, navržená strategie a cíle Operačního programu, míra zohlednění priorit EU, systém přidělování a využití rozpočtových zdrojů, kvalita navržených postupů pro implementaci, monitorování, hodnocení a řízení Operačního programu či synergické efekty jednotlivých specifických cílů OP PIK v souladu s čl. 55 bodem 3 obecného nařízení. Zpráva z hodnocení a jeho shrnutí</w:t>
      </w:r>
      <w:r w:rsidRPr="00DD47DF">
        <w:rPr>
          <w:rStyle w:val="Znakapoznpodarou"/>
        </w:rPr>
        <w:footnoteReference w:id="7"/>
      </w:r>
      <w:r w:rsidRPr="00DD47DF">
        <w:t>, které je povinnou přílohou Operačního programu, je obsaženo v Příloze č. I.</w:t>
      </w:r>
    </w:p>
    <w:p w14:paraId="0A6ED27F" w14:textId="2D6B2619" w:rsidR="00E85A21" w:rsidRPr="00DD47DF" w:rsidRDefault="0040363A" w:rsidP="006707E9">
      <w:pPr>
        <w:spacing w:after="120"/>
        <w:jc w:val="both"/>
        <w:rPr>
          <w:sz w:val="24"/>
          <w:szCs w:val="24"/>
        </w:rPr>
      </w:pPr>
      <w:r w:rsidRPr="00DD47DF">
        <w:rPr>
          <w:sz w:val="24"/>
          <w:szCs w:val="24"/>
        </w:rPr>
        <w:t>OP PIK bude významně preferovat podporu malých a středních podniků („MSP“), které tvoří rozhodující podíl podnikatelských subjektů v ČR. Nicméně v oblasti přímých podpor investic bude v souladu s evropskou legislativou</w:t>
      </w:r>
      <w:r w:rsidRPr="00DD47DF">
        <w:rPr>
          <w:rStyle w:val="Znakapoznpodarou"/>
          <w:sz w:val="24"/>
          <w:szCs w:val="24"/>
        </w:rPr>
        <w:footnoteReference w:id="8"/>
      </w:r>
      <w:r w:rsidRPr="00DD47DF">
        <w:rPr>
          <w:sz w:val="24"/>
          <w:szCs w:val="24"/>
        </w:rPr>
        <w:t xml:space="preserve"> zohledňovat v PO 1, PO 3 a v PO 4 potřeby domácích firem nesplňujících evropskou definici MSP a jejich potenciál navázat na sebe MSP v rámci subdodavatelských vztahů. Při udělení podpory těmto podnikům budou striktně posuzovány vedlejší přínosy pro MSP a zároveň bude dbáno, aby podpora větším firmám neohrozila podstatně pracovní místa daného subjektu vytvořená dříve v jiných členských státech EU. </w:t>
      </w:r>
      <w:r w:rsidR="00563D07" w:rsidRPr="00563D07">
        <w:rPr>
          <w:sz w:val="24"/>
          <w:szCs w:val="24"/>
        </w:rPr>
        <w:t>Dotační podpora těchto firem nesmí překročit 20% plánované alokace pro PO 1, 40% plánované alokace pro PO 3 a 20% plánovaného přídělu pro PO 4 (kromě SO 4.1). Podíl podpory poskytované velkým podnikům bude sledován v rámci monitorování implementace programu. U projektů přímé spolupráce těchto podniků s malými a středními podniky a projektů, které jsou stoprocentně zaměřeny na životní prostředí (tj. s kódem intervence 065), spadajících pod SC 1.1, a dále projektů v rámci SC 1.2, SC 3.3, 3.5, 3.6 a 4.1 nebude podíl těchto firem omezen ani zvlášť sledován.</w:t>
      </w:r>
    </w:p>
    <w:p w14:paraId="588DF713" w14:textId="77777777" w:rsidR="007A0BCD" w:rsidRPr="00DD47DF" w:rsidRDefault="00BD427D" w:rsidP="00D20E3C">
      <w:pPr>
        <w:pStyle w:val="Standardntext"/>
      </w:pPr>
      <w:r w:rsidRPr="00DD47DF">
        <w:t>O</w:t>
      </w:r>
      <w:r w:rsidR="0040363A" w:rsidRPr="00DD47DF">
        <w:t>P PIK</w:t>
      </w:r>
      <w:r w:rsidRPr="00DD47DF">
        <w:t xml:space="preserve"> </w:t>
      </w:r>
      <w:r w:rsidR="00E85A21" w:rsidRPr="00DD47DF">
        <w:t xml:space="preserve">stojí na </w:t>
      </w:r>
      <w:r w:rsidR="00221FD6" w:rsidRPr="00DD47DF">
        <w:t>následujících</w:t>
      </w:r>
      <w:r w:rsidR="00E85A21" w:rsidRPr="00DD47DF">
        <w:t xml:space="preserve"> vzájemně se doplňujících prioritách, které přispívají k naplnění </w:t>
      </w:r>
      <w:r w:rsidR="0039342A" w:rsidRPr="00DD47DF">
        <w:t xml:space="preserve">výše formulovaného </w:t>
      </w:r>
      <w:r w:rsidR="00E85A21" w:rsidRPr="00DD47DF">
        <w:t>cíle</w:t>
      </w:r>
      <w:r w:rsidR="007A0BCD" w:rsidRPr="00DD47DF">
        <w:t>:</w:t>
      </w:r>
    </w:p>
    <w:p w14:paraId="594C82CC" w14:textId="77777777" w:rsidR="007A0BCD" w:rsidRPr="00DD47DF" w:rsidRDefault="007A0BCD" w:rsidP="002908E2">
      <w:pPr>
        <w:pStyle w:val="Standardntext"/>
        <w:numPr>
          <w:ilvl w:val="0"/>
          <w:numId w:val="33"/>
        </w:numPr>
      </w:pPr>
      <w:r w:rsidRPr="00DD47DF">
        <w:t>Z</w:t>
      </w:r>
      <w:r w:rsidR="00BD427D" w:rsidRPr="00DD47DF">
        <w:t xml:space="preserve">výšení počtu </w:t>
      </w:r>
      <w:r w:rsidR="005821F5" w:rsidRPr="00DD47DF">
        <w:t>podniků</w:t>
      </w:r>
      <w:r w:rsidR="00BD427D" w:rsidRPr="00DD47DF">
        <w:t xml:space="preserve"> </w:t>
      </w:r>
      <w:r w:rsidR="009F527A" w:rsidRPr="00DD47DF">
        <w:rPr>
          <w:bCs/>
        </w:rPr>
        <w:t>s potenciálem posunout</w:t>
      </w:r>
      <w:r w:rsidR="00BD427D" w:rsidRPr="00DD47DF">
        <w:t xml:space="preserve"> technologickou hranici ve svém oboru</w:t>
      </w:r>
      <w:r w:rsidR="00BD427D" w:rsidRPr="00DD47DF">
        <w:rPr>
          <w:rFonts w:eastAsia="Calibri"/>
        </w:rPr>
        <w:t>, přičemž důraz</w:t>
      </w:r>
      <w:r w:rsidR="00BD427D" w:rsidRPr="00DD47DF">
        <w:t xml:space="preserve"> bude kladen na rozvoj podnikových výzkumných, vývojových a inovačních kapacit a jejich </w:t>
      </w:r>
      <w:r w:rsidRPr="00DD47DF">
        <w:t>propojení s okolním prostředím;</w:t>
      </w:r>
    </w:p>
    <w:p w14:paraId="67429F5A" w14:textId="77777777" w:rsidR="007A0BCD" w:rsidRPr="00DD47DF" w:rsidRDefault="00BD427D" w:rsidP="002908E2">
      <w:pPr>
        <w:pStyle w:val="Standardntext"/>
        <w:numPr>
          <w:ilvl w:val="0"/>
          <w:numId w:val="33"/>
        </w:numPr>
      </w:pPr>
      <w:r w:rsidRPr="00DD47DF">
        <w:t xml:space="preserve">Rozvoj podnikání </w:t>
      </w:r>
      <w:r w:rsidR="004D45D3" w:rsidRPr="00DD47DF">
        <w:t>podporou projektů inovací nižších řádů</w:t>
      </w:r>
      <w:r w:rsidR="004D45D3" w:rsidRPr="00DD47DF">
        <w:rPr>
          <w:vertAlign w:val="superscript"/>
        </w:rPr>
        <w:footnoteReference w:id="9"/>
      </w:r>
      <w:r w:rsidR="004D45D3" w:rsidRPr="00DD47DF">
        <w:t>, tzn. modernizačních a rozvojových projektů zaměřených</w:t>
      </w:r>
      <w:r w:rsidR="004D45D3" w:rsidRPr="00DD47DF" w:rsidDel="004D45D3">
        <w:t xml:space="preserve"> </w:t>
      </w:r>
      <w:r w:rsidRPr="00DD47DF">
        <w:t xml:space="preserve">zejména na podporu realizace nových podnikatelských záměrů, včetně rozvoje služeb vedoucích ke zvýšení konkurenční výhody jednotlivých </w:t>
      </w:r>
      <w:r w:rsidR="005821F5" w:rsidRPr="00DD47DF">
        <w:t>podniků</w:t>
      </w:r>
      <w:r w:rsidR="007A0BCD" w:rsidRPr="00DD47DF">
        <w:t xml:space="preserve"> v mezinárodním prostředí;</w:t>
      </w:r>
    </w:p>
    <w:p w14:paraId="01E83855" w14:textId="77777777" w:rsidR="007A0BCD" w:rsidRPr="00DD47DF" w:rsidRDefault="00BD427D" w:rsidP="002908E2">
      <w:pPr>
        <w:pStyle w:val="Standardntext"/>
        <w:numPr>
          <w:ilvl w:val="0"/>
          <w:numId w:val="33"/>
        </w:numPr>
      </w:pPr>
      <w:r w:rsidRPr="00DD47DF">
        <w:t>Posun k energeticky účinnému, nízkouhlíkovému hospodářství spočívající především ve zvyšování energetické účinnosti podnikatelského sektoru, využívání obnovitelných zdrojů energie, modernizaci energetické infrastruktury a zavádění nových technologií v oblasti nakládán</w:t>
      </w:r>
      <w:r w:rsidR="007A0BCD" w:rsidRPr="00DD47DF">
        <w:t>í energií a druhotných surovin;</w:t>
      </w:r>
    </w:p>
    <w:p w14:paraId="44C5D94A" w14:textId="77777777" w:rsidR="00BD427D" w:rsidRPr="00DD47DF" w:rsidRDefault="00BD427D" w:rsidP="002908E2">
      <w:pPr>
        <w:pStyle w:val="Standardntext"/>
        <w:numPr>
          <w:ilvl w:val="0"/>
          <w:numId w:val="33"/>
        </w:numPr>
      </w:pPr>
      <w:r w:rsidRPr="00DD47DF">
        <w:lastRenderedPageBreak/>
        <w:t>Usnadnění rozvoje podnikání, služeb a přístupu ke službám státu prostřednictvím vysokorychlostního přístupu k internetu a širší nabídkou služeb informačních a komunikačních technologií („ICT“)</w:t>
      </w:r>
      <w:r w:rsidRPr="00DD47DF">
        <w:rPr>
          <w:rFonts w:eastAsia="Calibri"/>
        </w:rPr>
        <w:t>, neboť</w:t>
      </w:r>
      <w:r w:rsidRPr="00DD47DF">
        <w:t xml:space="preserve"> konkurenceschopnost informační společnosti je založena právě na efektivním využívání moderních služeb ICT.</w:t>
      </w:r>
    </w:p>
    <w:p w14:paraId="752DBF81" w14:textId="77777777" w:rsidR="00B1783A" w:rsidRPr="00DD47DF" w:rsidRDefault="00221FD6" w:rsidP="00D20E3C">
      <w:pPr>
        <w:pStyle w:val="Standardntext"/>
      </w:pPr>
      <w:r w:rsidRPr="00DD47DF">
        <w:t>Tyto</w:t>
      </w:r>
      <w:r w:rsidR="00B1783A" w:rsidRPr="00DD47DF">
        <w:t xml:space="preserve"> priority</w:t>
      </w:r>
      <w:r w:rsidRPr="00DD47DF">
        <w:t xml:space="preserve"> </w:t>
      </w:r>
      <w:r w:rsidR="0040363A" w:rsidRPr="00DD47DF">
        <w:t>OP PIK</w:t>
      </w:r>
      <w:r w:rsidR="00B1783A" w:rsidRPr="00DD47DF">
        <w:t xml:space="preserve"> jsou reflexí </w:t>
      </w:r>
      <w:r w:rsidRPr="00DD47DF">
        <w:t xml:space="preserve">čtyř ze sedmi </w:t>
      </w:r>
      <w:r w:rsidR="00B1783A" w:rsidRPr="00DD47DF">
        <w:t xml:space="preserve">stěžejních </w:t>
      </w:r>
      <w:r w:rsidR="00AF04F5" w:rsidRPr="00DD47DF">
        <w:t>iniciativ</w:t>
      </w:r>
      <w:r w:rsidR="00B1783A" w:rsidRPr="00DD47DF">
        <w:t xml:space="preserve"> EU 2020</w:t>
      </w:r>
      <w:r w:rsidRPr="00DD47DF">
        <w:t>:</w:t>
      </w:r>
    </w:p>
    <w:p w14:paraId="77189D9D" w14:textId="77777777" w:rsidR="00221FD6" w:rsidRPr="00DD47DF" w:rsidRDefault="00221FD6" w:rsidP="002908E2">
      <w:pPr>
        <w:pStyle w:val="Standardntext"/>
        <w:numPr>
          <w:ilvl w:val="0"/>
          <w:numId w:val="34"/>
        </w:numPr>
      </w:pPr>
      <w:r w:rsidRPr="00DD47DF">
        <w:t>„Inovace v Unii“ spočívající ve zlepšení rámcových podmínek a přístupu k financování výzkumu a inovací;</w:t>
      </w:r>
    </w:p>
    <w:p w14:paraId="066383A7" w14:textId="77777777" w:rsidR="00221FD6" w:rsidRPr="00DD47DF" w:rsidRDefault="00221FD6" w:rsidP="002908E2">
      <w:pPr>
        <w:pStyle w:val="Standardntext"/>
        <w:numPr>
          <w:ilvl w:val="0"/>
          <w:numId w:val="34"/>
        </w:numPr>
      </w:pPr>
      <w:r w:rsidRPr="00DD47DF">
        <w:t xml:space="preserve">„Průmyslová politika pro éru globalizace“ </w:t>
      </w:r>
      <w:r w:rsidR="00E478A8" w:rsidRPr="00DD47DF">
        <w:t>orientující se na</w:t>
      </w:r>
      <w:r w:rsidRPr="00DD47DF">
        <w:t xml:space="preserve"> zlepšení podnikatelského prostředí, zejména</w:t>
      </w:r>
      <w:r w:rsidR="00E478A8" w:rsidRPr="00DD47DF">
        <w:t xml:space="preserve"> pro </w:t>
      </w:r>
      <w:r w:rsidR="0040363A" w:rsidRPr="00DD47DF">
        <w:t>MSP</w:t>
      </w:r>
      <w:r w:rsidR="00E478A8" w:rsidRPr="00DD47DF">
        <w:t>;</w:t>
      </w:r>
    </w:p>
    <w:p w14:paraId="32BE5BA3" w14:textId="77777777" w:rsidR="00221FD6" w:rsidRPr="00DD47DF" w:rsidRDefault="00221FD6" w:rsidP="002908E2">
      <w:pPr>
        <w:pStyle w:val="Standardntext"/>
        <w:numPr>
          <w:ilvl w:val="0"/>
          <w:numId w:val="34"/>
        </w:numPr>
      </w:pPr>
      <w:r w:rsidRPr="00DD47DF">
        <w:t>„Evropa méně náročná na zdroje“ podporující přechod na nízkouhlíkovou ekonomiku;</w:t>
      </w:r>
    </w:p>
    <w:p w14:paraId="4BCE3802" w14:textId="77777777" w:rsidR="00221FD6" w:rsidRPr="00DD47DF" w:rsidRDefault="00221FD6" w:rsidP="002908E2">
      <w:pPr>
        <w:pStyle w:val="Standardntext"/>
        <w:numPr>
          <w:ilvl w:val="0"/>
          <w:numId w:val="34"/>
        </w:numPr>
      </w:pPr>
      <w:r w:rsidRPr="00DD47DF">
        <w:t xml:space="preserve">„Digitální </w:t>
      </w:r>
      <w:r w:rsidR="001B092B" w:rsidRPr="00DD47DF">
        <w:t>agenda</w:t>
      </w:r>
      <w:r w:rsidRPr="00DD47DF">
        <w:t xml:space="preserve"> pro Evropu“ zaměřující se na urychlení rozvoje vysokorychlostního internetu a využití jednotného digitálního trhu domácnostmi a podniky.</w:t>
      </w:r>
    </w:p>
    <w:p w14:paraId="41477C9E" w14:textId="77777777" w:rsidR="005066D6" w:rsidRPr="00DD47DF" w:rsidRDefault="005066D6" w:rsidP="005066D6">
      <w:pPr>
        <w:pStyle w:val="Standardntext"/>
      </w:pPr>
      <w:r w:rsidRPr="00DD47DF">
        <w:t>Základem Strategie Evropa 2020 je pět měřitelných cílů, (i) zvýšit zaměstnanost v kategorii 20–64 let na 75 %, (ii) investovat do výzkumu a vývoje 3 % HDP, (iii) v oblasti klimatu a energie by mělo být dosaženo cílů „20-20-20“ (tzn. zvýšit energetickou účinnost o 20 %; zvýšit podíl obnovitelných zdrojů energie v konečné spotřebě energie na 20 %, snížit emise skleníkových plynů o 20 %), (iv) snížit podíl dětí, které předčasně ukončí školní docházku, pod hranici 10 % a zvýšit dosažení terciární úrovně vzdělávání o nejméně 40 % u mladší generace, (v) snížit počet osob ohrožených chudobou o 20 milionů. Zde lze spatřovat hlavní přínos OP PIK především v případě cíle (ii) a (iii) prostřednictvím implementace prioritní osy 1, resp. prioritní osy 3. Z dlouhodobého hlediska přispěje OP PIK prostřednictvím růstu konkurenceschopnosti firem a rozvoje podnikání rovněž k naplňování cíle (i).</w:t>
      </w:r>
    </w:p>
    <w:p w14:paraId="6E8495B5" w14:textId="77777777" w:rsidR="006E695D" w:rsidRPr="00DD47DF" w:rsidRDefault="006E695D" w:rsidP="00A86EB3">
      <w:pPr>
        <w:pStyle w:val="Modrnadpis"/>
        <w:keepNext w:val="0"/>
        <w:keepLines w:val="0"/>
      </w:pPr>
      <w:r w:rsidRPr="00DD47DF">
        <w:t>Tematická koncentrace a prioritní osy O</w:t>
      </w:r>
      <w:r w:rsidR="0040363A" w:rsidRPr="00DD47DF">
        <w:t>P PIK</w:t>
      </w:r>
    </w:p>
    <w:p w14:paraId="6F703890" w14:textId="77777777" w:rsidR="0040363A" w:rsidRPr="00DD47DF" w:rsidRDefault="0040363A" w:rsidP="0040363A">
      <w:pPr>
        <w:pStyle w:val="Standardntext"/>
      </w:pPr>
      <w:r w:rsidRPr="00DD47DF">
        <w:t>Priority a cíle Strategie Evropa 2020 založené na tematickém přístupu byly dále rozpracovány ve Společném strategickém rámci</w:t>
      </w:r>
      <w:r w:rsidRPr="00DD47DF">
        <w:rPr>
          <w:b/>
        </w:rPr>
        <w:t xml:space="preserve"> </w:t>
      </w:r>
      <w:r w:rsidRPr="00DD47DF">
        <w:t xml:space="preserve">(„SSR“). Jde o dokument EK, jehož cílem je v rámci kohezní politiky koncentrovat zdroje na cíle obsažené ve Strategii Evropa 2020. Tematická koncentrace významně zvyšuje účinnost veřejných financí k dosažení vytyčených cílů se skutečným dopadem na socioekonomickou situaci ČR. Při formulování strategie OP PIK plnil SSR pomocnou roli při výběru relevantních tematických cílů (dle čl. 9 obecného nařízení) a jim odpovídajících investičních priorit (dle čl. 5 nařízení o EFRR). </w:t>
      </w:r>
    </w:p>
    <w:p w14:paraId="3F36D73C" w14:textId="77777777" w:rsidR="006E695D" w:rsidRPr="00DD47DF" w:rsidRDefault="0040363A" w:rsidP="0040363A">
      <w:pPr>
        <w:pStyle w:val="Standardntext"/>
      </w:pPr>
      <w:r w:rsidRPr="00DD47DF">
        <w:t>V návaznosti na strategické cíle a priority financování ČR zakotvené v Dohodě o partnerství jsou v rámci OP PIK podporovány intervence z pěti tematických cílů pro Evropské strukturální a investiční fondy („fondy ESI“ nebo „ESIF“)</w:t>
      </w:r>
      <w:r w:rsidRPr="00DD47DF">
        <w:rPr>
          <w:rStyle w:val="Znakapoznpodarou"/>
        </w:rPr>
        <w:footnoteReference w:id="10"/>
      </w:r>
      <w:r w:rsidRPr="00DD47DF">
        <w:t>, na něž navazují čtyři věcně zaměřené prioritní osy a jedna prioritní osa na technickou pomoc. Zaměření prioritních os je specifikováno v kapitole 2.</w:t>
      </w:r>
    </w:p>
    <w:p w14:paraId="35EBFA6E" w14:textId="77777777" w:rsidR="006E695D" w:rsidRPr="00DD47DF" w:rsidRDefault="006E695D" w:rsidP="00DA3512">
      <w:pPr>
        <w:pStyle w:val="Standardntext"/>
        <w:keepNext/>
        <w:keepLines/>
        <w:numPr>
          <w:ilvl w:val="0"/>
          <w:numId w:val="35"/>
        </w:numPr>
        <w:ind w:left="714" w:hanging="357"/>
      </w:pPr>
      <w:r w:rsidRPr="00DD47DF">
        <w:lastRenderedPageBreak/>
        <w:t>Prioritní osa 1 „</w:t>
      </w:r>
      <w:r w:rsidRPr="00DD47DF">
        <w:rPr>
          <w:b/>
        </w:rPr>
        <w:t>Rozvoj výzkumu a vývoje pro inovace</w:t>
      </w:r>
      <w:r w:rsidRPr="00DD47DF">
        <w:t>“,</w:t>
      </w:r>
    </w:p>
    <w:p w14:paraId="38F31B70" w14:textId="77777777" w:rsidR="006E695D" w:rsidRPr="00DD47DF" w:rsidRDefault="006E695D" w:rsidP="00DA3512">
      <w:pPr>
        <w:pStyle w:val="Standardntext"/>
        <w:keepNext/>
        <w:keepLines/>
        <w:numPr>
          <w:ilvl w:val="0"/>
          <w:numId w:val="35"/>
        </w:numPr>
        <w:ind w:left="714" w:hanging="357"/>
      </w:pPr>
      <w:r w:rsidRPr="00DD47DF">
        <w:t>Prioritní osa 2 „</w:t>
      </w:r>
      <w:r w:rsidRPr="00DD47DF">
        <w:rPr>
          <w:b/>
        </w:rPr>
        <w:t xml:space="preserve">Rozvoj podnikání a konkurenceschopnosti malých a středních </w:t>
      </w:r>
      <w:r w:rsidR="005821F5" w:rsidRPr="00DD47DF">
        <w:rPr>
          <w:b/>
        </w:rPr>
        <w:t>podniků</w:t>
      </w:r>
      <w:r w:rsidRPr="00DD47DF">
        <w:t>“,</w:t>
      </w:r>
    </w:p>
    <w:p w14:paraId="61706A7B" w14:textId="77777777" w:rsidR="006E695D" w:rsidRPr="00DD47DF" w:rsidRDefault="006E695D" w:rsidP="00DA3512">
      <w:pPr>
        <w:pStyle w:val="Standardntext"/>
        <w:numPr>
          <w:ilvl w:val="0"/>
          <w:numId w:val="35"/>
        </w:numPr>
      </w:pPr>
      <w:r w:rsidRPr="00DD47DF">
        <w:t>Prioritní osa 3 „</w:t>
      </w:r>
      <w:r w:rsidRPr="00DD47DF">
        <w:rPr>
          <w:b/>
        </w:rPr>
        <w:t>Účinné nakládání energií, rozvoj energetické infrastruktury a obnovitelných zdrojů energie, podpora zavádění nových technologií v oblasti nakládání energií a druhotných surovin</w:t>
      </w:r>
      <w:r w:rsidRPr="00DD47DF">
        <w:t>“,</w:t>
      </w:r>
    </w:p>
    <w:p w14:paraId="30B1E5DF" w14:textId="77777777" w:rsidR="006E695D" w:rsidRPr="00DD47DF" w:rsidRDefault="006E695D" w:rsidP="00DA3512">
      <w:pPr>
        <w:pStyle w:val="Standardntext"/>
        <w:numPr>
          <w:ilvl w:val="0"/>
          <w:numId w:val="35"/>
        </w:numPr>
      </w:pPr>
      <w:r w:rsidRPr="00DD47DF">
        <w:t>Prioritní osa 4 „</w:t>
      </w:r>
      <w:r w:rsidRPr="00DD47DF">
        <w:rPr>
          <w:b/>
        </w:rPr>
        <w:t>Rozvoj vysokorychlostních přístupových sítí k internetu a informačních a komunikačních technologií</w:t>
      </w:r>
      <w:r w:rsidRPr="00DD47DF">
        <w:t>“,</w:t>
      </w:r>
    </w:p>
    <w:p w14:paraId="33CC7926" w14:textId="77777777" w:rsidR="006E695D" w:rsidRPr="00DD47DF" w:rsidRDefault="006E695D" w:rsidP="00DA3512">
      <w:pPr>
        <w:pStyle w:val="Standardntext"/>
        <w:numPr>
          <w:ilvl w:val="0"/>
          <w:numId w:val="35"/>
        </w:numPr>
      </w:pPr>
      <w:r w:rsidRPr="00DD47DF">
        <w:t>Prioritní osa 5 „</w:t>
      </w:r>
      <w:r w:rsidRPr="00DD47DF">
        <w:rPr>
          <w:b/>
        </w:rPr>
        <w:t>Technická pomoc</w:t>
      </w:r>
      <w:r w:rsidRPr="00DD47DF">
        <w:t>“.</w:t>
      </w:r>
    </w:p>
    <w:p w14:paraId="4650782D" w14:textId="77777777" w:rsidR="006E695D" w:rsidRPr="00DD47DF" w:rsidRDefault="006E695D" w:rsidP="006E695D">
      <w:pPr>
        <w:pStyle w:val="Standardntext"/>
      </w:pPr>
      <w:r w:rsidRPr="00DD47DF">
        <w:t xml:space="preserve">K návrhu struktury </w:t>
      </w:r>
      <w:r w:rsidR="0040363A" w:rsidRPr="00DD47DF">
        <w:t>O</w:t>
      </w:r>
      <w:r w:rsidRPr="00DD47DF">
        <w:t xml:space="preserve">peračního programu ve smyslu nadefinování prioritních os bylo přistoupeno </w:t>
      </w:r>
      <w:r w:rsidR="008D6CED" w:rsidRPr="00DD47DF">
        <w:t xml:space="preserve">v počátku jeho přípravy </w:t>
      </w:r>
      <w:r w:rsidRPr="00DD47DF">
        <w:t xml:space="preserve">se záměrem nekombinovat v rámci jedné prioritní osy </w:t>
      </w:r>
      <w:r w:rsidR="00F41111" w:rsidRPr="00DD47DF">
        <w:t>investiční</w:t>
      </w:r>
      <w:r w:rsidRPr="00DD47DF">
        <w:t xml:space="preserve"> priority z více tematických cílů, pokud </w:t>
      </w:r>
      <w:r w:rsidR="004E4E99" w:rsidRPr="00DD47DF">
        <w:t>nebude prokázáno</w:t>
      </w:r>
      <w:r w:rsidR="00F41111" w:rsidRPr="00DD47DF">
        <w:t xml:space="preserve"> odůvodnění takovéto kombinace</w:t>
      </w:r>
      <w:r w:rsidR="008D6CED" w:rsidRPr="00DD47DF">
        <w:t xml:space="preserve">. Následně byla prokázána a s EK vyjednána potřeba intervencí v oblasti energetiky do vysokonapěťových přenosových sítí, což vyústilo v příslušné prioritní ose programu ve vazbu na dva tematické cíle dle čl. 96 bodu 1, písm. c) obecného nařízení </w:t>
      </w:r>
      <w:r w:rsidR="004E4E99" w:rsidRPr="00DD47DF">
        <w:t>(</w:t>
      </w:r>
      <w:r w:rsidR="008D6CED" w:rsidRPr="00DD47DF">
        <w:t xml:space="preserve">blíže </w:t>
      </w:r>
      <w:r w:rsidR="004E4E99" w:rsidRPr="00DD47DF">
        <w:t>viz prioritní osa 3)</w:t>
      </w:r>
      <w:r w:rsidR="00F41111" w:rsidRPr="00DD47DF">
        <w:t>.</w:t>
      </w:r>
    </w:p>
    <w:p w14:paraId="181F3A3B" w14:textId="77777777" w:rsidR="00153021" w:rsidRPr="00DD47DF" w:rsidRDefault="00153021" w:rsidP="00153021">
      <w:pPr>
        <w:pStyle w:val="Modrnadpis"/>
        <w:ind w:left="0" w:firstLine="0"/>
      </w:pPr>
      <w:r w:rsidRPr="00DD47DF">
        <w:t>Analýza problémů a potřeb ČR ve vazbě na vybrané problémové oblasti Dohody o partnerství</w:t>
      </w:r>
    </w:p>
    <w:p w14:paraId="0109A1C9" w14:textId="77777777" w:rsidR="00153021" w:rsidRPr="00DD47DF" w:rsidRDefault="0040363A" w:rsidP="00153021">
      <w:pPr>
        <w:pStyle w:val="Standardntext"/>
      </w:pPr>
      <w:bookmarkStart w:id="4" w:name="_Ref358382440"/>
      <w:bookmarkStart w:id="5" w:name="_Ref358382570"/>
      <w:bookmarkStart w:id="6" w:name="_Ref358382587"/>
      <w:bookmarkStart w:id="7" w:name="_Ref358382598"/>
      <w:bookmarkStart w:id="8" w:name="_Ref358382614"/>
      <w:bookmarkStart w:id="9" w:name="_Ref358382646"/>
      <w:bookmarkStart w:id="10" w:name="_Ref358382664"/>
      <w:bookmarkStart w:id="11" w:name="_Ref358382678"/>
      <w:bookmarkStart w:id="12" w:name="_Ref358382685"/>
      <w:bookmarkStart w:id="13" w:name="_Ref358382700"/>
      <w:bookmarkStart w:id="14" w:name="_Ref359399602"/>
      <w:bookmarkStart w:id="15" w:name="_Toc386032019"/>
      <w:r w:rsidRPr="00DD47DF">
        <w:t>Specifické postavení má ve vztahu k Operačnímu programu zmíněná Dohoda o partnerství, která byla dne 26. 8. 2014 schválena EK. Jde o klíčový dokument pro programové období 2014-2020, který stanovuje priority ČR pro účinné a efektivní využívání fondů ESI a je zastřešujícím dokumentem pro jednotlivé programy financované z fondů ESI. Dohoda zároveň plní roli výchozího analytického a strategického dokumentu pro OP PIK. V Dohodě obsažená analýza disparit, rozvojových potřeb a růstového potenciálu ČR pro jednotlivé problémové oblasti národního hospodářství jednoznačně předurčuje zaměření OP PIK. Na základě této analýzy následně Dohoda formuluje hlavní strategické cíle a od nich odvozené priority financování, k jejichž naplnění musí věcné zaměření pro programové období 2014-2020 v ČR směřovat.</w:t>
      </w:r>
    </w:p>
    <w:p w14:paraId="69903FE8" w14:textId="77777777" w:rsidR="00153021" w:rsidRPr="00DD47DF" w:rsidRDefault="0040363A" w:rsidP="00153021">
      <w:pPr>
        <w:pStyle w:val="Standardntext"/>
      </w:pPr>
      <w:r w:rsidRPr="00DD47DF">
        <w:t>OP PIK představuje klíčový operační program, jehož prostřednictvím dojde k naplnění strategického cíle Dohody „Vytvoření kvalitního podnikatelské prostředí, které podpoří konkurenceschopnost ČR na evropském i globálním trhu, povede k zakládání nových podniků, zvýší inovační schopnost stávajících podniků a posílí atraktivitu ČR pro domácí a zahraniční investory“. Mezi priority financování obsažené v Dohodě, které formulují strategické zaměření OP PIK, patří:</w:t>
      </w:r>
    </w:p>
    <w:p w14:paraId="5DF0A7B5" w14:textId="77777777" w:rsidR="00153021" w:rsidRPr="00DD47DF" w:rsidRDefault="00153021" w:rsidP="00153021">
      <w:pPr>
        <w:pStyle w:val="Standardntext"/>
        <w:numPr>
          <w:ilvl w:val="0"/>
          <w:numId w:val="4"/>
        </w:numPr>
        <w:spacing w:after="0"/>
      </w:pPr>
      <w:r w:rsidRPr="00DD47DF">
        <w:t>Výzkumný a inovační systém založený na kvalitním výzkumu propojeném s aplikační sférou a směřujícím ke komerčně využitelným výsledkům;</w:t>
      </w:r>
    </w:p>
    <w:p w14:paraId="745EBCCB" w14:textId="77777777" w:rsidR="00153021" w:rsidRPr="00DD47DF" w:rsidRDefault="00153021" w:rsidP="00153021">
      <w:pPr>
        <w:pStyle w:val="Standardntext"/>
        <w:numPr>
          <w:ilvl w:val="0"/>
          <w:numId w:val="4"/>
        </w:numPr>
        <w:spacing w:after="0"/>
      </w:pPr>
      <w:r w:rsidRPr="00DD47DF">
        <w:t>Podniky využívající výsledků VaV, konkurenceschopné na globálním trhu a přispívající k nízkouhlíkovému hospodářství;</w:t>
      </w:r>
    </w:p>
    <w:p w14:paraId="717DA31E" w14:textId="77777777" w:rsidR="00153021" w:rsidRPr="00DD47DF" w:rsidRDefault="00153021" w:rsidP="00153021">
      <w:pPr>
        <w:pStyle w:val="Standardntext"/>
        <w:numPr>
          <w:ilvl w:val="0"/>
          <w:numId w:val="4"/>
        </w:numPr>
        <w:spacing w:after="0"/>
      </w:pPr>
      <w:r w:rsidRPr="00DD47DF">
        <w:t>Udržitelná infrastruktura umožňující konkurenceschopnost ekonomiky a odpovídající obslužnost území;</w:t>
      </w:r>
    </w:p>
    <w:p w14:paraId="7BE79AF9" w14:textId="77777777" w:rsidR="00153021" w:rsidRPr="00DD47DF" w:rsidRDefault="00153021" w:rsidP="00153021">
      <w:pPr>
        <w:pStyle w:val="Standardntext"/>
        <w:numPr>
          <w:ilvl w:val="0"/>
          <w:numId w:val="4"/>
        </w:numPr>
        <w:ind w:left="714" w:hanging="357"/>
      </w:pPr>
      <w:r w:rsidRPr="00DD47DF">
        <w:t>a částečně také Ochrana životního prostředí a krajiny a přizpůsobení se změně klimatu.</w:t>
      </w:r>
    </w:p>
    <w:p w14:paraId="7F314401" w14:textId="77777777" w:rsidR="00153021" w:rsidRPr="00DD47DF" w:rsidRDefault="00153021" w:rsidP="00153021">
      <w:pPr>
        <w:pStyle w:val="Standardntext"/>
      </w:pPr>
      <w:r w:rsidRPr="00DD47DF">
        <w:t xml:space="preserve">Smyslem těchto priorit financování je odstranit či alespoň zmírnit bariéry dalšího rozvoje ČR identifikované v analytické části Dohody o partnerství. Z pohledu příspěvku OP PIK k řešení </w:t>
      </w:r>
      <w:r w:rsidRPr="00DD47DF">
        <w:lastRenderedPageBreak/>
        <w:t>problémových oblastí patří mezi zásadní ty, které Dohoda syntetizuje do bloků „Konkurenceschopnost ekonomiky“, „Infrastruktura“ a „Životní prostředí“.</w:t>
      </w:r>
    </w:p>
    <w:bookmarkEnd w:id="4"/>
    <w:bookmarkEnd w:id="5"/>
    <w:bookmarkEnd w:id="6"/>
    <w:bookmarkEnd w:id="7"/>
    <w:bookmarkEnd w:id="8"/>
    <w:bookmarkEnd w:id="9"/>
    <w:bookmarkEnd w:id="10"/>
    <w:bookmarkEnd w:id="11"/>
    <w:bookmarkEnd w:id="12"/>
    <w:bookmarkEnd w:id="13"/>
    <w:bookmarkEnd w:id="14"/>
    <w:bookmarkEnd w:id="15"/>
    <w:p w14:paraId="200ADCD1" w14:textId="77777777" w:rsidR="00706A57" w:rsidRPr="00DD47DF" w:rsidRDefault="00706A57" w:rsidP="00706A57">
      <w:pPr>
        <w:pStyle w:val="Standardntext"/>
      </w:pPr>
      <w:r w:rsidRPr="00DD47DF">
        <w:t>Následující text si klade za cíl shrnout problémy a potřeby ČR ve vazbě na výše uvedené problémové oblasti definované Dohodou, resp. vybrané hlavní pilíře těchto problémových oblastí.</w:t>
      </w:r>
    </w:p>
    <w:p w14:paraId="5BC5FA8B" w14:textId="77777777" w:rsidR="00F260AA" w:rsidRPr="00DD47DF" w:rsidRDefault="00F260AA" w:rsidP="001652D9">
      <w:pPr>
        <w:pStyle w:val="Modrnadpis"/>
      </w:pPr>
      <w:r w:rsidRPr="00DD47DF">
        <w:t>Efektivní výzkumný a inovační systém</w:t>
      </w:r>
    </w:p>
    <w:p w14:paraId="55297E50" w14:textId="77777777" w:rsidR="00F260AA" w:rsidRPr="00DD47DF" w:rsidRDefault="00F260AA" w:rsidP="00F260AA">
      <w:pPr>
        <w:pStyle w:val="Standardntext"/>
      </w:pPr>
      <w:r w:rsidRPr="00DD47DF">
        <w:t>Mezi hlavní bariéry rozvoje inovačních aktivit patří kromě nízké inovační poptávky firem rovněž nedostatečný rozsah a způsob financování VaVaI, který se v posledních letech významně proměnil zejména díky zahraničním investicím. Přitom hlavní funkční specializaci ČR v rámci světové ekonomiky lze charakterizovat jako výrobní základnu pro trhy v Evropě a blízkém okolí. Endogenní podnikatelský sektor je slabý a jeho rozvoj silně závislý na poptávce ze strany nadnárodních společností umístěných v samotné ČR a jejím blízkém okolí. V této souvislosti a v kontextu rostoucích cen práce a dalších vstupů do výroby je základní výzvou pro ČR schopnost vytvářet a nabízet podmínky pro lokalizaci takových aktivit zahraničních firem, u nichž hrají kvalifikace a dovednosti lidí spolu s tvorbou nových znalostí relativně vyšší roli než samotné ceny vstupů a blízkost hlavním evropským trhům.</w:t>
      </w:r>
    </w:p>
    <w:p w14:paraId="33DF9868" w14:textId="77777777" w:rsidR="00F260AA" w:rsidRPr="00DD47DF" w:rsidRDefault="00782BE3" w:rsidP="00F260AA">
      <w:pPr>
        <w:pStyle w:val="Standardntext"/>
      </w:pPr>
      <w:r w:rsidRPr="00DD47DF">
        <w:t>Rostoucí turbulence na finančních trzích ukazují, že se česká ekonomika nemůže spoléhat pouze na odbyt v zemích tradičních obchodních partnerů, které tvoří především sousední země EU. Je třeba vnímat příležitosti ve všech teritoriích a oborech, a navíc přicházet s vlastními řešeními. Endogenní podnikatelský sektor však zatím tvoří především podniky vzdálené v hodnotových řetězcích od koncových trhů a závislé na importu technologií. Je zde proto prostor pro veřejné intervence, které by měly napomoci ekonomice nastoupit cestu vedoucí mezi nejvyspělejší ekonomiky světa. Za nejvýznamnější nedostatky inovačního systému je považována především nízká motivace domácích firem pro budování konkurenční výhody založené na znalostech. To je dáno z velké části tím, že domácí podniky jsou svými odběrateli z vyšších pozic příslušných hodnotových řetězců omezeny jak ve svých možnostech strategického plánování rozvoje firem, tak v možnostech realizovat vlastní inovace. Další příčinou dosavadních pozic firem na nižších stupních hodnotových řetězců je i neodpovídající kvalifikace a odbornost pracovní síly ve vztahu k inovačním aktivitám podnikatelských subjektů a provázanost na vědecko-výzkumnou sféru.</w:t>
      </w:r>
    </w:p>
    <w:p w14:paraId="23E6A35A" w14:textId="77777777" w:rsidR="00F260AA" w:rsidRPr="00DD47DF" w:rsidRDefault="00F260AA" w:rsidP="00A86EB3">
      <w:pPr>
        <w:pStyle w:val="Titulek"/>
        <w:keepNext/>
        <w:keepLines/>
      </w:pPr>
      <w:r w:rsidRPr="00DD47DF">
        <w:lastRenderedPageBreak/>
        <w:t xml:space="preserve">Obrázek </w:t>
      </w:r>
      <w:r w:rsidR="002756E7" w:rsidRPr="00DD47DF">
        <w:fldChar w:fldCharType="begin"/>
      </w:r>
      <w:r w:rsidR="000E35F2" w:rsidRPr="00DD47DF">
        <w:instrText xml:space="preserve"> SEQ Obrázek \* ARABIC </w:instrText>
      </w:r>
      <w:r w:rsidR="002756E7" w:rsidRPr="00DD47DF">
        <w:fldChar w:fldCharType="separate"/>
      </w:r>
      <w:r w:rsidR="00117847">
        <w:rPr>
          <w:noProof/>
        </w:rPr>
        <w:t>1</w:t>
      </w:r>
      <w:r w:rsidR="002756E7" w:rsidRPr="00DD47DF">
        <w:rPr>
          <w:noProof/>
        </w:rPr>
        <w:fldChar w:fldCharType="end"/>
      </w:r>
      <w:r w:rsidRPr="00DD47DF">
        <w:t>: Inovační výkonnost členských států EU</w:t>
      </w:r>
    </w:p>
    <w:p w14:paraId="621577CE" w14:textId="77777777" w:rsidR="00F260AA" w:rsidRPr="00DD47DF" w:rsidRDefault="00F260AA" w:rsidP="00A86EB3">
      <w:pPr>
        <w:pStyle w:val="Standardntext"/>
        <w:keepNext/>
        <w:keepLines/>
      </w:pPr>
      <w:r w:rsidRPr="00DD47DF">
        <w:rPr>
          <w:noProof/>
        </w:rPr>
        <w:drawing>
          <wp:inline distT="0" distB="0" distL="0" distR="0" wp14:anchorId="0582EBBF" wp14:editId="0A9AA8CD">
            <wp:extent cx="5765800" cy="2646680"/>
            <wp:effectExtent l="19050" t="19050" r="25400" b="20320"/>
            <wp:docPr id="1"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5800" cy="2646680"/>
                    </a:xfrm>
                    <a:prstGeom prst="rect">
                      <a:avLst/>
                    </a:prstGeom>
                    <a:noFill/>
                    <a:ln w="9525" cmpd="sng">
                      <a:solidFill>
                        <a:srgbClr val="000000"/>
                      </a:solidFill>
                      <a:miter lim="800000"/>
                      <a:headEnd/>
                      <a:tailEnd/>
                    </a:ln>
                    <a:effectLst/>
                  </pic:spPr>
                </pic:pic>
              </a:graphicData>
            </a:graphic>
          </wp:inline>
        </w:drawing>
      </w:r>
    </w:p>
    <w:p w14:paraId="6CA1F7F2" w14:textId="77777777" w:rsidR="00F260AA" w:rsidRPr="00DD47DF" w:rsidRDefault="00F260AA" w:rsidP="00F260AA">
      <w:pPr>
        <w:pStyle w:val="Standardntext"/>
        <w:spacing w:after="240"/>
      </w:pPr>
      <w:r w:rsidRPr="00DD47DF">
        <w:t>Zdroj: Innovation Union Scoreboard 2013</w:t>
      </w:r>
    </w:p>
    <w:p w14:paraId="1CB1DE27" w14:textId="77777777" w:rsidR="00F260AA" w:rsidRPr="00DD47DF" w:rsidRDefault="00F260AA" w:rsidP="00F260AA">
      <w:pPr>
        <w:pStyle w:val="Standardntext"/>
      </w:pPr>
      <w:r w:rsidRPr="00DD47DF">
        <w:t>Aktuální analýzy inovační výkonnosti ukazují, že výkonnost Č</w:t>
      </w:r>
      <w:r w:rsidR="007018A0" w:rsidRPr="00DD47DF">
        <w:t>R</w:t>
      </w:r>
      <w:r w:rsidRPr="00DD47DF">
        <w:t xml:space="preserve"> je stále pod průměrem celé EU27 a řadí se spolu s Řeckem, Maďarskem či Slovenskem mezi tzv. mírné inovátory (viz Innovation Union Scoreboard 201</w:t>
      </w:r>
      <w:r w:rsidR="00CA2C89" w:rsidRPr="00DD47DF">
        <w:t>3</w:t>
      </w:r>
      <w:r w:rsidRPr="00DD47DF">
        <w:t>). Na předních pozicích inovační výkonnosti se umísťují země, v jejichž národních výzkumných a inovačních systémech hrají hlavní roli aktivity podniků a spolupráce soukromé a veřejné sféry. Mezi zjišťovanými indikátory</w:t>
      </w:r>
      <w:r w:rsidR="00D73213" w:rsidRPr="00DD47DF">
        <w:t>, v nichž ČR zaostává,</w:t>
      </w:r>
      <w:r w:rsidRPr="00DD47DF">
        <w:t xml:space="preserve"> jsou velmi významné indikátory firemních investic – především podnikové výdaje na výzkum a vývoj a další indikátory podnikových aktivit – tj. duševní vlastnictví a propojenost a podnikavost, kam patří podíl MSP provádějících inovace interně, podíl MSP spolupracujících s ostatními podniky a indikátor poukazující na silné vazby mezi výzkumnou sférou a podniky – počet výzkumných publikací vytvořených v partnerství privátní a veřejné sféry.</w:t>
      </w:r>
    </w:p>
    <w:p w14:paraId="6EA42C8C" w14:textId="77777777" w:rsidR="00782BE3" w:rsidRPr="00DD47DF" w:rsidRDefault="00782BE3" w:rsidP="00782BE3">
      <w:pPr>
        <w:pStyle w:val="Standardntext"/>
      </w:pPr>
      <w:r w:rsidRPr="00DD47DF">
        <w:t xml:space="preserve">Ze srovnání evropského šetření o inovacích Community Innovation Survey (CIS) vyplývá, že více než třetina českých podniků provádí inovace, především technické, ale i netechnické, a řadí se v tomto ohledu k nejlepším v EU. To se však zatím významně nepromítá ve znalostní náročnosti produkce, kde převládají, zvláště v endogenním podnikatelském sektoru , výrobky méně náročné na znalosti. Je to způsobeno především kvalitou zaváděných inovací, která stále není schopna generovat významnější množství nových technologií, jak vyplývá např. z vysoce negativní technologické platební bilance ČR. Z druhé strany, pozice ČR v žebříčku IUS zaměřeném na inovativnost ekonomik EU ukazuje, že se situace postupně zlepšuje – ČR se řadí k zemím s nižší úrovní sledovaných ukazatelů inovativnosti, u velké části z nich však dochází ke zlepšení, mj. díky dosavadní podpoře z fondů EU. Dle šetření ČSÚ se na území ČR ve vybraných odvětvích ekonomiky zabývalo inovačními aktivitami 43,9 % podniků z celkového počtu ekonomicky aktivních podniků v období 2010–2012. Technickou inovaci zavedlo 35,6 % podniků a netechnickou 31,6 %. Z celkového počtu šetřených podniků ve vybraných odvětvích klíčových pro inovace spadalo 51 % do zpracovatelského průmyslu. Tyto podniky se podílely v roce 2012 na celkových tržbách sledované části ekonomiky 45,4 %. Produktově inovující podniky se ve sledovaném období soustředily zejména na inovaci svých výrobků. Nejvyšší podíl tržeb za inovované produkty vykázaly velké podniky (30,4 %) následované malými podniky (27,4 %). U středních podniků dosáhl podíl tržeb za inovované produkty rovných 26 </w:t>
      </w:r>
      <w:r w:rsidRPr="00DD47DF">
        <w:lastRenderedPageBreak/>
        <w:t>%. Podíl tržeb z inovované produkce na celkových tržbách podniků s produktovou inovací dosáhlo v letech 2010 – 2012 hodnoty 29,2%.</w:t>
      </w:r>
    </w:p>
    <w:p w14:paraId="2B4DE169" w14:textId="77777777" w:rsidR="00F260AA" w:rsidRPr="00DD47DF" w:rsidRDefault="00782BE3" w:rsidP="00782BE3">
      <w:pPr>
        <w:pStyle w:val="Standardntext"/>
      </w:pPr>
      <w:r w:rsidRPr="00DD47DF">
        <w:t>Konkrétními ukazateli hodnocení znalostní ekonomiky jsou výdaje na VaV a pracovníci ve VaV. Z hlediska VaV činil podíl výdajů v podnikatelském sektoru na HDP v roce 2012 dle ČSÚ 1,01 %, což v běžných cenách odpovídá 38,8 mld. Kč. V porovnání s rokem 2011 došlo k nominálnímu nárůstu tohoto ukazatele o 4,073 mld. Kč. Z hlediska zdrojů financování si podnikatelský sektor oproti období 1999 - 2008 neudržel 50% podíl na celkových výdajích na VaV. Z druhé strany je pozitivním trendem získávání prostředků na rozvoj VaV i ze zahraničních zdrojů, a to také v rámci programů a fondů EU. V roce 2012 se již veřejné zahraniční zdroje podílely na financování VaV plnými 16,1 %. Relativně silná závislost znalostních a inovačních sektorů na zahraničních subjektech je dalším z faktorů, který může mít positivní vliv na posílení meziregionálních vazeb jak v rámci ČR, tak mezi členskými státy EU. Ačkoliv je podíl výdajů podnikatelského sektoru na ukazateli GERD (celkových výdajích na VaV) okolo 45 % v mezinárodním srovnání dobrý výsledek, zůstává v ČR nízký celkový podíl celkových výdajů na VaV na HDP (1,88 %, cíl Evropy 2020 jsou 3%). Co se týká výdajů na VaV v podnikatelském sektoru jako % HDP bez zahrnutí hl. m. Prahy, hodnota ukazatele se v roce 2012 pohybovala na úrovni 0,75 %. V podstatě shodně jako výdaje na VaV se dlouhodobě vyvíjí i počet výzkumných pracovníků. I podle tohoto ukazatele lze ČR zařadit mezi skupinu zemí s nižší úrovní kapacit VaV, ale s rychlejším růstem.</w:t>
      </w:r>
    </w:p>
    <w:p w14:paraId="65CD3802" w14:textId="77777777" w:rsidR="00F260AA" w:rsidRPr="00DD47DF" w:rsidRDefault="00F260AA" w:rsidP="00F46C44">
      <w:pPr>
        <w:pStyle w:val="Standardntext"/>
        <w:rPr>
          <w:rFonts w:eastAsia="Calibri"/>
          <w:color w:val="000000"/>
          <w:szCs w:val="22"/>
          <w:lang w:eastAsia="en-US"/>
        </w:rPr>
      </w:pPr>
      <w:r w:rsidRPr="00DD47DF">
        <w:t>Z </w:t>
      </w:r>
      <w:r w:rsidR="00782BE3" w:rsidRPr="00DD47DF">
        <w:t xml:space="preserve">dostupných </w:t>
      </w:r>
      <w:r w:rsidRPr="00DD47DF">
        <w:t xml:space="preserve">analýz vyplývá, že vzniká potřeba podporovat </w:t>
      </w:r>
      <w:r w:rsidR="00577869" w:rsidRPr="00DD47DF">
        <w:t xml:space="preserve">specializaci </w:t>
      </w:r>
      <w:r w:rsidRPr="00DD47DF">
        <w:t>VaVaI v ČR v aplikační sféře. Kromě v současné době několika málo odvětví dominantních ve VaV disponují VaV potenciálem i některá další, přičemž se nejedná vždy jen o high-tech výrobu. I low-tech či mid-tech odvětví, která jsou v ČR zdaleka nejvýznamnější, disponují potenciálem pro rozvoj inovačních a VaV aktivit. Tento aspekt zohledň</w:t>
      </w:r>
      <w:r w:rsidR="00346E3A" w:rsidRPr="00DD47DF">
        <w:t>uj</w:t>
      </w:r>
      <w:r w:rsidR="008F7639" w:rsidRPr="00DD47DF">
        <w:t>e</w:t>
      </w:r>
      <w:r w:rsidRPr="00DD47DF">
        <w:t xml:space="preserve"> především </w:t>
      </w:r>
      <w:r w:rsidR="00F46C44" w:rsidRPr="00DD47DF">
        <w:rPr>
          <w:b/>
        </w:rPr>
        <w:t>Národní výzkumná a inovační strategie pro inteligentní specializaci České republiky (</w:t>
      </w:r>
      <w:r w:rsidR="00782BE3" w:rsidRPr="00DD47DF">
        <w:rPr>
          <w:b/>
        </w:rPr>
        <w:t>„</w:t>
      </w:r>
      <w:r w:rsidRPr="00DD47DF">
        <w:rPr>
          <w:b/>
        </w:rPr>
        <w:t>Národní RIS3 strategie</w:t>
      </w:r>
      <w:r w:rsidR="00782BE3" w:rsidRPr="00DD47DF">
        <w:rPr>
          <w:b/>
        </w:rPr>
        <w:t>“</w:t>
      </w:r>
      <w:r w:rsidR="00F46C44" w:rsidRPr="00DD47DF">
        <w:rPr>
          <w:b/>
        </w:rPr>
        <w:t>)</w:t>
      </w:r>
      <w:r w:rsidR="00782BE3" w:rsidRPr="00DD47DF">
        <w:t xml:space="preserve">, </w:t>
      </w:r>
      <w:r w:rsidR="004D174B" w:rsidRPr="00DD47DF">
        <w:t>strategický dokument pro zaměření národních i evropských zdrojů ve sféře výzkumu, vývoje a inovací.</w:t>
      </w:r>
      <w:r w:rsidR="00577869" w:rsidRPr="00DD47DF">
        <w:t xml:space="preserve"> </w:t>
      </w:r>
      <w:r w:rsidR="00577869" w:rsidRPr="00DD47DF">
        <w:rPr>
          <w:rFonts w:eastAsia="Calibri"/>
          <w:color w:val="000000"/>
          <w:szCs w:val="22"/>
          <w:lang w:eastAsia="en-US"/>
        </w:rPr>
        <w:t>V rámci koncepčního pojetí RIS3 jsou</w:t>
      </w:r>
      <w:r w:rsidR="00782BE3" w:rsidRPr="00DD47DF">
        <w:rPr>
          <w:rFonts w:eastAsia="Calibri"/>
          <w:color w:val="000000"/>
          <w:szCs w:val="22"/>
          <w:lang w:eastAsia="en-US"/>
        </w:rPr>
        <w:t xml:space="preserve"> pro</w:t>
      </w:r>
      <w:r w:rsidR="00577869" w:rsidRPr="00DD47DF">
        <w:rPr>
          <w:rFonts w:eastAsia="Calibri"/>
          <w:color w:val="000000"/>
          <w:szCs w:val="22"/>
          <w:lang w:eastAsia="en-US"/>
        </w:rPr>
        <w:t xml:space="preserve"> ČR navrženy </w:t>
      </w:r>
      <w:r w:rsidR="00577869" w:rsidRPr="00DD47DF">
        <w:rPr>
          <w:rFonts w:eastAsia="Calibri"/>
          <w:b/>
          <w:color w:val="000000"/>
          <w:szCs w:val="22"/>
          <w:lang w:eastAsia="en-US"/>
        </w:rPr>
        <w:t>priority dvojí povahy</w:t>
      </w:r>
      <w:r w:rsidR="00577869" w:rsidRPr="00DD47DF">
        <w:rPr>
          <w:rFonts w:eastAsia="Calibri"/>
          <w:color w:val="000000"/>
          <w:szCs w:val="22"/>
          <w:lang w:eastAsia="en-US"/>
        </w:rPr>
        <w:t>:</w:t>
      </w:r>
    </w:p>
    <w:p w14:paraId="0CEA8DC8" w14:textId="77777777" w:rsidR="00577869" w:rsidRPr="00DD47DF" w:rsidRDefault="00577869" w:rsidP="00DA3512">
      <w:pPr>
        <w:pStyle w:val="Standardntext"/>
        <w:numPr>
          <w:ilvl w:val="0"/>
          <w:numId w:val="97"/>
        </w:numPr>
        <w:rPr>
          <w:rFonts w:eastAsia="Calibri"/>
          <w:color w:val="000000"/>
          <w:szCs w:val="22"/>
          <w:lang w:eastAsia="en-US"/>
        </w:rPr>
      </w:pPr>
      <w:r w:rsidRPr="00DD47DF">
        <w:rPr>
          <w:rFonts w:eastAsia="Calibri"/>
          <w:b/>
          <w:color w:val="000000"/>
          <w:szCs w:val="22"/>
          <w:lang w:eastAsia="en-US"/>
        </w:rPr>
        <w:t>horizontální</w:t>
      </w:r>
      <w:r w:rsidRPr="00DD47DF">
        <w:rPr>
          <w:rFonts w:eastAsia="Calibri"/>
          <w:color w:val="000000"/>
          <w:szCs w:val="22"/>
          <w:lang w:eastAsia="en-US"/>
        </w:rPr>
        <w:t>: intervence podporující vytváření, případně zkvalitňování inovačního systému na národní i krajské úrovni (tj. intervence bez ohledu na oborové zaměření podporovaných aktivit)</w:t>
      </w:r>
    </w:p>
    <w:p w14:paraId="1D4DD819" w14:textId="77777777" w:rsidR="00577869" w:rsidRPr="00DD47DF" w:rsidRDefault="00577869" w:rsidP="00DA3512">
      <w:pPr>
        <w:pStyle w:val="Standardntext"/>
        <w:numPr>
          <w:ilvl w:val="0"/>
          <w:numId w:val="97"/>
        </w:numPr>
        <w:rPr>
          <w:rFonts w:eastAsia="Calibri"/>
          <w:b/>
          <w:color w:val="000000"/>
          <w:szCs w:val="22"/>
          <w:lang w:eastAsia="en-US"/>
        </w:rPr>
      </w:pPr>
      <w:r w:rsidRPr="00DD47DF">
        <w:rPr>
          <w:rFonts w:eastAsia="Calibri"/>
          <w:b/>
          <w:color w:val="000000"/>
          <w:szCs w:val="22"/>
          <w:lang w:eastAsia="en-US"/>
        </w:rPr>
        <w:t xml:space="preserve">vertikální: </w:t>
      </w:r>
      <w:r w:rsidRPr="00DD47DF">
        <w:rPr>
          <w:rFonts w:eastAsia="Calibri"/>
          <w:color w:val="000000"/>
          <w:szCs w:val="22"/>
          <w:lang w:eastAsia="en-US"/>
        </w:rPr>
        <w:t>intervence zaměřené na konkrétní konkurenceschopné, perspektivní odvětvové/pododvětvové oblasti  VaVaI se silným růstovým potenciálem</w:t>
      </w:r>
      <w:r w:rsidR="00782BE3" w:rsidRPr="00DD47DF">
        <w:rPr>
          <w:rFonts w:eastAsia="Calibri"/>
          <w:color w:val="000000"/>
          <w:szCs w:val="22"/>
          <w:lang w:eastAsia="en-US"/>
        </w:rPr>
        <w:t xml:space="preserve">, </w:t>
      </w:r>
      <w:r w:rsidRPr="00DD47DF">
        <w:rPr>
          <w:rFonts w:eastAsia="Calibri"/>
          <w:b/>
          <w:color w:val="000000"/>
          <w:szCs w:val="22"/>
          <w:lang w:eastAsia="en-US"/>
        </w:rPr>
        <w:t>tzv. domény inteligentní specializace.</w:t>
      </w:r>
    </w:p>
    <w:p w14:paraId="4E67F187" w14:textId="77777777" w:rsidR="00577869" w:rsidRPr="00DD47DF" w:rsidRDefault="00577869" w:rsidP="00577869">
      <w:pPr>
        <w:pStyle w:val="Standardntext"/>
      </w:pPr>
      <w:r w:rsidRPr="00DD47DF">
        <w:t xml:space="preserve">Návrhová část RIS3 se skládá ze šesti klíčových oblastí, v nichž ČR musí dosáhnout významných změn, aby došlo k posílení znalostní náročnost ekonomiky, rozvinutí a profilaci identifikovaných domén specializace a aby došlo k naplnění vize RIS3 „Česko podnikavé, kreativní a přitažlivé pro talenty a peníze“ v dlouhodobém horizontu. </w:t>
      </w:r>
    </w:p>
    <w:p w14:paraId="04A99599" w14:textId="77777777" w:rsidR="00577869" w:rsidRPr="00DD47DF" w:rsidRDefault="00577869" w:rsidP="00577869">
      <w:pPr>
        <w:pStyle w:val="Standardntext"/>
      </w:pPr>
      <w:r w:rsidRPr="00DD47DF">
        <w:rPr>
          <w:b/>
        </w:rPr>
        <w:t>Klíčové oblasti změn a strategické cíle Národní RIS 3 strategie, z nichž vycházejí relevantní aktivy OP PIK:</w:t>
      </w:r>
    </w:p>
    <w:p w14:paraId="78DCC1FB" w14:textId="77777777" w:rsidR="008F7639" w:rsidRPr="00DD47DF" w:rsidRDefault="008F7639" w:rsidP="00DA3512">
      <w:pPr>
        <w:pStyle w:val="Standardntext"/>
        <w:numPr>
          <w:ilvl w:val="0"/>
          <w:numId w:val="94"/>
        </w:numPr>
      </w:pPr>
      <w:r w:rsidRPr="00DD47DF">
        <w:t>v klíčové oblasti změn „A: Vyšší inovační výkonnost firem“ jde o tři strategické cíle</w:t>
      </w:r>
    </w:p>
    <w:p w14:paraId="480AAB40" w14:textId="77777777" w:rsidR="008F7639" w:rsidRPr="00DD47DF" w:rsidRDefault="008F7639" w:rsidP="00DA3512">
      <w:pPr>
        <w:pStyle w:val="Standardntext"/>
        <w:numPr>
          <w:ilvl w:val="1"/>
          <w:numId w:val="94"/>
        </w:numPr>
      </w:pPr>
      <w:r w:rsidRPr="00DD47DF">
        <w:t>A.1: Zvýšit inovační poptávku ve firmách (i ve veřejném sektoru)</w:t>
      </w:r>
    </w:p>
    <w:p w14:paraId="5C5893D6" w14:textId="77777777" w:rsidR="008F7639" w:rsidRPr="00DD47DF" w:rsidRDefault="008F7639" w:rsidP="00DA3512">
      <w:pPr>
        <w:pStyle w:val="Standardntext"/>
        <w:numPr>
          <w:ilvl w:val="1"/>
          <w:numId w:val="94"/>
        </w:numPr>
      </w:pPr>
      <w:r w:rsidRPr="00DD47DF">
        <w:t>A.2: Zvýšit míru podnikání ve společnosti s důrazem na zakládání nových rychle rostoucích firem</w:t>
      </w:r>
    </w:p>
    <w:p w14:paraId="4D2C4D8F" w14:textId="77777777" w:rsidR="008F7639" w:rsidRPr="00DD47DF" w:rsidRDefault="008F7639" w:rsidP="00DA3512">
      <w:pPr>
        <w:pStyle w:val="Standardntext"/>
        <w:numPr>
          <w:ilvl w:val="1"/>
          <w:numId w:val="94"/>
        </w:numPr>
      </w:pPr>
      <w:r w:rsidRPr="00DD47DF">
        <w:lastRenderedPageBreak/>
        <w:t>A.3: Zvýšit internacionalizaci MSP</w:t>
      </w:r>
    </w:p>
    <w:p w14:paraId="37A85877" w14:textId="77777777" w:rsidR="008F7639" w:rsidRPr="00DD47DF" w:rsidRDefault="008F7639" w:rsidP="00DA3512">
      <w:pPr>
        <w:pStyle w:val="Standardntext"/>
        <w:numPr>
          <w:ilvl w:val="0"/>
          <w:numId w:val="94"/>
        </w:numPr>
      </w:pPr>
      <w:r w:rsidRPr="00DD47DF">
        <w:t>v klíčové oblasti změn „C: Zvýšení ekonomických přínosů veřejného výzkumu“ jde o strategický cíl</w:t>
      </w:r>
    </w:p>
    <w:p w14:paraId="5056AE30" w14:textId="77777777" w:rsidR="008F7639" w:rsidRPr="00DD47DF" w:rsidRDefault="008F7639" w:rsidP="00DA3512">
      <w:pPr>
        <w:pStyle w:val="Standardntext"/>
        <w:numPr>
          <w:ilvl w:val="1"/>
          <w:numId w:val="94"/>
        </w:numPr>
      </w:pPr>
      <w:r w:rsidRPr="00DD47DF">
        <w:t>C.1: Zvýšit relevanci výzkumu</w:t>
      </w:r>
    </w:p>
    <w:p w14:paraId="286542ED" w14:textId="77777777" w:rsidR="008F7639" w:rsidRPr="00DD47DF" w:rsidRDefault="008F7639" w:rsidP="00DA3512">
      <w:pPr>
        <w:pStyle w:val="Standardntext"/>
        <w:numPr>
          <w:ilvl w:val="0"/>
          <w:numId w:val="94"/>
        </w:numPr>
      </w:pPr>
      <w:r w:rsidRPr="00DD47DF">
        <w:t>v klíčové oblasti změn „E: Rozvoj eGovernmentu a eBusinessu pro zvýšení konkurenceschopnosti (rozvoj ICT a digitální agenda)“ jde o dva strategické cíle</w:t>
      </w:r>
    </w:p>
    <w:p w14:paraId="4FC54F9E" w14:textId="77777777" w:rsidR="008F7639" w:rsidRPr="00DD47DF" w:rsidRDefault="008F7639" w:rsidP="00DA3512">
      <w:pPr>
        <w:pStyle w:val="Standardntext"/>
        <w:numPr>
          <w:ilvl w:val="1"/>
          <w:numId w:val="94"/>
        </w:numPr>
      </w:pPr>
      <w:r w:rsidRPr="00DD47DF">
        <w:t>E.2: Rozvoj eBusinessu a ICT v podnikání</w:t>
      </w:r>
    </w:p>
    <w:p w14:paraId="5F8C5237" w14:textId="77777777" w:rsidR="0012167C" w:rsidRPr="00DD47DF" w:rsidRDefault="008F7639" w:rsidP="00DA3512">
      <w:pPr>
        <w:pStyle w:val="Standardntext"/>
        <w:numPr>
          <w:ilvl w:val="1"/>
          <w:numId w:val="94"/>
        </w:numPr>
      </w:pPr>
      <w:r w:rsidRPr="00DD47DF">
        <w:t>E.3: Rozvoj Infrastruktury v</w:t>
      </w:r>
      <w:r w:rsidR="00577869" w:rsidRPr="00DD47DF">
        <w:t> </w:t>
      </w:r>
      <w:r w:rsidRPr="00DD47DF">
        <w:t>ICT</w:t>
      </w:r>
    </w:p>
    <w:p w14:paraId="253ADE73" w14:textId="77777777" w:rsidR="00577869" w:rsidRPr="00DD47DF" w:rsidRDefault="00577869" w:rsidP="00577869">
      <w:pPr>
        <w:pStyle w:val="Standardntext"/>
      </w:pPr>
      <w:r w:rsidRPr="00DD47DF">
        <w:t>OP PIK bude jedním z hlavních implementačních nástrojů, který bude přispívat k naplňování relevantních cílů RIS3. Její aplikace bude prováděna především v prioritních osách 1, 4 a částečně v prioritní ose 2. Jednotlivé vazby na specifické cíle RIS3 jsou uvedeny v oddíle 2 u relevantních specifických cílů.</w:t>
      </w:r>
    </w:p>
    <w:p w14:paraId="5E74ACC7" w14:textId="77777777" w:rsidR="00577869" w:rsidRPr="00DD47DF" w:rsidRDefault="00577869" w:rsidP="00577869">
      <w:pPr>
        <w:pStyle w:val="Titulek"/>
        <w:keepNext/>
        <w:keepLines/>
        <w:spacing w:after="240"/>
      </w:pPr>
      <w:r w:rsidRPr="00DD47DF">
        <w:t>Obrázek 2: Vazby specifických cílů OP PIK na specifické cíle Národní RIS3 strategie</w:t>
      </w:r>
    </w:p>
    <w:p w14:paraId="3D1547AD" w14:textId="77777777" w:rsidR="00577869" w:rsidRPr="00DD47DF" w:rsidRDefault="00577869" w:rsidP="00577869">
      <w:pPr>
        <w:pStyle w:val="Standardntext"/>
      </w:pPr>
      <w:r w:rsidRPr="00DD47DF">
        <w:rPr>
          <w:noProof/>
        </w:rPr>
        <w:drawing>
          <wp:inline distT="0" distB="0" distL="0" distR="0" wp14:anchorId="6A4A6C9A" wp14:editId="44354FA0">
            <wp:extent cx="5849620" cy="450405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9620" cy="4504055"/>
                    </a:xfrm>
                    <a:prstGeom prst="rect">
                      <a:avLst/>
                    </a:prstGeom>
                    <a:noFill/>
                    <a:ln>
                      <a:noFill/>
                    </a:ln>
                  </pic:spPr>
                </pic:pic>
              </a:graphicData>
            </a:graphic>
          </wp:inline>
        </w:drawing>
      </w:r>
    </w:p>
    <w:p w14:paraId="746B9B93" w14:textId="77777777" w:rsidR="00577869" w:rsidRPr="00DD47DF" w:rsidRDefault="00577869" w:rsidP="00577869">
      <w:pPr>
        <w:pStyle w:val="Standardntext"/>
      </w:pPr>
      <w:r w:rsidRPr="00DD47DF">
        <w:t>Na základě kombinace dostupných empirických dat na straně jedné (data o intenzitě exportu, intenzitě výdajů na výzkum a vývoj, vývoji obratu v čase), a na straně druhé na základě započatého entrepreneurial discovery</w:t>
      </w:r>
      <w:r w:rsidR="00782BE3" w:rsidRPr="00DD47DF">
        <w:t xml:space="preserve"> procesu</w:t>
      </w:r>
      <w:r w:rsidRPr="00DD47DF">
        <w:t xml:space="preserve">, který probíhá od roku 2013 na regionální úrovni, </w:t>
      </w:r>
      <w:r w:rsidRPr="00DD47DF">
        <w:lastRenderedPageBreak/>
        <w:t>lze identifikovat základní oblasti ekonomické specializace, kde ČR vykazuje nadprůměrný růstový potenciál. Jsou to:</w:t>
      </w:r>
    </w:p>
    <w:p w14:paraId="5F3C4D89" w14:textId="77777777" w:rsidR="00577869" w:rsidRPr="00DD47DF" w:rsidRDefault="00577869" w:rsidP="00DA3512">
      <w:pPr>
        <w:pStyle w:val="Standardntext"/>
        <w:numPr>
          <w:ilvl w:val="0"/>
          <w:numId w:val="98"/>
        </w:numPr>
      </w:pPr>
      <w:r w:rsidRPr="00DD47DF">
        <w:t>výroba dopravních prostředků,</w:t>
      </w:r>
    </w:p>
    <w:p w14:paraId="277779C8" w14:textId="77777777" w:rsidR="00577869" w:rsidRPr="00DD47DF" w:rsidRDefault="00577869" w:rsidP="00DA3512">
      <w:pPr>
        <w:pStyle w:val="Standardntext"/>
        <w:numPr>
          <w:ilvl w:val="0"/>
          <w:numId w:val="98"/>
        </w:numPr>
      </w:pPr>
      <w:r w:rsidRPr="00DD47DF">
        <w:t>strojírenství,</w:t>
      </w:r>
    </w:p>
    <w:p w14:paraId="2D87AE8C" w14:textId="77777777" w:rsidR="00577869" w:rsidRPr="00DD47DF" w:rsidRDefault="00577869" w:rsidP="00DA3512">
      <w:pPr>
        <w:pStyle w:val="Standardntext"/>
        <w:numPr>
          <w:ilvl w:val="0"/>
          <w:numId w:val="98"/>
        </w:numPr>
      </w:pPr>
      <w:r w:rsidRPr="00DD47DF">
        <w:t>elektronika a elektrotechnika,</w:t>
      </w:r>
    </w:p>
    <w:p w14:paraId="493FEFE0" w14:textId="77777777" w:rsidR="00577869" w:rsidRPr="00DD47DF" w:rsidRDefault="00577869" w:rsidP="00DA3512">
      <w:pPr>
        <w:pStyle w:val="Standardntext"/>
        <w:numPr>
          <w:ilvl w:val="0"/>
          <w:numId w:val="98"/>
        </w:numPr>
      </w:pPr>
      <w:r w:rsidRPr="00DD47DF">
        <w:t>IT služby a software,</w:t>
      </w:r>
    </w:p>
    <w:p w14:paraId="34E23500" w14:textId="77777777" w:rsidR="00577869" w:rsidRPr="00DD47DF" w:rsidRDefault="00577869" w:rsidP="00DA3512">
      <w:pPr>
        <w:pStyle w:val="Standardntext"/>
        <w:numPr>
          <w:ilvl w:val="0"/>
          <w:numId w:val="98"/>
        </w:numPr>
      </w:pPr>
      <w:r w:rsidRPr="00DD47DF">
        <w:t>výroba a distribuce elektrické energie,</w:t>
      </w:r>
    </w:p>
    <w:p w14:paraId="6518058F" w14:textId="77777777" w:rsidR="00577869" w:rsidRPr="00DD47DF" w:rsidRDefault="00577869" w:rsidP="00DA3512">
      <w:pPr>
        <w:pStyle w:val="Standardntext"/>
        <w:numPr>
          <w:ilvl w:val="0"/>
          <w:numId w:val="98"/>
        </w:numPr>
      </w:pPr>
      <w:r w:rsidRPr="00DD47DF">
        <w:t>léčiva a zdravotnické prostředky.</w:t>
      </w:r>
    </w:p>
    <w:p w14:paraId="659A2081" w14:textId="77777777" w:rsidR="00577869" w:rsidRPr="00DD47DF" w:rsidRDefault="00577869" w:rsidP="00577869">
      <w:pPr>
        <w:pStyle w:val="Standardntext"/>
      </w:pPr>
      <w:r w:rsidRPr="00DD47DF">
        <w:t>Důležité je proto uvnitř těchto odvětví identifikovat konkrétní dílčí obory, které představují hlavní konkurenční sílu ekonomiky. Právě tyto dílčí obory, resp. firmy v nich, jsou důležité pro identifikaci znalostních domén, na jejichž rozvoj bude cílit inteligentní specializace. Je nutné zdůraznit, že prakticky u všech identifikovaných aplikačních oblastí (s výjimkou IT služeb a částečně u zdravotních služeb a péče) se jedná o obory výrobní. To odráží aktuální ekonomickou specializaci ČR a v tomto ohledu je žádoucí také usměrňovat do budoucna specializaci výzkumnou. To však nesmí vést k mylnému závěru, že je vhodné podporovat výlučně průmyslovou výrobu. Naopak u všech identifikovaných výrobních odvětví je s ohledem na rostoucí globální komodifikaci výrobních činností žádoucí zvyšovat podíl souvisejících kvalifikovaných služeb (např. konstrukce, testování, design, zakázkový vývoj, poradenské služby, ale také marketingové služby) na ekonomické výkonnosti ČR.</w:t>
      </w:r>
    </w:p>
    <w:p w14:paraId="64DDE1BB" w14:textId="77777777" w:rsidR="00577869" w:rsidRPr="00DD47DF" w:rsidRDefault="00577869" w:rsidP="00577869">
      <w:pPr>
        <w:pStyle w:val="Standardntext"/>
      </w:pPr>
      <w:r w:rsidRPr="00DD47DF">
        <w:t>Vedle šesti aplikačních témat odvozených od ekonomické a inovační dynamiky příslušných aplikačních odvětví bylo dále doplněno ještě sedmé téma:</w:t>
      </w:r>
    </w:p>
    <w:p w14:paraId="2F29C037" w14:textId="77777777" w:rsidR="00577869" w:rsidRPr="00DD47DF" w:rsidRDefault="00577869" w:rsidP="00DA3512">
      <w:pPr>
        <w:pStyle w:val="Standardntext"/>
        <w:numPr>
          <w:ilvl w:val="0"/>
          <w:numId w:val="99"/>
        </w:numPr>
      </w:pPr>
      <w:r w:rsidRPr="00DD47DF">
        <w:t>přírodní zdroje, udržitelné zemědělství a potravinová bezpečnost a dostatečnost,</w:t>
      </w:r>
    </w:p>
    <w:p w14:paraId="6FBFCC6E" w14:textId="77777777" w:rsidR="00577869" w:rsidRPr="00DD47DF" w:rsidRDefault="00577869" w:rsidP="00577869">
      <w:pPr>
        <w:pStyle w:val="Standardntext"/>
      </w:pPr>
      <w:r w:rsidRPr="00DD47DF">
        <w:t>které reflektuje potřebu inovací v oblasti přírodních zdrojů a potravinové dostatečnosti. Jde o oblast, kde v tuto chvíli neexistuje bezprostřední komparativní výhoda ČR v mezinárodním měřítku, existuje zde však důvodný předpoklad, že z hlediska udržení dlouhodobé konkurenceschopnosti jde o kritickou oblast nezbytnou pro předcházení rizik, která mohou dlouhodobě ohrožovat prosperitu ekonomiky a společnosti.</w:t>
      </w:r>
    </w:p>
    <w:p w14:paraId="2C12789F" w14:textId="77777777" w:rsidR="00577869" w:rsidRPr="00DD47DF" w:rsidRDefault="00577869" w:rsidP="00577869">
      <w:pPr>
        <w:pStyle w:val="Standardntext"/>
      </w:pPr>
      <w:r w:rsidRPr="00DD47DF">
        <w:t>Tyto oblasti jsou detailně zohledněny v Národní RIS3 strategii. Výzkumné aktivity v ČR pokrývají široké spektrum směrů a v určitém rozsahu pokrývají všechny klíčové znalostní domény (resp. KETs) – materiálového výzkumu, nanotechnologií, mikro</w:t>
      </w:r>
      <w:r w:rsidR="00650A99" w:rsidRPr="00DD47DF">
        <w:t>-</w:t>
      </w:r>
      <w:r w:rsidRPr="00DD47DF">
        <w:t xml:space="preserve"> a nanoelektroniky, fotoniky, pokročilých výrobních technologií a průmyslových biotechnologií. Veškerá tato zjištění budou využita pro identifikaci nových příležitostí v rámci inovačních platforem a entrepreneurial discovery proces, který bude probíhat v interakci mezi partnery v jednotlivých inovačních platformách, v nichž jsou zastoupeni jak zástupci firemní sféry, výzkumných organizací, tak veřejného sektoru. Touto cestou bude možné zpřesnit a prioritizovat aplikační témata inteligentní specializace definovaná jako průsečík společenských výzev, základních znalostních domén a aplikačních příležitostí. Koncept inteligentní specializace a entrepreneurial discovery process tak bude dále rozvíjen v celém průběhu implementace národní strategie RIS3.</w:t>
      </w:r>
    </w:p>
    <w:p w14:paraId="5BAA2B86" w14:textId="77777777" w:rsidR="00577869" w:rsidRPr="00DD47DF" w:rsidRDefault="00577869" w:rsidP="00577869">
      <w:pPr>
        <w:pStyle w:val="Standardntext"/>
      </w:pPr>
      <w:r w:rsidRPr="00DD47DF">
        <w:t xml:space="preserve">V návrhové části strategie inteligentní specializace byly současně, ve spolupráci klíčových partnerů, identifikovány typové operace, u nichž je navrhováno, aby v implementační fázi byla zohledněna vertikální dimenze intervencí. Konkrétní forma a míra „vertikalizace“ typových </w:t>
      </w:r>
      <w:r w:rsidRPr="00DD47DF">
        <w:lastRenderedPageBreak/>
        <w:t>operací bude předmětem projednání v inovačních platformách a Řídicím výboru S3 na národní úrovni. Půjde přitom jak o typové operace implementované jako ryze vertikální (tj. budou podporovány pouze projekty naplňující některou vertikální prioritu definovanou v odpovídající národní nebo regionální inovační platformě), nebo o typové operace se stanovenou mírou vertikality, kde bude stanoven podíl prostředků či projektů, jejichž podpora bude podmíněna jasnou vazbou na naplňování vertikálních priorit ČR nebo některého regionu.</w:t>
      </w:r>
    </w:p>
    <w:p w14:paraId="2A54A3A0" w14:textId="77777777" w:rsidR="00577869" w:rsidRPr="00DD47DF" w:rsidRDefault="00577869" w:rsidP="00577869">
      <w:pPr>
        <w:pStyle w:val="Standardntext"/>
      </w:pPr>
      <w:r w:rsidRPr="00DD47DF">
        <w:t>V prvních letech implementace RIS3 budou poměrově převažovat intervence horizontálního charakteru, protože jsou podmínkou pro růst efektivity intervencí vedoucích k rozvíjení specializace. V průběhu realizace národní RIS3 se budou za účasti podnikatelů a výzkumníků navržené domény specializace postupně profilovat a investice se budou zaměřovat na jejich podporu a rozvíjení. Dá se předpokládat, že postupně tedy bude podíl vertikalizovaných intervencí navyšován a v pokročilé fázi implementace RIS3 by již měly vertikalizované intervence převažovat.</w:t>
      </w:r>
    </w:p>
    <w:p w14:paraId="0C15F2D7" w14:textId="77777777" w:rsidR="00577869" w:rsidRPr="00DD47DF" w:rsidRDefault="00577869" w:rsidP="00577869">
      <w:pPr>
        <w:pStyle w:val="Standardntext"/>
        <w:rPr>
          <w:rFonts w:eastAsia="Calibri"/>
          <w:szCs w:val="22"/>
          <w:lang w:eastAsia="en-US"/>
        </w:rPr>
      </w:pPr>
      <w:r w:rsidRPr="00DD47DF">
        <w:rPr>
          <w:rFonts w:eastAsia="Calibri"/>
          <w:szCs w:val="22"/>
          <w:lang w:eastAsia="en-US"/>
        </w:rPr>
        <w:t>Přehled vertikálních priorit – klíčových odvětví aplikací a aplikační témata jak je definuje národní RIS3 uvádí následující tabulka.</w:t>
      </w:r>
    </w:p>
    <w:p w14:paraId="4111E10C" w14:textId="77777777" w:rsidR="00577869" w:rsidRPr="00DD47DF" w:rsidRDefault="00577869" w:rsidP="00577869">
      <w:pPr>
        <w:pStyle w:val="Titulek"/>
        <w:keepNext/>
        <w:keepLines/>
        <w:spacing w:after="240"/>
      </w:pPr>
      <w:r w:rsidRPr="00DD47DF">
        <w:t>Obrázek 3: Matice inovačních a výzkumných potřeb inteligentní specializace – znalostní domény vs. aplikační odvětví</w:t>
      </w:r>
    </w:p>
    <w:tbl>
      <w:tblPr>
        <w:tblW w:w="47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275"/>
        <w:gridCol w:w="590"/>
        <w:gridCol w:w="472"/>
        <w:gridCol w:w="497"/>
        <w:gridCol w:w="497"/>
        <w:gridCol w:w="497"/>
        <w:gridCol w:w="497"/>
        <w:gridCol w:w="608"/>
        <w:gridCol w:w="545"/>
        <w:gridCol w:w="497"/>
        <w:gridCol w:w="497"/>
        <w:gridCol w:w="497"/>
        <w:gridCol w:w="463"/>
      </w:tblGrid>
      <w:tr w:rsidR="00577869" w:rsidRPr="00DD47DF" w14:paraId="581357CC" w14:textId="77777777" w:rsidTr="00650A99">
        <w:trPr>
          <w:jc w:val="center"/>
        </w:trPr>
        <w:tc>
          <w:tcPr>
            <w:tcW w:w="1580" w:type="pct"/>
            <w:gridSpan w:val="2"/>
            <w:vMerge w:val="restart"/>
            <w:shd w:val="clear" w:color="auto" w:fill="C6D9F1" w:themeFill="text2" w:themeFillTint="33"/>
          </w:tcPr>
          <w:p w14:paraId="65F35303" w14:textId="77777777" w:rsidR="00577869" w:rsidRPr="00DD47DF" w:rsidRDefault="00577869" w:rsidP="0040363A">
            <w:pPr>
              <w:overflowPunct/>
              <w:autoSpaceDE/>
              <w:autoSpaceDN/>
              <w:adjustRightInd/>
              <w:spacing w:line="276" w:lineRule="auto"/>
              <w:jc w:val="both"/>
              <w:textAlignment w:val="auto"/>
              <w:rPr>
                <w:rFonts w:eastAsiaTheme="minorHAnsi" w:cstheme="minorHAnsi"/>
                <w:b/>
                <w:sz w:val="18"/>
                <w:szCs w:val="18"/>
                <w:lang w:eastAsia="en-US"/>
              </w:rPr>
            </w:pPr>
          </w:p>
        </w:tc>
        <w:tc>
          <w:tcPr>
            <w:tcW w:w="2032" w:type="pct"/>
            <w:gridSpan w:val="7"/>
            <w:shd w:val="clear" w:color="auto" w:fill="C6D9F1" w:themeFill="text2" w:themeFillTint="33"/>
          </w:tcPr>
          <w:p w14:paraId="42C48922" w14:textId="77777777" w:rsidR="00577869" w:rsidRPr="00DD47DF" w:rsidRDefault="00577869" w:rsidP="0040363A">
            <w:pPr>
              <w:overflowPunct/>
              <w:autoSpaceDE/>
              <w:autoSpaceDN/>
              <w:adjustRightInd/>
              <w:jc w:val="center"/>
              <w:textAlignment w:val="auto"/>
              <w:rPr>
                <w:rFonts w:eastAsiaTheme="minorHAnsi" w:cstheme="minorHAnsi"/>
                <w:b/>
                <w:sz w:val="18"/>
                <w:szCs w:val="18"/>
                <w:lang w:eastAsia="en-US"/>
              </w:rPr>
            </w:pPr>
            <w:r w:rsidRPr="00DD47DF">
              <w:rPr>
                <w:rFonts w:eastAsiaTheme="minorHAnsi" w:cstheme="minorHAnsi"/>
                <w:b/>
                <w:sz w:val="18"/>
                <w:szCs w:val="18"/>
                <w:lang w:eastAsia="en-US"/>
              </w:rPr>
              <w:t>Klíčová odvětví aplikací a aplikační témata - národní</w:t>
            </w:r>
          </w:p>
        </w:tc>
        <w:tc>
          <w:tcPr>
            <w:tcW w:w="1388" w:type="pct"/>
            <w:gridSpan w:val="5"/>
            <w:shd w:val="clear" w:color="auto" w:fill="C6D9F1" w:themeFill="text2" w:themeFillTint="33"/>
          </w:tcPr>
          <w:p w14:paraId="08CDBE8A" w14:textId="77777777" w:rsidR="00577869" w:rsidRPr="00DD47DF" w:rsidRDefault="00577869" w:rsidP="0040363A">
            <w:pPr>
              <w:overflowPunct/>
              <w:autoSpaceDE/>
              <w:autoSpaceDN/>
              <w:adjustRightInd/>
              <w:jc w:val="center"/>
              <w:textAlignment w:val="auto"/>
              <w:rPr>
                <w:rFonts w:eastAsiaTheme="minorHAnsi" w:cstheme="minorHAnsi"/>
                <w:b/>
                <w:sz w:val="18"/>
                <w:szCs w:val="18"/>
                <w:lang w:eastAsia="en-US"/>
              </w:rPr>
            </w:pPr>
            <w:r w:rsidRPr="00DD47DF">
              <w:rPr>
                <w:rFonts w:eastAsiaTheme="minorHAnsi" w:cstheme="minorHAnsi"/>
                <w:b/>
                <w:sz w:val="18"/>
                <w:szCs w:val="18"/>
                <w:lang w:eastAsia="en-US"/>
              </w:rPr>
              <w:t>Klíčová odvětví aplikací znalostí - regionální</w:t>
            </w:r>
            <w:r w:rsidRPr="00DD47DF">
              <w:rPr>
                <w:rFonts w:eastAsiaTheme="minorHAnsi" w:cstheme="minorHAnsi"/>
                <w:b/>
                <w:sz w:val="18"/>
                <w:szCs w:val="18"/>
                <w:vertAlign w:val="superscript"/>
                <w:lang w:eastAsia="en-US"/>
              </w:rPr>
              <w:footnoteReference w:id="11"/>
            </w:r>
          </w:p>
        </w:tc>
      </w:tr>
      <w:tr w:rsidR="00577869" w:rsidRPr="00DD47DF" w14:paraId="5D1CC609" w14:textId="77777777" w:rsidTr="00650A99">
        <w:trPr>
          <w:cantSplit/>
          <w:trHeight w:val="2332"/>
          <w:jc w:val="center"/>
        </w:trPr>
        <w:tc>
          <w:tcPr>
            <w:tcW w:w="1580" w:type="pct"/>
            <w:gridSpan w:val="2"/>
            <w:vMerge/>
            <w:shd w:val="clear" w:color="auto" w:fill="C6D9F1" w:themeFill="text2" w:themeFillTint="33"/>
          </w:tcPr>
          <w:p w14:paraId="791C18A1" w14:textId="77777777" w:rsidR="00577869" w:rsidRPr="00DD47DF" w:rsidRDefault="00577869" w:rsidP="0040363A">
            <w:pPr>
              <w:overflowPunct/>
              <w:autoSpaceDE/>
              <w:autoSpaceDN/>
              <w:adjustRightInd/>
              <w:spacing w:line="276" w:lineRule="auto"/>
              <w:jc w:val="both"/>
              <w:textAlignment w:val="auto"/>
              <w:rPr>
                <w:rFonts w:eastAsiaTheme="minorHAnsi" w:cstheme="minorHAnsi"/>
                <w:b/>
                <w:sz w:val="18"/>
                <w:szCs w:val="18"/>
                <w:lang w:eastAsia="en-US"/>
              </w:rPr>
            </w:pPr>
          </w:p>
        </w:tc>
        <w:tc>
          <w:tcPr>
            <w:tcW w:w="328" w:type="pct"/>
            <w:shd w:val="clear" w:color="auto" w:fill="C6D9F1" w:themeFill="text2" w:themeFillTint="33"/>
            <w:textDirection w:val="tbRl"/>
            <w:vAlign w:val="center"/>
          </w:tcPr>
          <w:p w14:paraId="45E9CB6E"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Výroba dopravních prostředků, udržitelnost a bezpečnost dopravy</w:t>
            </w:r>
          </w:p>
        </w:tc>
        <w:tc>
          <w:tcPr>
            <w:tcW w:w="262" w:type="pct"/>
            <w:shd w:val="clear" w:color="auto" w:fill="C6D9F1" w:themeFill="text2" w:themeFillTint="33"/>
            <w:textDirection w:val="tbRl"/>
            <w:vAlign w:val="center"/>
          </w:tcPr>
          <w:p w14:paraId="352E0704"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 xml:space="preserve">Pokročilé a úsporné strojírenství a automatizace </w:t>
            </w:r>
          </w:p>
        </w:tc>
        <w:tc>
          <w:tcPr>
            <w:tcW w:w="276" w:type="pct"/>
            <w:shd w:val="clear" w:color="auto" w:fill="C6D9F1" w:themeFill="text2" w:themeFillTint="33"/>
            <w:textDirection w:val="tbRl"/>
            <w:vAlign w:val="center"/>
          </w:tcPr>
          <w:p w14:paraId="41CFE5F1"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Úsporná řešení v elektronice a elektrotechnice</w:t>
            </w:r>
          </w:p>
        </w:tc>
        <w:tc>
          <w:tcPr>
            <w:tcW w:w="276" w:type="pct"/>
            <w:shd w:val="clear" w:color="auto" w:fill="C6D9F1" w:themeFill="text2" w:themeFillTint="33"/>
            <w:textDirection w:val="tbRl"/>
            <w:vAlign w:val="center"/>
          </w:tcPr>
          <w:p w14:paraId="5FB51EF2"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 xml:space="preserve">IT služby, software a IT bezpečnost </w:t>
            </w:r>
          </w:p>
        </w:tc>
        <w:tc>
          <w:tcPr>
            <w:tcW w:w="276" w:type="pct"/>
            <w:shd w:val="clear" w:color="auto" w:fill="C6D9F1" w:themeFill="text2" w:themeFillTint="33"/>
            <w:textDirection w:val="tbRl"/>
            <w:vAlign w:val="center"/>
          </w:tcPr>
          <w:p w14:paraId="4271264C"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 xml:space="preserve">Udržitelná  a bezpečná výroba a distribuce el. energie  </w:t>
            </w:r>
          </w:p>
        </w:tc>
        <w:tc>
          <w:tcPr>
            <w:tcW w:w="276" w:type="pct"/>
            <w:shd w:val="clear" w:color="auto" w:fill="C6D9F1" w:themeFill="text2" w:themeFillTint="33"/>
            <w:textDirection w:val="tbRl"/>
            <w:vAlign w:val="center"/>
          </w:tcPr>
          <w:p w14:paraId="09D6F92B"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Léčiva a zdravotnické prostředky a metody pro zdravé stárnutí</w:t>
            </w:r>
          </w:p>
        </w:tc>
        <w:tc>
          <w:tcPr>
            <w:tcW w:w="337" w:type="pct"/>
            <w:shd w:val="clear" w:color="auto" w:fill="C6D9F1" w:themeFill="text2" w:themeFillTint="33"/>
            <w:textDirection w:val="tbRl"/>
            <w:vAlign w:val="center"/>
          </w:tcPr>
          <w:p w14:paraId="1721AC02"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 xml:space="preserve">Přírodní zdroje, udržitelné zemědělství a potravinová bezpečnost a dostatečnost </w:t>
            </w:r>
          </w:p>
        </w:tc>
        <w:tc>
          <w:tcPr>
            <w:tcW w:w="303" w:type="pct"/>
            <w:shd w:val="clear" w:color="auto" w:fill="C6D9F1" w:themeFill="text2" w:themeFillTint="33"/>
            <w:textDirection w:val="tbRl"/>
            <w:vAlign w:val="center"/>
          </w:tcPr>
          <w:p w14:paraId="01D083D9"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Chemie a chemický průmysl</w:t>
            </w:r>
          </w:p>
        </w:tc>
        <w:tc>
          <w:tcPr>
            <w:tcW w:w="276" w:type="pct"/>
            <w:shd w:val="clear" w:color="auto" w:fill="C6D9F1" w:themeFill="text2" w:themeFillTint="33"/>
            <w:textDirection w:val="tbRl"/>
            <w:vAlign w:val="center"/>
          </w:tcPr>
          <w:p w14:paraId="375EDB5F"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Sklářství, keramika</w:t>
            </w:r>
          </w:p>
        </w:tc>
        <w:tc>
          <w:tcPr>
            <w:tcW w:w="276" w:type="pct"/>
            <w:shd w:val="clear" w:color="auto" w:fill="C6D9F1" w:themeFill="text2" w:themeFillTint="33"/>
            <w:textDirection w:val="tbRl"/>
            <w:vAlign w:val="center"/>
          </w:tcPr>
          <w:p w14:paraId="4D12A68D"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Gumárenství, plastikářství</w:t>
            </w:r>
          </w:p>
        </w:tc>
        <w:tc>
          <w:tcPr>
            <w:tcW w:w="276" w:type="pct"/>
            <w:shd w:val="clear" w:color="auto" w:fill="C6D9F1" w:themeFill="text2" w:themeFillTint="33"/>
            <w:textDirection w:val="tbRl"/>
            <w:vAlign w:val="center"/>
          </w:tcPr>
          <w:p w14:paraId="5F8C544D"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Média</w:t>
            </w:r>
          </w:p>
        </w:tc>
        <w:tc>
          <w:tcPr>
            <w:tcW w:w="257" w:type="pct"/>
            <w:shd w:val="clear" w:color="auto" w:fill="C6D9F1" w:themeFill="text2" w:themeFillTint="33"/>
            <w:textDirection w:val="tbRl"/>
            <w:vAlign w:val="center"/>
          </w:tcPr>
          <w:p w14:paraId="258AE916"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Textil</w:t>
            </w:r>
          </w:p>
        </w:tc>
      </w:tr>
      <w:tr w:rsidR="00577869" w:rsidRPr="00DD47DF" w14:paraId="313E2F6C" w14:textId="77777777" w:rsidTr="00650A99">
        <w:trPr>
          <w:jc w:val="center"/>
        </w:trPr>
        <w:tc>
          <w:tcPr>
            <w:tcW w:w="316"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33E62754" w14:textId="77777777" w:rsidR="00577869" w:rsidRPr="00DD47DF" w:rsidRDefault="00577869" w:rsidP="0040363A">
            <w:pPr>
              <w:overflowPunct/>
              <w:autoSpaceDE/>
              <w:autoSpaceDN/>
              <w:adjustRightInd/>
              <w:ind w:left="113" w:right="113"/>
              <w:jc w:val="center"/>
              <w:textAlignment w:val="auto"/>
              <w:rPr>
                <w:rFonts w:eastAsiaTheme="minorHAnsi" w:cstheme="minorHAnsi"/>
                <w:b/>
                <w:sz w:val="18"/>
                <w:szCs w:val="18"/>
                <w:lang w:eastAsia="en-US"/>
              </w:rPr>
            </w:pPr>
            <w:r w:rsidRPr="00DD47DF">
              <w:rPr>
                <w:rFonts w:eastAsiaTheme="minorHAnsi" w:cstheme="minorHAnsi"/>
                <w:b/>
                <w:sz w:val="18"/>
                <w:szCs w:val="18"/>
                <w:lang w:eastAsia="en-US"/>
              </w:rPr>
              <w:t>Generické znalostní domény (KETs + netechnologické domény)</w:t>
            </w:r>
          </w:p>
        </w:tc>
        <w:tc>
          <w:tcPr>
            <w:tcW w:w="1264" w:type="pct"/>
            <w:tcBorders>
              <w:left w:val="single" w:sz="4" w:space="0" w:color="auto"/>
            </w:tcBorders>
          </w:tcPr>
          <w:p w14:paraId="1F7F961D" w14:textId="77777777" w:rsidR="00577869" w:rsidRPr="00DD47DF" w:rsidRDefault="00577869" w:rsidP="0040363A">
            <w:pPr>
              <w:overflowPunct/>
              <w:autoSpaceDE/>
              <w:autoSpaceDN/>
              <w:adjustRightInd/>
              <w:spacing w:line="276" w:lineRule="auto"/>
              <w:textAlignment w:val="auto"/>
              <w:rPr>
                <w:rFonts w:eastAsiaTheme="minorHAnsi" w:cstheme="minorHAnsi"/>
                <w:sz w:val="18"/>
                <w:szCs w:val="18"/>
                <w:lang w:eastAsia="en-US"/>
              </w:rPr>
            </w:pPr>
            <w:r w:rsidRPr="00DD47DF">
              <w:rPr>
                <w:rFonts w:eastAsiaTheme="minorHAnsi" w:cstheme="minorHAnsi"/>
                <w:sz w:val="18"/>
                <w:szCs w:val="18"/>
                <w:lang w:eastAsia="en-US"/>
              </w:rPr>
              <w:t>Pokročilé materiály</w:t>
            </w:r>
          </w:p>
        </w:tc>
        <w:tc>
          <w:tcPr>
            <w:tcW w:w="328" w:type="pct"/>
            <w:vAlign w:val="center"/>
          </w:tcPr>
          <w:p w14:paraId="7CAE8CC8"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62" w:type="pct"/>
            <w:vAlign w:val="center"/>
          </w:tcPr>
          <w:p w14:paraId="4F5BC1FA"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0E2D6E43"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7FEBBD07"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11BFBAB2"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0369E99A"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37" w:type="pct"/>
            <w:vAlign w:val="center"/>
          </w:tcPr>
          <w:p w14:paraId="11336F7F"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03" w:type="pct"/>
            <w:vAlign w:val="center"/>
          </w:tcPr>
          <w:p w14:paraId="7D49179A"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781B5F2F"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4D1F922C"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4F3784D0"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57" w:type="pct"/>
            <w:vAlign w:val="center"/>
          </w:tcPr>
          <w:p w14:paraId="1FEF0FCF"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r>
      <w:tr w:rsidR="00577869" w:rsidRPr="00DD47DF" w14:paraId="4E22C2A6" w14:textId="77777777" w:rsidTr="00650A99">
        <w:trPr>
          <w:jc w:val="center"/>
        </w:trPr>
        <w:tc>
          <w:tcPr>
            <w:tcW w:w="316" w:type="pct"/>
            <w:vMerge/>
            <w:tcBorders>
              <w:left w:val="single" w:sz="4" w:space="0" w:color="auto"/>
              <w:bottom w:val="single" w:sz="4" w:space="0" w:color="auto"/>
              <w:right w:val="single" w:sz="4" w:space="0" w:color="auto"/>
            </w:tcBorders>
            <w:shd w:val="clear" w:color="auto" w:fill="C6D9F1" w:themeFill="text2" w:themeFillTint="33"/>
            <w:vAlign w:val="center"/>
          </w:tcPr>
          <w:p w14:paraId="39AE170E" w14:textId="77777777" w:rsidR="00577869" w:rsidRPr="00DD47DF" w:rsidRDefault="00577869" w:rsidP="0040363A">
            <w:pPr>
              <w:overflowPunct/>
              <w:autoSpaceDE/>
              <w:autoSpaceDN/>
              <w:adjustRightInd/>
              <w:spacing w:line="276" w:lineRule="auto"/>
              <w:jc w:val="center"/>
              <w:textAlignment w:val="auto"/>
              <w:rPr>
                <w:rFonts w:eastAsiaTheme="minorHAnsi" w:cstheme="minorHAnsi"/>
                <w:sz w:val="18"/>
                <w:szCs w:val="18"/>
                <w:lang w:eastAsia="en-US"/>
              </w:rPr>
            </w:pPr>
          </w:p>
        </w:tc>
        <w:tc>
          <w:tcPr>
            <w:tcW w:w="1264" w:type="pct"/>
            <w:tcBorders>
              <w:left w:val="single" w:sz="4" w:space="0" w:color="auto"/>
            </w:tcBorders>
          </w:tcPr>
          <w:p w14:paraId="66B73F3D" w14:textId="77777777" w:rsidR="00577869" w:rsidRPr="00DD47DF" w:rsidRDefault="00577869" w:rsidP="0040363A">
            <w:pPr>
              <w:overflowPunct/>
              <w:autoSpaceDE/>
              <w:autoSpaceDN/>
              <w:adjustRightInd/>
              <w:spacing w:line="276" w:lineRule="auto"/>
              <w:textAlignment w:val="auto"/>
              <w:rPr>
                <w:rFonts w:eastAsiaTheme="minorHAnsi" w:cstheme="minorHAnsi"/>
                <w:sz w:val="18"/>
                <w:szCs w:val="18"/>
                <w:lang w:eastAsia="en-US"/>
              </w:rPr>
            </w:pPr>
            <w:r w:rsidRPr="00DD47DF">
              <w:rPr>
                <w:rFonts w:eastAsiaTheme="minorHAnsi" w:cstheme="minorHAnsi"/>
                <w:sz w:val="18"/>
                <w:szCs w:val="18"/>
                <w:lang w:eastAsia="en-US"/>
              </w:rPr>
              <w:t>Nanotechnologie</w:t>
            </w:r>
          </w:p>
        </w:tc>
        <w:tc>
          <w:tcPr>
            <w:tcW w:w="328" w:type="pct"/>
            <w:vAlign w:val="center"/>
          </w:tcPr>
          <w:p w14:paraId="1F01E81F"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62" w:type="pct"/>
            <w:vAlign w:val="center"/>
          </w:tcPr>
          <w:p w14:paraId="2732A263"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5C8C817C"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155063DE"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4813EBC1"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3F48161E"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37" w:type="pct"/>
            <w:vAlign w:val="center"/>
          </w:tcPr>
          <w:p w14:paraId="4B854FEB"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03" w:type="pct"/>
            <w:vAlign w:val="center"/>
          </w:tcPr>
          <w:p w14:paraId="5457CE1A"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478A8C38"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293212D7"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01099B6D"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57" w:type="pct"/>
            <w:vAlign w:val="center"/>
          </w:tcPr>
          <w:p w14:paraId="689C457D"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r>
      <w:tr w:rsidR="00577869" w:rsidRPr="00DD47DF" w14:paraId="54D15477" w14:textId="77777777" w:rsidTr="00650A99">
        <w:trPr>
          <w:jc w:val="center"/>
        </w:trPr>
        <w:tc>
          <w:tcPr>
            <w:tcW w:w="316" w:type="pct"/>
            <w:vMerge/>
            <w:tcBorders>
              <w:left w:val="single" w:sz="4" w:space="0" w:color="auto"/>
              <w:bottom w:val="single" w:sz="4" w:space="0" w:color="auto"/>
              <w:right w:val="single" w:sz="4" w:space="0" w:color="auto"/>
            </w:tcBorders>
            <w:shd w:val="clear" w:color="auto" w:fill="C6D9F1" w:themeFill="text2" w:themeFillTint="33"/>
            <w:vAlign w:val="center"/>
          </w:tcPr>
          <w:p w14:paraId="26923160" w14:textId="77777777" w:rsidR="00577869" w:rsidRPr="00DD47DF" w:rsidRDefault="00577869" w:rsidP="0040363A">
            <w:pPr>
              <w:overflowPunct/>
              <w:autoSpaceDE/>
              <w:autoSpaceDN/>
              <w:adjustRightInd/>
              <w:spacing w:line="276" w:lineRule="auto"/>
              <w:jc w:val="center"/>
              <w:textAlignment w:val="auto"/>
              <w:rPr>
                <w:rFonts w:eastAsiaTheme="minorHAnsi" w:cstheme="minorHAnsi"/>
                <w:sz w:val="18"/>
                <w:szCs w:val="18"/>
                <w:lang w:eastAsia="en-US"/>
              </w:rPr>
            </w:pPr>
          </w:p>
        </w:tc>
        <w:tc>
          <w:tcPr>
            <w:tcW w:w="1264" w:type="pct"/>
            <w:tcBorders>
              <w:left w:val="single" w:sz="4" w:space="0" w:color="auto"/>
            </w:tcBorders>
          </w:tcPr>
          <w:p w14:paraId="517CE5E6" w14:textId="77777777" w:rsidR="00577869" w:rsidRPr="00DD47DF" w:rsidRDefault="00577869" w:rsidP="0040363A">
            <w:pPr>
              <w:overflowPunct/>
              <w:autoSpaceDE/>
              <w:autoSpaceDN/>
              <w:adjustRightInd/>
              <w:spacing w:line="276" w:lineRule="auto"/>
              <w:textAlignment w:val="auto"/>
              <w:rPr>
                <w:rFonts w:eastAsiaTheme="minorHAnsi" w:cstheme="minorHAnsi"/>
                <w:sz w:val="18"/>
                <w:szCs w:val="18"/>
                <w:lang w:eastAsia="en-US"/>
              </w:rPr>
            </w:pPr>
            <w:r w:rsidRPr="00DD47DF">
              <w:rPr>
                <w:rFonts w:eastAsiaTheme="minorHAnsi" w:cstheme="minorHAnsi"/>
                <w:sz w:val="18"/>
                <w:szCs w:val="18"/>
                <w:lang w:eastAsia="en-US"/>
              </w:rPr>
              <w:t xml:space="preserve">Mikro a nanoelektronika </w:t>
            </w:r>
          </w:p>
        </w:tc>
        <w:tc>
          <w:tcPr>
            <w:tcW w:w="328" w:type="pct"/>
            <w:vAlign w:val="center"/>
          </w:tcPr>
          <w:p w14:paraId="3F8C80F8"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62" w:type="pct"/>
            <w:vAlign w:val="center"/>
          </w:tcPr>
          <w:p w14:paraId="0C3C90D3"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0A8CA341"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505FBBB8"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03B16A26"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4841E149"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37" w:type="pct"/>
            <w:vAlign w:val="center"/>
          </w:tcPr>
          <w:p w14:paraId="226C912D"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03" w:type="pct"/>
            <w:vAlign w:val="center"/>
          </w:tcPr>
          <w:p w14:paraId="3A0A3527"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34A5EFC9"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5CECCAF5"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03330A26"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57" w:type="pct"/>
            <w:vAlign w:val="center"/>
          </w:tcPr>
          <w:p w14:paraId="581911EB"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r>
      <w:tr w:rsidR="00577869" w:rsidRPr="00DD47DF" w14:paraId="416C87D1" w14:textId="77777777" w:rsidTr="00650A99">
        <w:trPr>
          <w:jc w:val="center"/>
        </w:trPr>
        <w:tc>
          <w:tcPr>
            <w:tcW w:w="316" w:type="pct"/>
            <w:vMerge/>
            <w:tcBorders>
              <w:left w:val="single" w:sz="4" w:space="0" w:color="auto"/>
              <w:bottom w:val="single" w:sz="4" w:space="0" w:color="auto"/>
              <w:right w:val="single" w:sz="4" w:space="0" w:color="auto"/>
            </w:tcBorders>
            <w:shd w:val="clear" w:color="auto" w:fill="C6D9F1" w:themeFill="text2" w:themeFillTint="33"/>
            <w:vAlign w:val="center"/>
          </w:tcPr>
          <w:p w14:paraId="7DA23FE1" w14:textId="77777777" w:rsidR="00577869" w:rsidRPr="00DD47DF" w:rsidRDefault="00577869" w:rsidP="0040363A">
            <w:pPr>
              <w:overflowPunct/>
              <w:autoSpaceDE/>
              <w:autoSpaceDN/>
              <w:adjustRightInd/>
              <w:spacing w:line="276" w:lineRule="auto"/>
              <w:jc w:val="center"/>
              <w:textAlignment w:val="auto"/>
              <w:rPr>
                <w:rFonts w:eastAsiaTheme="minorHAnsi" w:cstheme="minorHAnsi"/>
                <w:sz w:val="18"/>
                <w:szCs w:val="18"/>
                <w:lang w:eastAsia="en-US"/>
              </w:rPr>
            </w:pPr>
          </w:p>
        </w:tc>
        <w:tc>
          <w:tcPr>
            <w:tcW w:w="1264" w:type="pct"/>
            <w:tcBorders>
              <w:left w:val="single" w:sz="4" w:space="0" w:color="auto"/>
            </w:tcBorders>
          </w:tcPr>
          <w:p w14:paraId="54799518" w14:textId="77777777" w:rsidR="00577869" w:rsidRPr="00DD47DF" w:rsidRDefault="00577869" w:rsidP="0040363A">
            <w:pPr>
              <w:overflowPunct/>
              <w:autoSpaceDE/>
              <w:autoSpaceDN/>
              <w:adjustRightInd/>
              <w:spacing w:line="276" w:lineRule="auto"/>
              <w:textAlignment w:val="auto"/>
              <w:rPr>
                <w:rFonts w:eastAsiaTheme="minorHAnsi" w:cstheme="minorHAnsi"/>
                <w:sz w:val="18"/>
                <w:szCs w:val="18"/>
                <w:lang w:eastAsia="en-US"/>
              </w:rPr>
            </w:pPr>
            <w:r w:rsidRPr="00DD47DF">
              <w:rPr>
                <w:rFonts w:eastAsiaTheme="minorHAnsi" w:cstheme="minorHAnsi"/>
                <w:sz w:val="18"/>
                <w:szCs w:val="18"/>
                <w:lang w:eastAsia="en-US"/>
              </w:rPr>
              <w:t>Pokročilé výrobní technologie</w:t>
            </w:r>
          </w:p>
        </w:tc>
        <w:tc>
          <w:tcPr>
            <w:tcW w:w="328" w:type="pct"/>
            <w:vAlign w:val="center"/>
          </w:tcPr>
          <w:p w14:paraId="5759AB62"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62" w:type="pct"/>
            <w:vAlign w:val="center"/>
          </w:tcPr>
          <w:p w14:paraId="2610BD7F"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6B428461"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71DD75DF" w14:textId="77777777" w:rsidR="00577869" w:rsidRPr="00DD47DF" w:rsidRDefault="00577869" w:rsidP="0040363A">
            <w:pPr>
              <w:overflowPunct/>
              <w:autoSpaceDE/>
              <w:autoSpaceDN/>
              <w:adjustRightInd/>
              <w:textAlignment w:val="auto"/>
              <w:rPr>
                <w:rFonts w:eastAsiaTheme="minorHAnsi" w:cstheme="minorHAnsi"/>
                <w:sz w:val="16"/>
                <w:szCs w:val="18"/>
                <w:lang w:eastAsia="en-US"/>
              </w:rPr>
            </w:pPr>
          </w:p>
        </w:tc>
        <w:tc>
          <w:tcPr>
            <w:tcW w:w="276" w:type="pct"/>
            <w:vAlign w:val="center"/>
          </w:tcPr>
          <w:p w14:paraId="57FFD6EF"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0CE57076"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37" w:type="pct"/>
            <w:vAlign w:val="center"/>
          </w:tcPr>
          <w:p w14:paraId="591805FB"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03" w:type="pct"/>
            <w:vAlign w:val="center"/>
          </w:tcPr>
          <w:p w14:paraId="09AA40FC"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638BAC02"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0052A5DE"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7DB1E0A7"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57" w:type="pct"/>
            <w:vAlign w:val="center"/>
          </w:tcPr>
          <w:p w14:paraId="2C0470EA"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r>
      <w:tr w:rsidR="00577869" w:rsidRPr="00DD47DF" w14:paraId="71FD47F2" w14:textId="77777777" w:rsidTr="00650A99">
        <w:trPr>
          <w:jc w:val="center"/>
        </w:trPr>
        <w:tc>
          <w:tcPr>
            <w:tcW w:w="316" w:type="pct"/>
            <w:vMerge/>
            <w:tcBorders>
              <w:left w:val="single" w:sz="4" w:space="0" w:color="auto"/>
              <w:bottom w:val="single" w:sz="4" w:space="0" w:color="auto"/>
              <w:right w:val="single" w:sz="4" w:space="0" w:color="auto"/>
            </w:tcBorders>
            <w:shd w:val="clear" w:color="auto" w:fill="C6D9F1" w:themeFill="text2" w:themeFillTint="33"/>
            <w:vAlign w:val="center"/>
          </w:tcPr>
          <w:p w14:paraId="7BA32959" w14:textId="77777777" w:rsidR="00577869" w:rsidRPr="00DD47DF" w:rsidRDefault="00577869" w:rsidP="0040363A">
            <w:pPr>
              <w:overflowPunct/>
              <w:autoSpaceDE/>
              <w:autoSpaceDN/>
              <w:adjustRightInd/>
              <w:spacing w:line="276" w:lineRule="auto"/>
              <w:jc w:val="center"/>
              <w:textAlignment w:val="auto"/>
              <w:rPr>
                <w:rFonts w:eastAsiaTheme="minorHAnsi" w:cstheme="minorHAnsi"/>
                <w:sz w:val="18"/>
                <w:szCs w:val="18"/>
                <w:lang w:eastAsia="en-US"/>
              </w:rPr>
            </w:pPr>
          </w:p>
        </w:tc>
        <w:tc>
          <w:tcPr>
            <w:tcW w:w="1264" w:type="pct"/>
            <w:tcBorders>
              <w:left w:val="single" w:sz="4" w:space="0" w:color="auto"/>
            </w:tcBorders>
          </w:tcPr>
          <w:p w14:paraId="3D764606" w14:textId="77777777" w:rsidR="00577869" w:rsidRPr="00DD47DF" w:rsidRDefault="00577869" w:rsidP="0040363A">
            <w:pPr>
              <w:overflowPunct/>
              <w:autoSpaceDE/>
              <w:autoSpaceDN/>
              <w:adjustRightInd/>
              <w:spacing w:line="276" w:lineRule="auto"/>
              <w:textAlignment w:val="auto"/>
              <w:rPr>
                <w:rFonts w:eastAsiaTheme="minorHAnsi" w:cstheme="minorHAnsi"/>
                <w:sz w:val="18"/>
                <w:szCs w:val="18"/>
                <w:lang w:eastAsia="en-US"/>
              </w:rPr>
            </w:pPr>
            <w:r w:rsidRPr="00DD47DF">
              <w:rPr>
                <w:rFonts w:eastAsiaTheme="minorHAnsi" w:cstheme="minorHAnsi"/>
                <w:sz w:val="18"/>
                <w:szCs w:val="18"/>
                <w:lang w:eastAsia="en-US"/>
              </w:rPr>
              <w:t>Fotonika</w:t>
            </w:r>
          </w:p>
        </w:tc>
        <w:tc>
          <w:tcPr>
            <w:tcW w:w="328" w:type="pct"/>
            <w:vAlign w:val="center"/>
          </w:tcPr>
          <w:p w14:paraId="7D693668"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62" w:type="pct"/>
            <w:vAlign w:val="center"/>
          </w:tcPr>
          <w:p w14:paraId="48593901"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21ECB3B5"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10B6E027"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52C1F0E3"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7543218F"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37" w:type="pct"/>
            <w:vAlign w:val="center"/>
          </w:tcPr>
          <w:p w14:paraId="2B6B56C6"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03" w:type="pct"/>
            <w:vAlign w:val="center"/>
          </w:tcPr>
          <w:p w14:paraId="4FECAC17"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4592D71B"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2D52FE1A"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63EAF65F"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57" w:type="pct"/>
            <w:vAlign w:val="center"/>
          </w:tcPr>
          <w:p w14:paraId="47FA8CED"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r>
      <w:tr w:rsidR="00577869" w:rsidRPr="00DD47DF" w14:paraId="4F92F830" w14:textId="77777777" w:rsidTr="00650A99">
        <w:trPr>
          <w:jc w:val="center"/>
        </w:trPr>
        <w:tc>
          <w:tcPr>
            <w:tcW w:w="316" w:type="pct"/>
            <w:vMerge/>
            <w:tcBorders>
              <w:left w:val="single" w:sz="4" w:space="0" w:color="auto"/>
              <w:bottom w:val="single" w:sz="4" w:space="0" w:color="auto"/>
              <w:right w:val="single" w:sz="4" w:space="0" w:color="auto"/>
            </w:tcBorders>
            <w:shd w:val="clear" w:color="auto" w:fill="C6D9F1" w:themeFill="text2" w:themeFillTint="33"/>
            <w:vAlign w:val="center"/>
          </w:tcPr>
          <w:p w14:paraId="1CBE05AE" w14:textId="77777777" w:rsidR="00577869" w:rsidRPr="00DD47DF" w:rsidRDefault="00577869" w:rsidP="0040363A">
            <w:pPr>
              <w:overflowPunct/>
              <w:autoSpaceDE/>
              <w:autoSpaceDN/>
              <w:adjustRightInd/>
              <w:spacing w:line="276" w:lineRule="auto"/>
              <w:jc w:val="center"/>
              <w:textAlignment w:val="auto"/>
              <w:rPr>
                <w:rFonts w:eastAsiaTheme="minorHAnsi" w:cstheme="minorHAnsi"/>
                <w:sz w:val="18"/>
                <w:szCs w:val="18"/>
                <w:lang w:eastAsia="en-US"/>
              </w:rPr>
            </w:pPr>
          </w:p>
        </w:tc>
        <w:tc>
          <w:tcPr>
            <w:tcW w:w="1264" w:type="pct"/>
            <w:tcBorders>
              <w:left w:val="single" w:sz="4" w:space="0" w:color="auto"/>
            </w:tcBorders>
          </w:tcPr>
          <w:p w14:paraId="40EC93F1" w14:textId="77777777" w:rsidR="00577869" w:rsidRPr="00DD47DF" w:rsidRDefault="00577869" w:rsidP="0040363A">
            <w:pPr>
              <w:overflowPunct/>
              <w:autoSpaceDE/>
              <w:autoSpaceDN/>
              <w:adjustRightInd/>
              <w:spacing w:line="276" w:lineRule="auto"/>
              <w:textAlignment w:val="auto"/>
              <w:rPr>
                <w:rFonts w:eastAsiaTheme="minorHAnsi" w:cstheme="minorHAnsi"/>
                <w:sz w:val="18"/>
                <w:szCs w:val="18"/>
                <w:lang w:eastAsia="en-US"/>
              </w:rPr>
            </w:pPr>
            <w:r w:rsidRPr="00DD47DF">
              <w:rPr>
                <w:rFonts w:eastAsiaTheme="minorHAnsi" w:cstheme="minorHAnsi"/>
                <w:sz w:val="18"/>
                <w:szCs w:val="18"/>
                <w:lang w:eastAsia="en-US"/>
              </w:rPr>
              <w:t xml:space="preserve">Průmyslové biotechnologie </w:t>
            </w:r>
          </w:p>
        </w:tc>
        <w:tc>
          <w:tcPr>
            <w:tcW w:w="328" w:type="pct"/>
            <w:vAlign w:val="center"/>
          </w:tcPr>
          <w:p w14:paraId="4EF45313"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62" w:type="pct"/>
            <w:vAlign w:val="center"/>
          </w:tcPr>
          <w:p w14:paraId="0E23E788"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127607E7"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5519E4EF"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5D70919E"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428F50B6"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37" w:type="pct"/>
            <w:vAlign w:val="center"/>
          </w:tcPr>
          <w:p w14:paraId="0F1828B1"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03" w:type="pct"/>
            <w:vAlign w:val="center"/>
          </w:tcPr>
          <w:p w14:paraId="2CDDC839"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5356F5D8"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4A222FB7"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1C8D6DED"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57" w:type="pct"/>
            <w:vAlign w:val="center"/>
          </w:tcPr>
          <w:p w14:paraId="78BEECE5"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r>
      <w:tr w:rsidR="00577869" w:rsidRPr="00DD47DF" w14:paraId="4E26F43C" w14:textId="77777777" w:rsidTr="00650A99">
        <w:trPr>
          <w:jc w:val="center"/>
        </w:trPr>
        <w:tc>
          <w:tcPr>
            <w:tcW w:w="316" w:type="pct"/>
            <w:vMerge/>
            <w:tcBorders>
              <w:left w:val="single" w:sz="4" w:space="0" w:color="auto"/>
              <w:bottom w:val="single" w:sz="4" w:space="0" w:color="auto"/>
              <w:right w:val="single" w:sz="4" w:space="0" w:color="auto"/>
            </w:tcBorders>
            <w:shd w:val="clear" w:color="auto" w:fill="C6D9F1" w:themeFill="text2" w:themeFillTint="33"/>
            <w:vAlign w:val="center"/>
          </w:tcPr>
          <w:p w14:paraId="544831F6" w14:textId="77777777" w:rsidR="00577869" w:rsidRPr="00DD47DF" w:rsidRDefault="00577869" w:rsidP="0040363A">
            <w:pPr>
              <w:overflowPunct/>
              <w:autoSpaceDE/>
              <w:autoSpaceDN/>
              <w:adjustRightInd/>
              <w:spacing w:line="276" w:lineRule="auto"/>
              <w:jc w:val="center"/>
              <w:textAlignment w:val="auto"/>
              <w:rPr>
                <w:rFonts w:eastAsiaTheme="minorHAnsi" w:cstheme="minorHAnsi"/>
                <w:sz w:val="18"/>
                <w:szCs w:val="18"/>
                <w:lang w:eastAsia="en-US"/>
              </w:rPr>
            </w:pPr>
          </w:p>
        </w:tc>
        <w:tc>
          <w:tcPr>
            <w:tcW w:w="1264" w:type="pct"/>
            <w:tcBorders>
              <w:left w:val="single" w:sz="4" w:space="0" w:color="auto"/>
            </w:tcBorders>
          </w:tcPr>
          <w:p w14:paraId="70B1931D" w14:textId="77777777" w:rsidR="00577869" w:rsidRPr="00DD47DF" w:rsidRDefault="00577869" w:rsidP="0040363A">
            <w:pPr>
              <w:overflowPunct/>
              <w:autoSpaceDE/>
              <w:autoSpaceDN/>
              <w:adjustRightInd/>
              <w:spacing w:line="276" w:lineRule="auto"/>
              <w:textAlignment w:val="auto"/>
              <w:rPr>
                <w:rFonts w:eastAsiaTheme="minorHAnsi" w:cstheme="minorHAnsi"/>
                <w:sz w:val="18"/>
                <w:szCs w:val="18"/>
                <w:lang w:eastAsia="en-US"/>
              </w:rPr>
            </w:pPr>
            <w:r w:rsidRPr="00DD47DF">
              <w:rPr>
                <w:rFonts w:eastAsiaTheme="minorHAnsi" w:cstheme="minorHAnsi"/>
                <w:sz w:val="18"/>
                <w:szCs w:val="18"/>
                <w:lang w:eastAsia="en-US"/>
              </w:rPr>
              <w:t>Znalosti pro digitální ekonomiku</w:t>
            </w:r>
            <w:r w:rsidRPr="00DD47DF">
              <w:rPr>
                <w:rFonts w:eastAsiaTheme="minorHAnsi" w:cstheme="minorHAnsi"/>
                <w:sz w:val="18"/>
                <w:szCs w:val="18"/>
                <w:vertAlign w:val="superscript"/>
                <w:lang w:eastAsia="en-US"/>
              </w:rPr>
              <w:footnoteReference w:id="12"/>
            </w:r>
            <w:r w:rsidRPr="00DD47DF">
              <w:rPr>
                <w:rFonts w:eastAsiaTheme="minorHAnsi" w:cstheme="minorHAnsi"/>
                <w:sz w:val="18"/>
                <w:szCs w:val="18"/>
                <w:lang w:eastAsia="en-US"/>
              </w:rPr>
              <w:t>, kulturní a kreativní průmysl</w:t>
            </w:r>
            <w:r w:rsidRPr="00DD47DF">
              <w:rPr>
                <w:rFonts w:eastAsiaTheme="minorHAnsi" w:cstheme="minorHAnsi"/>
                <w:sz w:val="18"/>
                <w:szCs w:val="18"/>
                <w:vertAlign w:val="superscript"/>
                <w:lang w:eastAsia="en-US"/>
              </w:rPr>
              <w:footnoteReference w:id="13"/>
            </w:r>
          </w:p>
        </w:tc>
        <w:tc>
          <w:tcPr>
            <w:tcW w:w="328" w:type="pct"/>
            <w:vAlign w:val="center"/>
          </w:tcPr>
          <w:p w14:paraId="6765BD30"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62" w:type="pct"/>
            <w:vAlign w:val="center"/>
          </w:tcPr>
          <w:p w14:paraId="4517CBCE"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3CF270DB"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3BE0654A"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2A9A98A8"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07DF3788"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37" w:type="pct"/>
            <w:vAlign w:val="center"/>
          </w:tcPr>
          <w:p w14:paraId="19620F5C"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03" w:type="pct"/>
            <w:vAlign w:val="center"/>
          </w:tcPr>
          <w:p w14:paraId="61F403AD"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693DFA15"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09AFE999"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3CA150A0"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57" w:type="pct"/>
            <w:vAlign w:val="center"/>
          </w:tcPr>
          <w:p w14:paraId="139ECCE4"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r>
      <w:tr w:rsidR="00577869" w:rsidRPr="00DD47DF" w14:paraId="56EAE952" w14:textId="77777777" w:rsidTr="00650A99">
        <w:trPr>
          <w:jc w:val="center"/>
        </w:trPr>
        <w:tc>
          <w:tcPr>
            <w:tcW w:w="316" w:type="pct"/>
            <w:vMerge/>
            <w:tcBorders>
              <w:left w:val="single" w:sz="4" w:space="0" w:color="auto"/>
              <w:bottom w:val="single" w:sz="4" w:space="0" w:color="auto"/>
              <w:right w:val="single" w:sz="4" w:space="0" w:color="auto"/>
            </w:tcBorders>
            <w:shd w:val="clear" w:color="auto" w:fill="C6D9F1" w:themeFill="text2" w:themeFillTint="33"/>
            <w:vAlign w:val="center"/>
          </w:tcPr>
          <w:p w14:paraId="47747E7C" w14:textId="77777777" w:rsidR="00577869" w:rsidRPr="00DD47DF" w:rsidRDefault="00577869" w:rsidP="0040363A">
            <w:pPr>
              <w:overflowPunct/>
              <w:autoSpaceDE/>
              <w:autoSpaceDN/>
              <w:adjustRightInd/>
              <w:spacing w:line="276" w:lineRule="auto"/>
              <w:jc w:val="center"/>
              <w:textAlignment w:val="auto"/>
              <w:rPr>
                <w:rFonts w:eastAsiaTheme="minorHAnsi" w:cstheme="minorHAnsi"/>
                <w:sz w:val="18"/>
                <w:szCs w:val="18"/>
                <w:lang w:eastAsia="en-US"/>
              </w:rPr>
            </w:pPr>
          </w:p>
        </w:tc>
        <w:tc>
          <w:tcPr>
            <w:tcW w:w="1264" w:type="pct"/>
            <w:tcBorders>
              <w:left w:val="single" w:sz="4" w:space="0" w:color="auto"/>
            </w:tcBorders>
          </w:tcPr>
          <w:p w14:paraId="5B2528F9" w14:textId="77777777" w:rsidR="00577869" w:rsidRPr="00DD47DF" w:rsidRDefault="00577869" w:rsidP="0040363A">
            <w:pPr>
              <w:overflowPunct/>
              <w:autoSpaceDE/>
              <w:autoSpaceDN/>
              <w:adjustRightInd/>
              <w:spacing w:line="276" w:lineRule="auto"/>
              <w:textAlignment w:val="auto"/>
              <w:rPr>
                <w:rFonts w:eastAsiaTheme="minorHAnsi" w:cstheme="minorHAnsi"/>
                <w:sz w:val="18"/>
                <w:szCs w:val="18"/>
                <w:lang w:eastAsia="en-US"/>
              </w:rPr>
            </w:pPr>
            <w:r w:rsidRPr="00DD47DF">
              <w:rPr>
                <w:rFonts w:eastAsiaTheme="minorHAnsi" w:cstheme="minorHAnsi"/>
                <w:sz w:val="18"/>
                <w:szCs w:val="18"/>
                <w:lang w:eastAsia="en-US"/>
              </w:rPr>
              <w:t>Společenskovědní znalosti pro netechnické inovace</w:t>
            </w:r>
          </w:p>
        </w:tc>
        <w:tc>
          <w:tcPr>
            <w:tcW w:w="328" w:type="pct"/>
            <w:vAlign w:val="center"/>
          </w:tcPr>
          <w:p w14:paraId="3BA1AEB3"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62" w:type="pct"/>
            <w:vAlign w:val="center"/>
          </w:tcPr>
          <w:p w14:paraId="44B7E57D"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5DEBCBCB"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39F60D5A"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2F6B1109"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397949DB"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37" w:type="pct"/>
            <w:vAlign w:val="center"/>
          </w:tcPr>
          <w:p w14:paraId="7D132A40"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03" w:type="pct"/>
            <w:vAlign w:val="center"/>
          </w:tcPr>
          <w:p w14:paraId="6348D554"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7C2CEFEC"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62FD2CF7"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25B2DFDE"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57" w:type="pct"/>
            <w:vAlign w:val="center"/>
          </w:tcPr>
          <w:p w14:paraId="5A42FCD9"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r>
    </w:tbl>
    <w:p w14:paraId="0D05DC7D" w14:textId="77777777" w:rsidR="00577869" w:rsidRPr="00DD47DF" w:rsidRDefault="00577869" w:rsidP="00577869">
      <w:pPr>
        <w:pStyle w:val="Standardntext"/>
        <w:spacing w:before="120"/>
      </w:pPr>
      <w:r w:rsidRPr="00DD47DF">
        <w:lastRenderedPageBreak/>
        <w:t>Pro tyto vertikální priority představuje OP PIK jeden z hlavních implementačních nástrojů. Na uvedená aplikační témata bude brán zvláštní zřetel při tvorbě program</w:t>
      </w:r>
      <w:r w:rsidR="00782BE3" w:rsidRPr="00DD47DF">
        <w:t>ů podpory</w:t>
      </w:r>
      <w:r w:rsidRPr="00DD47DF">
        <w:t xml:space="preserve">, ve výzvách a při hodnocení projektů a bude k přihlédnuto k tomu, zda předmětná intervence k těmto prioritám přispívá. Synergické nastavení RIS3 a OP PIK podporuje také skutečnost, že předmětná odvětví byla identifikována také v rámci analytické části přípravy OP PIK. </w:t>
      </w:r>
    </w:p>
    <w:p w14:paraId="34E857E4" w14:textId="77777777" w:rsidR="00577869" w:rsidRPr="00DD47DF" w:rsidRDefault="00577869" w:rsidP="00577869">
      <w:pPr>
        <w:pStyle w:val="Standardntext"/>
      </w:pPr>
      <w:r w:rsidRPr="00DD47DF">
        <w:t>Naplňování cílů a vertikálních priorit definovaných v Národní RIS3 strategii bude průběžně sledováno a vyhodnocováno externím nezávislým subjektem ve spolupráci s dotčenými realizátory intervencí za využití speciálních datových šetření a dopadových a dalších srovnávacích analýz a evaluací.</w:t>
      </w:r>
    </w:p>
    <w:p w14:paraId="50808D4F" w14:textId="77777777" w:rsidR="00E46D79" w:rsidRPr="00DD47DF" w:rsidRDefault="00E46D79" w:rsidP="000B0FE7">
      <w:pPr>
        <w:pStyle w:val="Standardntext"/>
        <w:keepNext/>
        <w:keepLines/>
        <w:rPr>
          <w:b/>
        </w:rPr>
      </w:pPr>
      <w:r w:rsidRPr="00DD47DF">
        <w:rPr>
          <w:b/>
        </w:rPr>
        <w:t>SWOT analýza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14"/>
      </w:tblGrid>
      <w:tr w:rsidR="00D603D5" w:rsidRPr="00DD47DF" w14:paraId="5B563043" w14:textId="77777777" w:rsidTr="007D02F2">
        <w:trPr>
          <w:trHeight w:val="552"/>
        </w:trPr>
        <w:tc>
          <w:tcPr>
            <w:tcW w:w="2500" w:type="pct"/>
            <w:shd w:val="clear" w:color="auto" w:fill="B8CCE4" w:themeFill="accent1" w:themeFillTint="66"/>
            <w:vAlign w:val="center"/>
          </w:tcPr>
          <w:p w14:paraId="6EB9F47A" w14:textId="77777777" w:rsidR="00D603D5" w:rsidRPr="00DD47DF" w:rsidRDefault="00D603D5" w:rsidP="000B0FE7">
            <w:pPr>
              <w:pStyle w:val="Tabulka"/>
              <w:keepNext/>
              <w:keepLines/>
              <w:rPr>
                <w:b/>
              </w:rPr>
            </w:pPr>
            <w:r w:rsidRPr="00DD47DF">
              <w:rPr>
                <w:b/>
              </w:rPr>
              <w:t>Silné stránky</w:t>
            </w:r>
          </w:p>
        </w:tc>
        <w:tc>
          <w:tcPr>
            <w:tcW w:w="2500" w:type="pct"/>
            <w:shd w:val="clear" w:color="auto" w:fill="B8CCE4" w:themeFill="accent1" w:themeFillTint="66"/>
            <w:vAlign w:val="center"/>
          </w:tcPr>
          <w:p w14:paraId="6EE4D1EC" w14:textId="77777777" w:rsidR="00D603D5" w:rsidRPr="00DD47DF" w:rsidRDefault="00D603D5" w:rsidP="000B0FE7">
            <w:pPr>
              <w:pStyle w:val="Tabulka"/>
              <w:keepNext/>
              <w:keepLines/>
              <w:rPr>
                <w:b/>
              </w:rPr>
            </w:pPr>
            <w:r w:rsidRPr="00DD47DF">
              <w:rPr>
                <w:b/>
              </w:rPr>
              <w:t>Slabé stránky</w:t>
            </w:r>
          </w:p>
        </w:tc>
      </w:tr>
      <w:tr w:rsidR="00D603D5" w:rsidRPr="00DD47DF" w14:paraId="194BEC80" w14:textId="77777777" w:rsidTr="007D02F2">
        <w:tc>
          <w:tcPr>
            <w:tcW w:w="2500" w:type="pct"/>
            <w:shd w:val="clear" w:color="auto" w:fill="auto"/>
          </w:tcPr>
          <w:p w14:paraId="148658FA" w14:textId="77777777" w:rsidR="00D603D5" w:rsidRPr="00DD47DF" w:rsidRDefault="00D603D5" w:rsidP="00DA3512">
            <w:pPr>
              <w:pStyle w:val="Tabulka"/>
              <w:keepNext/>
              <w:keepLines/>
              <w:numPr>
                <w:ilvl w:val="0"/>
                <w:numId w:val="93"/>
              </w:numPr>
              <w:ind w:left="426"/>
              <w:jc w:val="left"/>
            </w:pPr>
            <w:r w:rsidRPr="00DD47DF">
              <w:t>Schopnost podniků vyvíjet a zavádět nové produkty, technologické postupy, změny v organizaci práce či nové způsoby prodeje výrobků a služeb;</w:t>
            </w:r>
          </w:p>
          <w:p w14:paraId="0110321C" w14:textId="77777777" w:rsidR="00D603D5" w:rsidRPr="00DD47DF" w:rsidRDefault="00D603D5" w:rsidP="00DA3512">
            <w:pPr>
              <w:pStyle w:val="Tabulka"/>
              <w:keepNext/>
              <w:keepLines/>
              <w:numPr>
                <w:ilvl w:val="0"/>
                <w:numId w:val="93"/>
              </w:numPr>
              <w:ind w:left="426"/>
              <w:jc w:val="left"/>
            </w:pPr>
            <w:r w:rsidRPr="00DD47DF">
              <w:t>Zlepšení v oblasti technologické i vědecko-výzkumné infrastruktury;</w:t>
            </w:r>
          </w:p>
          <w:p w14:paraId="655F13FE" w14:textId="77777777" w:rsidR="00D603D5" w:rsidRPr="00DD47DF" w:rsidRDefault="00D603D5" w:rsidP="00DA3512">
            <w:pPr>
              <w:pStyle w:val="Tabulka"/>
              <w:keepNext/>
              <w:keepLines/>
              <w:numPr>
                <w:ilvl w:val="0"/>
                <w:numId w:val="93"/>
              </w:numPr>
              <w:ind w:left="426"/>
              <w:jc w:val="left"/>
            </w:pPr>
            <w:r w:rsidRPr="00DD47DF">
              <w:t>Pozitivní trend ve vývoji výdajů na VaV;</w:t>
            </w:r>
          </w:p>
          <w:p w14:paraId="0B8EDD7B" w14:textId="77777777" w:rsidR="00D603D5" w:rsidRPr="00DD47DF" w:rsidRDefault="00D603D5" w:rsidP="00DA3512">
            <w:pPr>
              <w:pStyle w:val="Tabulka"/>
              <w:keepNext/>
              <w:keepLines/>
              <w:numPr>
                <w:ilvl w:val="0"/>
                <w:numId w:val="93"/>
              </w:numPr>
              <w:ind w:left="426"/>
              <w:jc w:val="left"/>
            </w:pPr>
            <w:r w:rsidRPr="00DD47DF">
              <w:t>Trend růstu počtu vývojových center ve firmách (růst počtu subjektů realizujících aktivity výzkumu a vývoje);</w:t>
            </w:r>
          </w:p>
          <w:p w14:paraId="02D36D56" w14:textId="77777777" w:rsidR="00D603D5" w:rsidRPr="00DD47DF" w:rsidRDefault="00D603D5" w:rsidP="00DA3512">
            <w:pPr>
              <w:pStyle w:val="Tabulka"/>
              <w:keepNext/>
              <w:keepLines/>
              <w:numPr>
                <w:ilvl w:val="0"/>
                <w:numId w:val="93"/>
              </w:numPr>
              <w:ind w:left="426"/>
              <w:jc w:val="left"/>
            </w:pPr>
            <w:r w:rsidRPr="00DD47DF">
              <w:t>Kvantitativní posílení inovační infrastruktury – zvýšení počtu zařízení / organizací na podporu inovačního podnikání a technologického transferu;</w:t>
            </w:r>
          </w:p>
          <w:p w14:paraId="041631D2" w14:textId="77777777" w:rsidR="00D603D5" w:rsidRPr="00DD47DF" w:rsidRDefault="00D603D5" w:rsidP="00DA3512">
            <w:pPr>
              <w:pStyle w:val="Tabulka"/>
              <w:keepNext/>
              <w:keepLines/>
              <w:numPr>
                <w:ilvl w:val="0"/>
                <w:numId w:val="93"/>
              </w:numPr>
              <w:ind w:left="426"/>
              <w:jc w:val="left"/>
            </w:pPr>
            <w:r w:rsidRPr="00DD47DF">
              <w:t>Kvalitní technické kompetence a tradice průmyslového know-how.</w:t>
            </w:r>
          </w:p>
        </w:tc>
        <w:tc>
          <w:tcPr>
            <w:tcW w:w="2500" w:type="pct"/>
            <w:shd w:val="clear" w:color="auto" w:fill="auto"/>
          </w:tcPr>
          <w:p w14:paraId="6281F3E5" w14:textId="77777777" w:rsidR="00D603D5" w:rsidRPr="00DD47DF" w:rsidRDefault="00D603D5" w:rsidP="00DA3512">
            <w:pPr>
              <w:pStyle w:val="Tabulka"/>
              <w:keepNext/>
              <w:keepLines/>
              <w:numPr>
                <w:ilvl w:val="0"/>
                <w:numId w:val="93"/>
              </w:numPr>
              <w:ind w:left="459"/>
              <w:jc w:val="left"/>
            </w:pPr>
            <w:r w:rsidRPr="00DD47DF">
              <w:rPr>
                <w:rFonts w:cs="Calibri"/>
                <w:bCs/>
              </w:rPr>
              <w:t>ČR zaostává v oblasti využití výsledků VaVaI;</w:t>
            </w:r>
          </w:p>
          <w:p w14:paraId="2E768847" w14:textId="77777777" w:rsidR="00D603D5" w:rsidRPr="00DD47DF" w:rsidRDefault="00D603D5" w:rsidP="00DA3512">
            <w:pPr>
              <w:pStyle w:val="Tabulka"/>
              <w:keepNext/>
              <w:keepLines/>
              <w:numPr>
                <w:ilvl w:val="0"/>
                <w:numId w:val="93"/>
              </w:numPr>
              <w:ind w:left="459"/>
              <w:jc w:val="left"/>
            </w:pPr>
            <w:r w:rsidRPr="00DD47DF">
              <w:rPr>
                <w:rFonts w:cs="Calibri"/>
                <w:bCs/>
              </w:rPr>
              <w:t>Nízké výdaje podnikatelského sektoru na provádění VaV ve vládním a vysokoškolském sektoru;</w:t>
            </w:r>
          </w:p>
          <w:p w14:paraId="1456CC29" w14:textId="77777777" w:rsidR="00D603D5" w:rsidRPr="00DD47DF" w:rsidRDefault="00D603D5" w:rsidP="00DA3512">
            <w:pPr>
              <w:pStyle w:val="Tabulka"/>
              <w:keepNext/>
              <w:keepLines/>
              <w:numPr>
                <w:ilvl w:val="0"/>
                <w:numId w:val="93"/>
              </w:numPr>
              <w:ind w:left="459"/>
              <w:jc w:val="left"/>
            </w:pPr>
            <w:r w:rsidRPr="00DD47DF">
              <w:t>Podrozvinutost znalostních kapacit některých regionů;</w:t>
            </w:r>
          </w:p>
          <w:p w14:paraId="60E2F57E" w14:textId="77777777" w:rsidR="00D603D5" w:rsidRPr="00DD47DF" w:rsidRDefault="00D603D5" w:rsidP="00DA3512">
            <w:pPr>
              <w:pStyle w:val="Tabulka"/>
              <w:keepNext/>
              <w:keepLines/>
              <w:numPr>
                <w:ilvl w:val="0"/>
                <w:numId w:val="93"/>
              </w:numPr>
              <w:ind w:left="459"/>
              <w:jc w:val="left"/>
            </w:pPr>
            <w:r w:rsidRPr="00DD47DF">
              <w:rPr>
                <w:rFonts w:cs="Calibri"/>
                <w:bCs/>
              </w:rPr>
              <w:t>Nízká inovační poptávka českých podniků, p</w:t>
            </w:r>
            <w:r w:rsidRPr="00DD47DF">
              <w:t>řevaha výroby s malou přidanou hodnotou</w:t>
            </w:r>
            <w:r w:rsidRPr="00DD47DF">
              <w:rPr>
                <w:rFonts w:cs="Calibri"/>
                <w:bCs/>
              </w:rPr>
              <w:t>;</w:t>
            </w:r>
          </w:p>
          <w:p w14:paraId="7DF0D03D" w14:textId="77777777" w:rsidR="00D603D5" w:rsidRPr="00DD47DF" w:rsidRDefault="00D603D5" w:rsidP="00DA3512">
            <w:pPr>
              <w:pStyle w:val="Tabulka"/>
              <w:keepNext/>
              <w:keepLines/>
              <w:numPr>
                <w:ilvl w:val="0"/>
                <w:numId w:val="93"/>
              </w:numPr>
              <w:ind w:left="459"/>
              <w:jc w:val="left"/>
              <w:rPr>
                <w:rFonts w:cs="Calibri"/>
                <w:bCs/>
              </w:rPr>
            </w:pPr>
            <w:r w:rsidRPr="00DD47DF">
              <w:rPr>
                <w:rFonts w:cs="Calibri"/>
                <w:bCs/>
              </w:rPr>
              <w:t>Nedostatečné povědomí a využití ochrany práv duševního vlastnictví, nízký počet patentových přihlášek u Evropského patentového úřadu;</w:t>
            </w:r>
          </w:p>
          <w:p w14:paraId="1A71C2D4" w14:textId="77777777" w:rsidR="00D603D5" w:rsidRPr="00DD47DF" w:rsidRDefault="00D603D5" w:rsidP="00DA3512">
            <w:pPr>
              <w:pStyle w:val="Tabulka"/>
              <w:keepNext/>
              <w:keepLines/>
              <w:numPr>
                <w:ilvl w:val="0"/>
                <w:numId w:val="93"/>
              </w:numPr>
              <w:ind w:left="459"/>
              <w:jc w:val="left"/>
            </w:pPr>
            <w:r w:rsidRPr="00DD47DF">
              <w:t>Spoléhání se pouze na vlastní kompetence a nedůvěra v přínosy ze spolupráce, ať už mezi podniky či s výzkumnými institucemi.</w:t>
            </w:r>
          </w:p>
        </w:tc>
      </w:tr>
      <w:tr w:rsidR="00D603D5" w:rsidRPr="00DD47DF" w14:paraId="681C57D6" w14:textId="77777777" w:rsidTr="007D02F2">
        <w:trPr>
          <w:trHeight w:val="553"/>
        </w:trPr>
        <w:tc>
          <w:tcPr>
            <w:tcW w:w="2500" w:type="pct"/>
            <w:shd w:val="clear" w:color="auto" w:fill="B8CCE4" w:themeFill="accent1" w:themeFillTint="66"/>
            <w:vAlign w:val="center"/>
          </w:tcPr>
          <w:p w14:paraId="10BCA7CB" w14:textId="77777777" w:rsidR="00D603D5" w:rsidRPr="00DD47DF" w:rsidRDefault="00D603D5" w:rsidP="007D02F2">
            <w:pPr>
              <w:pStyle w:val="Tabulka"/>
              <w:rPr>
                <w:b/>
                <w:sz w:val="24"/>
              </w:rPr>
            </w:pPr>
            <w:r w:rsidRPr="00DD47DF">
              <w:rPr>
                <w:b/>
              </w:rPr>
              <w:t>Příležitosti</w:t>
            </w:r>
          </w:p>
        </w:tc>
        <w:tc>
          <w:tcPr>
            <w:tcW w:w="2500" w:type="pct"/>
            <w:shd w:val="clear" w:color="auto" w:fill="B8CCE4" w:themeFill="accent1" w:themeFillTint="66"/>
            <w:vAlign w:val="center"/>
          </w:tcPr>
          <w:p w14:paraId="307DE08D" w14:textId="77777777" w:rsidR="00D603D5" w:rsidRPr="00DD47DF" w:rsidRDefault="00D603D5" w:rsidP="007D02F2">
            <w:pPr>
              <w:pStyle w:val="Tabulka"/>
              <w:rPr>
                <w:b/>
                <w:sz w:val="24"/>
              </w:rPr>
            </w:pPr>
            <w:r w:rsidRPr="00DD47DF">
              <w:rPr>
                <w:b/>
              </w:rPr>
              <w:t>Hrozby</w:t>
            </w:r>
          </w:p>
        </w:tc>
      </w:tr>
      <w:tr w:rsidR="00D603D5" w:rsidRPr="00DD47DF" w14:paraId="71A5D884" w14:textId="77777777" w:rsidTr="007D02F2">
        <w:tc>
          <w:tcPr>
            <w:tcW w:w="2500" w:type="pct"/>
            <w:shd w:val="clear" w:color="auto" w:fill="auto"/>
          </w:tcPr>
          <w:p w14:paraId="2262AC0C" w14:textId="77777777" w:rsidR="00D603D5" w:rsidRPr="00DD47DF" w:rsidRDefault="00D603D5" w:rsidP="00DA3512">
            <w:pPr>
              <w:pStyle w:val="Tabulka"/>
              <w:numPr>
                <w:ilvl w:val="0"/>
                <w:numId w:val="93"/>
              </w:numPr>
              <w:ind w:left="426"/>
              <w:jc w:val="left"/>
            </w:pPr>
            <w:r w:rsidRPr="00DD47DF">
              <w:t>Rozvoj výzkumně-vývojových aktivit v oblastech řazených mezi tzv. „key enabling technologies“ (tzv. klíčových technologií);</w:t>
            </w:r>
          </w:p>
          <w:p w14:paraId="3E6F1323" w14:textId="77777777" w:rsidR="00D603D5" w:rsidRPr="00DD47DF" w:rsidRDefault="00D603D5" w:rsidP="00DA3512">
            <w:pPr>
              <w:pStyle w:val="Tabulka"/>
              <w:numPr>
                <w:ilvl w:val="0"/>
                <w:numId w:val="93"/>
              </w:numPr>
              <w:ind w:left="426"/>
              <w:jc w:val="left"/>
            </w:pPr>
            <w:r w:rsidRPr="00DD47DF">
              <w:t>Využít potenciál inovací v aplikační sféře;</w:t>
            </w:r>
          </w:p>
          <w:p w14:paraId="463E0A32" w14:textId="77777777" w:rsidR="00D603D5" w:rsidRPr="00DD47DF" w:rsidRDefault="00D603D5" w:rsidP="00DA3512">
            <w:pPr>
              <w:pStyle w:val="Tabulka"/>
              <w:numPr>
                <w:ilvl w:val="0"/>
                <w:numId w:val="93"/>
              </w:numPr>
              <w:ind w:left="426"/>
              <w:jc w:val="left"/>
            </w:pPr>
            <w:r w:rsidRPr="00DD47DF">
              <w:t>Reforma financování vědy a výzkumu – posílení podpory kvality na úkor kvantity a nové impulsy pro intenzivnější spolupráci průmyslového a akademického sektoru;</w:t>
            </w:r>
          </w:p>
          <w:p w14:paraId="5519E9E4" w14:textId="77777777" w:rsidR="00D603D5" w:rsidRPr="00DD47DF" w:rsidRDefault="00D603D5" w:rsidP="00DA3512">
            <w:pPr>
              <w:pStyle w:val="Tabulka"/>
              <w:numPr>
                <w:ilvl w:val="0"/>
                <w:numId w:val="93"/>
              </w:numPr>
              <w:ind w:left="426"/>
              <w:jc w:val="left"/>
            </w:pPr>
            <w:r w:rsidRPr="00DD47DF">
              <w:t>Zlepšení institucionálního prostředí jako signál pro zahraniční investice do aktivit s vysokou přidanou hodnotou;</w:t>
            </w:r>
          </w:p>
          <w:p w14:paraId="5E2EC5D7" w14:textId="77777777" w:rsidR="00D603D5" w:rsidRPr="00DD47DF" w:rsidRDefault="00D603D5" w:rsidP="00DA3512">
            <w:pPr>
              <w:pStyle w:val="Tabulka"/>
              <w:numPr>
                <w:ilvl w:val="0"/>
                <w:numId w:val="93"/>
              </w:numPr>
              <w:ind w:left="426"/>
              <w:jc w:val="left"/>
            </w:pPr>
            <w:r w:rsidRPr="00DD47DF">
              <w:t>Benefity vyplývající ze síťování podniků (klastry) včetně navázání spolupráce se zahraničními obchodními partnery a výzkumnými organizacemi;</w:t>
            </w:r>
          </w:p>
          <w:p w14:paraId="4368A62B" w14:textId="77777777" w:rsidR="00D603D5" w:rsidRPr="00DD47DF" w:rsidRDefault="00D603D5" w:rsidP="00DA3512">
            <w:pPr>
              <w:pStyle w:val="Tabulka"/>
              <w:numPr>
                <w:ilvl w:val="0"/>
                <w:numId w:val="93"/>
              </w:numPr>
              <w:ind w:left="426"/>
              <w:jc w:val="left"/>
            </w:pPr>
            <w:r w:rsidRPr="00DD47DF">
              <w:t xml:space="preserve">Maximální využití vybudované VaVaI </w:t>
            </w:r>
            <w:r w:rsidRPr="00DD47DF">
              <w:lastRenderedPageBreak/>
              <w:t>infrastruktury.</w:t>
            </w:r>
          </w:p>
        </w:tc>
        <w:tc>
          <w:tcPr>
            <w:tcW w:w="2500" w:type="pct"/>
            <w:shd w:val="clear" w:color="auto" w:fill="auto"/>
          </w:tcPr>
          <w:p w14:paraId="20BB8A07" w14:textId="77777777" w:rsidR="00D603D5" w:rsidRPr="00DD47DF" w:rsidRDefault="00D603D5" w:rsidP="00DA3512">
            <w:pPr>
              <w:pStyle w:val="Tabulka"/>
              <w:numPr>
                <w:ilvl w:val="0"/>
                <w:numId w:val="93"/>
              </w:numPr>
              <w:ind w:left="459"/>
              <w:jc w:val="left"/>
            </w:pPr>
            <w:r w:rsidRPr="00DD47DF">
              <w:lastRenderedPageBreak/>
              <w:t>Silná koncentrace aktivit VaV do několika málo oborů, subjektů a především do podniků pod zahraniční kontrolou;</w:t>
            </w:r>
          </w:p>
          <w:p w14:paraId="55AAF02E" w14:textId="77777777" w:rsidR="00D603D5" w:rsidRPr="00DD47DF" w:rsidRDefault="00D603D5" w:rsidP="00DA3512">
            <w:pPr>
              <w:pStyle w:val="Tabulka"/>
              <w:numPr>
                <w:ilvl w:val="0"/>
                <w:numId w:val="93"/>
              </w:numPr>
              <w:ind w:left="459"/>
              <w:jc w:val="left"/>
            </w:pPr>
            <w:r w:rsidRPr="00DD47DF">
              <w:t xml:space="preserve">Velká vzdálenost domácích firem od koncových trhů / zákazníků </w:t>
            </w:r>
            <w:r w:rsidRPr="00DD47DF">
              <w:sym w:font="Symbol" w:char="F0AE"/>
            </w:r>
            <w:r w:rsidRPr="00DD47DF">
              <w:t xml:space="preserve"> omezené impulsy pro inovace;</w:t>
            </w:r>
          </w:p>
          <w:p w14:paraId="19CCF30C" w14:textId="77777777" w:rsidR="00D603D5" w:rsidRPr="00DD47DF" w:rsidRDefault="00D603D5" w:rsidP="00DA3512">
            <w:pPr>
              <w:pStyle w:val="Tabulka"/>
              <w:numPr>
                <w:ilvl w:val="0"/>
                <w:numId w:val="93"/>
              </w:numPr>
              <w:ind w:left="459"/>
              <w:jc w:val="left"/>
            </w:pPr>
            <w:r w:rsidRPr="00DD47DF">
              <w:t>Postupná ztráta dosavadních komparativních výhod českých podniků – kombinace dobrých technických kompetencí a ceny již není dostatečná;</w:t>
            </w:r>
          </w:p>
          <w:p w14:paraId="6694E122" w14:textId="77777777" w:rsidR="00D603D5" w:rsidRPr="00DD47DF" w:rsidRDefault="00D603D5" w:rsidP="00DA3512">
            <w:pPr>
              <w:pStyle w:val="Tabulka"/>
              <w:numPr>
                <w:ilvl w:val="0"/>
                <w:numId w:val="93"/>
              </w:numPr>
              <w:ind w:left="459"/>
              <w:jc w:val="left"/>
            </w:pPr>
            <w:r w:rsidRPr="00DD47DF">
              <w:t>Neočekávané působení faktorů ekonomické krize (pokles domácí a zahraniční poptávky apod.) a s tím spojené riziko propadu investic do výzkumu, vývoje a inovací;</w:t>
            </w:r>
          </w:p>
          <w:p w14:paraId="788DC404" w14:textId="77777777" w:rsidR="00D603D5" w:rsidRPr="00DD47DF" w:rsidRDefault="00D603D5" w:rsidP="00DA3512">
            <w:pPr>
              <w:pStyle w:val="Tabulka"/>
              <w:numPr>
                <w:ilvl w:val="0"/>
                <w:numId w:val="93"/>
              </w:numPr>
              <w:ind w:left="459"/>
              <w:jc w:val="left"/>
            </w:pPr>
            <w:r w:rsidRPr="00DD47DF">
              <w:t xml:space="preserve">Nedostatečný počet kvalifikovaných lidských zdrojů v odvětvích náročných na znalosti </w:t>
            </w:r>
            <w:r w:rsidRPr="00DD47DF">
              <w:lastRenderedPageBreak/>
              <w:t>související s odchodem kvalifikovaných, zejména mladých vědeckých a odborných pracovníků pracujících ve firmách do jiných zemí</w:t>
            </w:r>
            <w:r w:rsidR="002F7F4F" w:rsidRPr="00DD47DF">
              <w:t>.</w:t>
            </w:r>
          </w:p>
        </w:tc>
      </w:tr>
    </w:tbl>
    <w:p w14:paraId="027044F4" w14:textId="77777777" w:rsidR="00706A57" w:rsidRPr="00DD47DF" w:rsidRDefault="00782BE3" w:rsidP="00706A57">
      <w:pPr>
        <w:pStyle w:val="Standardntext"/>
        <w:spacing w:before="240"/>
      </w:pPr>
      <w:r w:rsidRPr="00DD47DF">
        <w:lastRenderedPageBreak/>
        <w:t>V rámci problémové oblasti „Konkurenceschopnost ekonomiky“, resp. hlavního pilíře „Efektivní výzkumný a inovační systém“ jsou z pohledu OP PIK, jmenovitě prioritní osy 1, nejzásadnější tyto potřeby rozvoje: využití</w:t>
      </w:r>
      <w:r w:rsidRPr="00DD47DF">
        <w:rPr>
          <w:bCs/>
        </w:rPr>
        <w:t xml:space="preserve"> VaV kapacity podniků a výzkumných organizací s cílem zavedení nových aplikací na trhu v technologicky náročnějších oblastech, zvýšení kvality a intenzity spolupráce veřejného a soukromého sektoru v oblasti VaVaI, rozšíření kapacit průmyslového VaV v podnicích, vývoj a zavádění procesních a produktových inovací</w:t>
      </w:r>
      <w:r w:rsidRPr="00DD47DF">
        <w:t>. Prioritní osa 1 reprezentuje příspěvek programu ke zvýšení kvality výzkumného a inovačního systému ČR.</w:t>
      </w:r>
    </w:p>
    <w:p w14:paraId="28120801" w14:textId="77777777" w:rsidR="00F260AA" w:rsidRPr="00DD47DF" w:rsidRDefault="00F260AA" w:rsidP="001652D9">
      <w:pPr>
        <w:pStyle w:val="Modrnadpis"/>
      </w:pPr>
      <w:r w:rsidRPr="00DD47DF">
        <w:t>Konkurenceschopné podniky</w:t>
      </w:r>
    </w:p>
    <w:p w14:paraId="56C9CD28" w14:textId="77777777" w:rsidR="00F260AA" w:rsidRPr="00DD47DF" w:rsidRDefault="00F260AA" w:rsidP="00F260AA">
      <w:pPr>
        <w:pStyle w:val="Standardntext"/>
      </w:pPr>
      <w:r w:rsidRPr="00DD47DF">
        <w:t xml:space="preserve">V mezinárodním kontextu zaujímá průmysl v ČR stále významnou roli. V posledních letech však díky pokračujícímu procesu specializace dochází k nárůstu podílu služeb a tím klesá závislost české ekonomiky na poptávce v zahraničí. Oblast služeb je tak méně náchylná na externí faktory, které významně ovlivňují zejména průmyslové podniky. Mezi roky 2006 a 2010 tak docházelo ve většině krajů ČR ke snižování podílu průmyslu na úkor sektoru služeb. K regionům s významným podílem služeb patří tradičně kromě Prahy Jihomoravský kraj. </w:t>
      </w:r>
    </w:p>
    <w:p w14:paraId="16D04A41" w14:textId="77777777" w:rsidR="00782BE3" w:rsidRPr="00DD47DF" w:rsidRDefault="00782BE3" w:rsidP="00782BE3">
      <w:pPr>
        <w:pStyle w:val="Standardntext"/>
      </w:pPr>
      <w:r w:rsidRPr="00DD47DF">
        <w:t>Podnikatelé vnímají potřebu kontinuálního rozvoje vlastních znalostních kapacit pro budování konkurenční výhody, tak za hlavní výzvu považují obchod, obsazení nových trhů a vyhledání nových příležitostí pro uplatnění technických kompetencí svých firem. V této souvislosti upozorňují, že největším problémem dalšího růstu a rozvoje inovací je oblast netechnických kompetencí souvisejících se strategickým řízením, obchodem, práce se zákazníky a vyhledáváním nových příležitostí (např. mimo dosavadní hlavní zaměření). V roce 2012 vytvořily MSP celkem 1 326 147 mil. Kč přidané hodnoty, oproti roku 2011 došlo ke snížení o 18 434 mil. Kč. Podíl přidané hodnoty MSP na celku ČR tvořil 53,81 % (tj. snížení o 0,21 % oproti roku 2011). Podíl zaměstnanců MSP na celkovém počtu zaměstnanců podnikatelské sféry v ČR v roce 2012 činil 59,43 %.</w:t>
      </w:r>
    </w:p>
    <w:p w14:paraId="4FBD6778" w14:textId="77777777" w:rsidR="00F260AA" w:rsidRPr="00DD47DF" w:rsidRDefault="00782BE3" w:rsidP="00782BE3">
      <w:pPr>
        <w:pStyle w:val="Standardntext"/>
      </w:pPr>
      <w:r w:rsidRPr="00DD47DF">
        <w:t>Nedostatečně rozvinutý trh podnikatelských služeb představuje bariéru rozvoje domácího podnikatelského sektoru. Ačkoliv většina typických služeb v rozvinutých ekonomikách na trhu existuje, jejich kvalita je nízká a cena obdobných zahraničních služeb vysoká. To podporuje spoléhání se pouze na vlastní kompetence. Ty však nikdy nemohou mít potřebnou kvalitu ve všech potřebných oblastech. Zkušenosti s nízkou kvalitou místních služeb vytváří atmosféru nedůvěry v tento typ služeb, včetně případné nabídky zprostředkování těchto služeb veřejným sektorem.</w:t>
      </w:r>
    </w:p>
    <w:p w14:paraId="303747DA" w14:textId="77777777" w:rsidR="00F260AA" w:rsidRPr="00DD47DF" w:rsidRDefault="00782BE3" w:rsidP="00F260AA">
      <w:pPr>
        <w:pStyle w:val="Standardntext"/>
      </w:pPr>
      <w:r w:rsidRPr="00DD47DF">
        <w:t xml:space="preserve">Rozvinutost technických kompetencí firem výrazně převyšuje jejich kompetence v oblasti marketingu, inovačního managementu, obchodu a dalších netechnických podnikových funkcí. Posílení a rozvoj netechnických kompetencí podnikatelů a pracovníků zejména domácích firem, a v návaznosti na ně také rozvoj strategických služeb pro podnikání jsou přitom jednou z důležitých průřezových oblastí, protože bez tohoto druhu intervencí budou účinnost a efektivita intervencí nízké a dosahování cílů obtížné. Rozvoj služeb pro (inovační) podnikání je skutečnou výzvou, neboť slabá inovační poptávka a převažující defenzivní / reaktivní strategie firem endogenního sektoru efektivně brání rozvoji kvalitní nabídky služeb na trhu. </w:t>
      </w:r>
      <w:r w:rsidRPr="00DD47DF">
        <w:lastRenderedPageBreak/>
        <w:t>Motivaci domácích firem pro budování konkurenční výhody založené na znalostech je v tomto segmentu možné označit za nízkou, což je dáno i současným postavením podnikatelů v globálních hodnotových řetězcích.</w:t>
      </w:r>
    </w:p>
    <w:p w14:paraId="53CC4731" w14:textId="77777777" w:rsidR="00F260AA" w:rsidRPr="00DD47DF" w:rsidRDefault="00F260AA" w:rsidP="00F260AA">
      <w:pPr>
        <w:pStyle w:val="Standardntext"/>
      </w:pPr>
      <w:r w:rsidRPr="00DD47DF">
        <w:t>Vývozní teritoria MSP jsou značně omezena a soustředí se především na blízké země a členské státy EU, což má nepříznivý vliv na obchodní politiku ČR. V zájmu rozložení rizik a vzhledem k tomu, že se ekonomická situace v Evropě dlouhodobě nepříznivě vyvíjí, je pro MSP prioritou diverzifikovat svůj vývoz a proniknout na nové a perspektivní zahraniční trhy. Kvalitní služby a zvýšená asistence při obsazování nových exportních oblastí je tedy zcela zásadní pro budoucí prosperitu MSP, protože malá marketingová připravenost firem a nedostatečná konkurenceschopnost jejich produktů přímo zabraňují jejich dalšímu rozvoji a znemožňují maximální využití jejich potenciálu. Podíl MSP na vývozu v roce 2012 byl 53,51%. Pokud celkový vývoz MSP vztáhneme k celkovým výkonům MSP, hodnota se pohybuje na úrovni kolem 39,4 %. Nedostatečná nabídka a dostupnost kvalitních služeb je častou příčinou pomalého pronikání MSP na vzdálenější a exotičtější trhy. Další překážkou je i nedostatek finančních prostředků na straně MSP, protože uvedení produktu na nové trhy je velice nákladný proces.</w:t>
      </w:r>
    </w:p>
    <w:p w14:paraId="5ED40A33" w14:textId="77777777" w:rsidR="00782BE3" w:rsidRPr="00DD47DF" w:rsidRDefault="00782BE3" w:rsidP="00782BE3">
      <w:pPr>
        <w:pStyle w:val="Standardntext"/>
      </w:pPr>
      <w:r w:rsidRPr="00DD47DF">
        <w:t>Dalším problémem pro rozvoj především early stage podniků je dostupnost soukromých prostředků. Vývoj počtu a celkové výše investic rizikového kapitálu zaznamenal v ČR vzestupný trend po přijetí zákona č. 189/2004 Sb., o kolektivním investování, a to zejména od roku 2007. Finanční krize však rozvíjející se trh rychle oslabila. Podíl rizikového kapitálu na celkových investicích do private equity (veřejně neobchodované společnosti) v ČR byl v průměru let 2007-2010 pouze 3,2 %, což je hluboko pod evropskou úrovní cca. 12 %.</w:t>
      </w:r>
    </w:p>
    <w:p w14:paraId="079839D9" w14:textId="77777777" w:rsidR="00F260AA" w:rsidRPr="00DD47DF" w:rsidRDefault="00782BE3" w:rsidP="00782BE3">
      <w:pPr>
        <w:pStyle w:val="Standardntext"/>
      </w:pPr>
      <w:r w:rsidRPr="00DD47DF">
        <w:t>Složitá je situace ve financování počátečních fází podnikání (tzv. seed a start-up). V letech 2008 - 2012 se investice fondů rizikového kapitálu do těchto fází objevují jen sporadicky, spíše jsou v této oblasti aktivní jen business angels, privátně operující tzv. high net-worth individuals, fyzické osoby nabízející financování v řádu max. několika milionů korun výměnou za obchodní podíl. Fondy rizikového kapitálu oproti tomu v ČR obvykle investují do pozdějších fází rozvoje firem v průměru 50 - 100 mil. Kč. Vzniká tak tzv. equity gap, mezera na finančním trhu, kde není trh schopen efektivně alokovat zdroje ve prospěch začínajících inovativně orientovaných společností. Z hlediska dostupnosti finančních prostředků pro rozvoj a zakládání inovačních podniků tak existuje v ČR nedostatečná hloubka finančního zprostředkování, která celkově negativně ovlivňuje míru investic a budoucí vybavenost ekonomiky ČR kapitálem. Souhrnná hodnota všech akciových společností obchodovaných na českých kapitálových trzích ve vztahu k HDP je v porovnání se zahraničím velmi nízká. Podniky tradičně prostředky na svůj rozvoj získávají především prostřednictvím bankovních úvěrů. Český finanční sektor je sice v současnosti ziskový a dobře kapitalizovaný a ustál prakticky bez potíží finanční a ekonomickou krizi, ale nelze od něho ve větším rozsahu očekávat ochotu financovat rizikové projekty zakládání a rozvoje firem s vysokým inovačním potenciálem. V oblasti úvěrů a záruk se to týká především projektů založení nových firem nebo i projektů rozvoje stávajících MSP. Investoři jsou tak málo ochotní přistoupit na riziko v podobě investice v řádech desítek milionů korun do začínajících inovativních společností bez historie, často s nezkušeným týmem. Investoři mají připraven dostatek kapitálu na investice, ale nenalézají dostatek investičních příležitostí, které splňují jejich požadavky. Oproti tomu začínající inovativní MSP se většinou příliš orientují na technologii a opomíjejí obchodní stránku podnikání, často nemají kvalitně zpracovaný business plán, čímž se snižuje jejich atraktivita pro potenciální investory.</w:t>
      </w:r>
    </w:p>
    <w:p w14:paraId="75EFDBD9" w14:textId="77777777" w:rsidR="00F260AA" w:rsidRPr="00DD47DF" w:rsidRDefault="00F260AA" w:rsidP="00F260AA">
      <w:pPr>
        <w:pStyle w:val="Standardntext"/>
      </w:pPr>
      <w:r w:rsidRPr="00DD47DF">
        <w:lastRenderedPageBreak/>
        <w:t>V </w:t>
      </w:r>
      <w:r w:rsidR="00782BE3" w:rsidRPr="00DD47DF">
        <w:t>ČR</w:t>
      </w:r>
      <w:r w:rsidRPr="00DD47DF">
        <w:t xml:space="preserve"> však v oblasti rizikového kapitálu dochází k významnému selhání trhu, když v rámci early stage podniků (ca. do 2 let po založení – fáze start-up a seed) nedochází dle oficiálních statistik vůbec k jejich zainvestování ze strany private equity/venture capital fondů. Dle statistik Eurostatu patří ČR v tomto ohledu mezi nejhorší ze všech zemí EHP a Švýcarska zahrnutých do sledování. Tyto závěry jsou rovněž potvrzeny výstupy indikátorů scoreboardu týkající se oblasti zejména venture kapitálu a tvorby nových firem.</w:t>
      </w:r>
    </w:p>
    <w:p w14:paraId="0DD1FF82" w14:textId="77777777" w:rsidR="00782BE3" w:rsidRPr="00DD47DF" w:rsidRDefault="00782BE3" w:rsidP="00782BE3">
      <w:pPr>
        <w:pStyle w:val="Standardntext"/>
      </w:pPr>
      <w:r w:rsidRPr="00DD47DF">
        <w:t>Nízký podíl inovativní výroby spojený s budoucí vyšší přidanou hodnotou do značné míry ovlivňuje zastaralá podnikatelská infrastruktura a s ní spojené vysoké režijní náklady, které znemožňují investice právě do VaV a inovací, a naopak nutí podnikatele k vysokým výdajům na udržení stávající výkonnosti. V ČR existuje množství nevyužívaných průmyslových budov, především jako důsledek restrukturalizace české ekonomiky z přelomu 90. let. Motivace podnikatelů ke generálním rekonstrukcím výrobních prostor je tak z hlediska jejich finanční náročnosti minimální, neboť s sebou nese velkou míru existenčního rizika. Výsledky Národní databáze brownfieldů ukazují, že do března roku 2014 bylo regenerováno zatím kolem 258 tis. m</w:t>
      </w:r>
      <w:r w:rsidRPr="00DD47DF">
        <w:rPr>
          <w:vertAlign w:val="superscript"/>
        </w:rPr>
        <w:t>2</w:t>
      </w:r>
      <w:r w:rsidRPr="00DD47DF">
        <w:t>.</w:t>
      </w:r>
    </w:p>
    <w:p w14:paraId="4C43D273" w14:textId="77777777" w:rsidR="00F260AA" w:rsidRPr="00DD47DF" w:rsidRDefault="00782BE3" w:rsidP="00782BE3">
      <w:pPr>
        <w:pStyle w:val="Standardntext"/>
      </w:pPr>
      <w:r w:rsidRPr="00DD47DF">
        <w:t>V poslední době se podnikatelé potýkají s nedostatkem kvalifikované pracovní síly pro vlastní výrobu i inovační proces. To má negativní vliv na konkurenceschopnost českých podniků. V rámci náboru nových zaměstnanců - nových absolventů SŠ, VŠ často zaměstnavatelé narážejí na jejich převážně teoretické znalosti, které jsou pro praxi nedostatečné. Zaměstnavatelé pak pro jejich zaškolení musí vynaložit nezanedbatelné náklady a noví zaměstnanci- noví absolventi pro ně v rámci prvních 3 měsíců - půl roku nemají téměř žádný produktivní dopad. S rozvíjejícími se novými technologiemi, procesy a novou legislativou souvisí nutnost zaměstnavatelů se s těmito změnami seznámit a proškolit své zaměstnance v této oblasti a také pořídit nová zařízení. Rychlé změny - technologický vývoj jde kupředu, nepružnost vzdělávacího systému při tvorbě vzdělávacích obsahů, nová legislativa nabývá účinnost - to s sebou přináší nedostatečnou materiální a personální kapacitu podniků pro zajištění produktivní činnosti nových absolventů, nedostatečné aktuální znalosti a dovednosti zaměstnanců. Dle šetření ČSÚ v období 2008-2010 je za nejpodstatnější omezující faktor ze  skupiny znalostních faktorů omezujících inovační  považován nedostatek kvalifikovaných lidských zdrojů (uvedlo 10,8 % technicky inovujících podniků). Podíl účastníků kurzů dalšího odborného vzdělávání na celkovém počtu zaměstnaných osob se u malých podniků pohybuje zhruba na úrovni 46 %, u středních podniků se pak jedná asi o 60 %</w:t>
      </w:r>
      <w:r w:rsidR="005A383F" w:rsidRPr="00DD47DF">
        <w:t>.</w:t>
      </w:r>
    </w:p>
    <w:p w14:paraId="60ED76C4" w14:textId="77777777" w:rsidR="00DE5407" w:rsidRPr="00DD47DF" w:rsidRDefault="00DE5407" w:rsidP="00DE5407">
      <w:pPr>
        <w:pStyle w:val="Modrnadpis"/>
      </w:pPr>
      <w:r w:rsidRPr="00DD47DF">
        <w:t>SWOT analýza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14"/>
      </w:tblGrid>
      <w:tr w:rsidR="00D603D5" w:rsidRPr="00DD47DF" w14:paraId="5FDA5857" w14:textId="77777777" w:rsidTr="007D02F2">
        <w:trPr>
          <w:trHeight w:val="552"/>
        </w:trPr>
        <w:tc>
          <w:tcPr>
            <w:tcW w:w="2500" w:type="pct"/>
            <w:shd w:val="clear" w:color="auto" w:fill="B8CCE4" w:themeFill="accent1" w:themeFillTint="66"/>
            <w:vAlign w:val="center"/>
          </w:tcPr>
          <w:p w14:paraId="10F23A1D" w14:textId="77777777" w:rsidR="00D603D5" w:rsidRPr="00DD47DF" w:rsidRDefault="00D603D5" w:rsidP="007D02F2">
            <w:pPr>
              <w:pStyle w:val="Tabulka"/>
              <w:rPr>
                <w:b/>
              </w:rPr>
            </w:pPr>
            <w:r w:rsidRPr="00DD47DF">
              <w:rPr>
                <w:b/>
              </w:rPr>
              <w:t>Silné stránky</w:t>
            </w:r>
          </w:p>
        </w:tc>
        <w:tc>
          <w:tcPr>
            <w:tcW w:w="2500" w:type="pct"/>
            <w:shd w:val="clear" w:color="auto" w:fill="B8CCE4" w:themeFill="accent1" w:themeFillTint="66"/>
            <w:vAlign w:val="center"/>
          </w:tcPr>
          <w:p w14:paraId="37AC1625" w14:textId="77777777" w:rsidR="00D603D5" w:rsidRPr="00DD47DF" w:rsidRDefault="00D603D5" w:rsidP="007D02F2">
            <w:pPr>
              <w:pStyle w:val="Tabulka"/>
              <w:rPr>
                <w:b/>
              </w:rPr>
            </w:pPr>
            <w:r w:rsidRPr="00DD47DF">
              <w:rPr>
                <w:b/>
              </w:rPr>
              <w:t>Slabé stránky</w:t>
            </w:r>
          </w:p>
        </w:tc>
      </w:tr>
      <w:tr w:rsidR="00D603D5" w:rsidRPr="00DD47DF" w14:paraId="0E1197D5" w14:textId="77777777" w:rsidTr="007D02F2">
        <w:tc>
          <w:tcPr>
            <w:tcW w:w="2500" w:type="pct"/>
            <w:shd w:val="clear" w:color="auto" w:fill="auto"/>
          </w:tcPr>
          <w:p w14:paraId="567BE5B5" w14:textId="77777777" w:rsidR="00D603D5" w:rsidRPr="00DD47DF" w:rsidRDefault="00D603D5" w:rsidP="00DA3512">
            <w:pPr>
              <w:pStyle w:val="Tabulka"/>
              <w:numPr>
                <w:ilvl w:val="0"/>
                <w:numId w:val="93"/>
              </w:numPr>
              <w:ind w:left="426"/>
              <w:jc w:val="left"/>
            </w:pPr>
            <w:r w:rsidRPr="00DD47DF">
              <w:t>Silná exportní schopnost ekonomiky, především zpracovatelský průmysl;</w:t>
            </w:r>
          </w:p>
          <w:p w14:paraId="6A28445E" w14:textId="77777777" w:rsidR="00D603D5" w:rsidRPr="00DD47DF" w:rsidRDefault="00D603D5" w:rsidP="00DA3512">
            <w:pPr>
              <w:pStyle w:val="Tabulka"/>
              <w:numPr>
                <w:ilvl w:val="0"/>
                <w:numId w:val="93"/>
              </w:numPr>
              <w:ind w:left="426"/>
              <w:jc w:val="left"/>
            </w:pPr>
            <w:r w:rsidRPr="00DD47DF">
              <w:t>Pružnost reakce na vývoj na trhu, znalost lokálních trhů či potřeb zákazníků;</w:t>
            </w:r>
          </w:p>
          <w:p w14:paraId="25D3AE68" w14:textId="77777777" w:rsidR="00D603D5" w:rsidRPr="00DD47DF" w:rsidRDefault="00D603D5" w:rsidP="00DA3512">
            <w:pPr>
              <w:pStyle w:val="Tabulka"/>
              <w:numPr>
                <w:ilvl w:val="0"/>
                <w:numId w:val="93"/>
              </w:numPr>
              <w:ind w:left="426"/>
              <w:jc w:val="left"/>
            </w:pPr>
            <w:r w:rsidRPr="00DD47DF">
              <w:t>MSP generují rozhodující počet nových pracovních míst;</w:t>
            </w:r>
          </w:p>
          <w:p w14:paraId="44D6809B" w14:textId="77777777" w:rsidR="00D603D5" w:rsidRPr="00DD47DF" w:rsidRDefault="00D603D5" w:rsidP="00DA3512">
            <w:pPr>
              <w:pStyle w:val="Tabulka"/>
              <w:numPr>
                <w:ilvl w:val="0"/>
                <w:numId w:val="93"/>
              </w:numPr>
              <w:ind w:left="426"/>
              <w:jc w:val="left"/>
            </w:pPr>
            <w:r w:rsidRPr="00DD47DF">
              <w:t>Schopnost MSP vyplnit mezeru ve struktuře obchodních vztahů mezi velkými podniky (role subdodavatele);</w:t>
            </w:r>
          </w:p>
          <w:p w14:paraId="74109651" w14:textId="77777777" w:rsidR="00D603D5" w:rsidRPr="00DD47DF" w:rsidRDefault="00D603D5" w:rsidP="00DA3512">
            <w:pPr>
              <w:pStyle w:val="Tabulka"/>
              <w:numPr>
                <w:ilvl w:val="0"/>
                <w:numId w:val="93"/>
              </w:numPr>
              <w:ind w:left="426"/>
              <w:jc w:val="left"/>
            </w:pPr>
            <w:r w:rsidRPr="00DD47DF">
              <w:t xml:space="preserve">Rozvinutost technických kompetencí </w:t>
            </w:r>
            <w:r w:rsidRPr="00DD47DF">
              <w:lastRenderedPageBreak/>
              <w:t>některých firem v technických oblastech jako jsou výroba, konstrukce, design, vývoj apod.</w:t>
            </w:r>
          </w:p>
        </w:tc>
        <w:tc>
          <w:tcPr>
            <w:tcW w:w="2500" w:type="pct"/>
            <w:shd w:val="clear" w:color="auto" w:fill="auto"/>
          </w:tcPr>
          <w:p w14:paraId="3B63A3BA" w14:textId="77777777" w:rsidR="00D603D5" w:rsidRPr="00DD47DF" w:rsidRDefault="00D603D5" w:rsidP="00DA3512">
            <w:pPr>
              <w:pStyle w:val="Tabulka"/>
              <w:numPr>
                <w:ilvl w:val="0"/>
                <w:numId w:val="93"/>
              </w:numPr>
              <w:ind w:left="459"/>
              <w:jc w:val="left"/>
            </w:pPr>
            <w:r w:rsidRPr="00DD47DF">
              <w:lastRenderedPageBreak/>
              <w:t xml:space="preserve">Nedostatečná kapitálová vybavenost, zejména malých a drobných podnikatelů a samostatně podnikajících fyzických osob; </w:t>
            </w:r>
          </w:p>
          <w:p w14:paraId="788CEB9C" w14:textId="77777777" w:rsidR="00D603D5" w:rsidRPr="00DD47DF" w:rsidRDefault="00D603D5" w:rsidP="00DA3512">
            <w:pPr>
              <w:pStyle w:val="Tabulka"/>
              <w:numPr>
                <w:ilvl w:val="0"/>
                <w:numId w:val="93"/>
              </w:numPr>
              <w:ind w:left="459"/>
              <w:jc w:val="left"/>
            </w:pPr>
            <w:r w:rsidRPr="00DD47DF">
              <w:t>Omezená schopnost nacházet a vstupovat na nové trhy;</w:t>
            </w:r>
          </w:p>
          <w:p w14:paraId="5137C618" w14:textId="77777777" w:rsidR="00D603D5" w:rsidRPr="00DD47DF" w:rsidRDefault="00D603D5" w:rsidP="00DA3512">
            <w:pPr>
              <w:pStyle w:val="Tabulka"/>
              <w:numPr>
                <w:ilvl w:val="0"/>
                <w:numId w:val="93"/>
              </w:numPr>
              <w:ind w:left="459"/>
              <w:jc w:val="left"/>
            </w:pPr>
            <w:r w:rsidRPr="00DD47DF">
              <w:t>Menší schopnost eliminovat důsledky výkyvů vnějších vlivů v počátečním stadiu svého vývoje (startu);</w:t>
            </w:r>
          </w:p>
          <w:p w14:paraId="63B75B76" w14:textId="77777777" w:rsidR="00D603D5" w:rsidRPr="00DD47DF" w:rsidRDefault="00D603D5" w:rsidP="00DA3512">
            <w:pPr>
              <w:pStyle w:val="Tabulka"/>
              <w:numPr>
                <w:ilvl w:val="0"/>
                <w:numId w:val="93"/>
              </w:numPr>
              <w:ind w:left="459"/>
              <w:jc w:val="left"/>
            </w:pPr>
            <w:r w:rsidRPr="00DD47DF">
              <w:rPr>
                <w:szCs w:val="24"/>
              </w:rPr>
              <w:t xml:space="preserve">Omezená dostupnost zárodečného a rozvojového kapitálu pro začínající a </w:t>
            </w:r>
            <w:r w:rsidRPr="00DD47DF">
              <w:rPr>
                <w:szCs w:val="24"/>
              </w:rPr>
              <w:lastRenderedPageBreak/>
              <w:t>rozvojové firmy;</w:t>
            </w:r>
          </w:p>
          <w:p w14:paraId="0C3CA86B" w14:textId="77777777" w:rsidR="00D603D5" w:rsidRPr="00DD47DF" w:rsidRDefault="00D603D5" w:rsidP="00DA3512">
            <w:pPr>
              <w:pStyle w:val="Tabulka"/>
              <w:numPr>
                <w:ilvl w:val="0"/>
                <w:numId w:val="93"/>
              </w:numPr>
              <w:ind w:left="459"/>
              <w:jc w:val="left"/>
            </w:pPr>
            <w:r w:rsidRPr="00DD47DF">
              <w:rPr>
                <w:szCs w:val="24"/>
              </w:rPr>
              <w:t>Obtížná dostupnost kvalitních specializovaných poradenských služeb pro začínající a rozvojové MSP;</w:t>
            </w:r>
          </w:p>
          <w:p w14:paraId="0E15CF97" w14:textId="77777777" w:rsidR="00D603D5" w:rsidRPr="00DD47DF" w:rsidRDefault="00D603D5" w:rsidP="00DA3512">
            <w:pPr>
              <w:pStyle w:val="Tabulka"/>
              <w:numPr>
                <w:ilvl w:val="0"/>
                <w:numId w:val="93"/>
              </w:numPr>
              <w:ind w:left="459"/>
              <w:jc w:val="left"/>
            </w:pPr>
            <w:r w:rsidRPr="00DD47DF">
              <w:t>Nedostatečné manažerské dovednosti a netechnické kompetence;</w:t>
            </w:r>
          </w:p>
          <w:p w14:paraId="75C9889A" w14:textId="77777777" w:rsidR="00D603D5" w:rsidRPr="00DD47DF" w:rsidRDefault="00D603D5" w:rsidP="00DA3512">
            <w:pPr>
              <w:pStyle w:val="Tabulka"/>
              <w:numPr>
                <w:ilvl w:val="0"/>
                <w:numId w:val="93"/>
              </w:numPr>
              <w:ind w:left="459"/>
              <w:jc w:val="left"/>
            </w:pPr>
            <w:r w:rsidRPr="00DD47DF">
              <w:rPr>
                <w:szCs w:val="24"/>
              </w:rPr>
              <w:t>Nedostatek kvalifikované pracovní síly pro vlastní výrobu i inovační proces</w:t>
            </w:r>
            <w:r w:rsidRPr="00DD47DF">
              <w:t>;</w:t>
            </w:r>
          </w:p>
          <w:p w14:paraId="4F8A775A" w14:textId="77777777" w:rsidR="00D603D5" w:rsidRPr="00DD47DF" w:rsidRDefault="00D626B0" w:rsidP="00DA3512">
            <w:pPr>
              <w:pStyle w:val="Tabulka"/>
              <w:numPr>
                <w:ilvl w:val="0"/>
                <w:numId w:val="93"/>
              </w:numPr>
              <w:ind w:left="459"/>
              <w:jc w:val="left"/>
            </w:pPr>
            <w:r w:rsidRPr="00DD47DF">
              <w:rPr>
                <w:szCs w:val="24"/>
              </w:rPr>
              <w:t>Zastaralá podnikatelská infrastruktura nevyhovující potřebám MSP</w:t>
            </w:r>
            <w:r w:rsidR="00D603D5" w:rsidRPr="00DD47DF">
              <w:rPr>
                <w:szCs w:val="24"/>
              </w:rPr>
              <w:t>.</w:t>
            </w:r>
          </w:p>
        </w:tc>
      </w:tr>
      <w:tr w:rsidR="00D603D5" w:rsidRPr="00DD47DF" w14:paraId="4B2D6C4F" w14:textId="77777777" w:rsidTr="007D02F2">
        <w:trPr>
          <w:trHeight w:val="553"/>
        </w:trPr>
        <w:tc>
          <w:tcPr>
            <w:tcW w:w="2500" w:type="pct"/>
            <w:shd w:val="clear" w:color="auto" w:fill="B8CCE4" w:themeFill="accent1" w:themeFillTint="66"/>
            <w:vAlign w:val="center"/>
          </w:tcPr>
          <w:p w14:paraId="53FA7B94" w14:textId="77777777" w:rsidR="00D603D5" w:rsidRPr="00DD47DF" w:rsidRDefault="00D603D5" w:rsidP="007D02F2">
            <w:pPr>
              <w:pStyle w:val="Tabulka"/>
              <w:rPr>
                <w:b/>
                <w:sz w:val="24"/>
              </w:rPr>
            </w:pPr>
            <w:r w:rsidRPr="00DD47DF">
              <w:rPr>
                <w:b/>
              </w:rPr>
              <w:lastRenderedPageBreak/>
              <w:t>Příležitosti</w:t>
            </w:r>
          </w:p>
        </w:tc>
        <w:tc>
          <w:tcPr>
            <w:tcW w:w="2500" w:type="pct"/>
            <w:shd w:val="clear" w:color="auto" w:fill="B8CCE4" w:themeFill="accent1" w:themeFillTint="66"/>
            <w:vAlign w:val="center"/>
          </w:tcPr>
          <w:p w14:paraId="4B63B541" w14:textId="77777777" w:rsidR="00D603D5" w:rsidRPr="00DD47DF" w:rsidRDefault="00D603D5" w:rsidP="007D02F2">
            <w:pPr>
              <w:pStyle w:val="Tabulka"/>
              <w:rPr>
                <w:b/>
                <w:sz w:val="24"/>
              </w:rPr>
            </w:pPr>
            <w:r w:rsidRPr="00DD47DF">
              <w:rPr>
                <w:b/>
              </w:rPr>
              <w:t>Hrozby</w:t>
            </w:r>
          </w:p>
        </w:tc>
      </w:tr>
      <w:tr w:rsidR="00D603D5" w:rsidRPr="00DD47DF" w14:paraId="211E5680" w14:textId="77777777" w:rsidTr="007D02F2">
        <w:tc>
          <w:tcPr>
            <w:tcW w:w="2500" w:type="pct"/>
            <w:shd w:val="clear" w:color="auto" w:fill="auto"/>
          </w:tcPr>
          <w:p w14:paraId="28A0E98B" w14:textId="77777777" w:rsidR="00D603D5" w:rsidRPr="00DD47DF" w:rsidRDefault="00D603D5" w:rsidP="00DA3512">
            <w:pPr>
              <w:pStyle w:val="Tabulka"/>
              <w:numPr>
                <w:ilvl w:val="0"/>
                <w:numId w:val="93"/>
              </w:numPr>
              <w:ind w:left="426"/>
              <w:jc w:val="left"/>
            </w:pPr>
            <w:r w:rsidRPr="00DD47DF">
              <w:t>Odstraňování nejrůznějších překážek institucionálního a právního charakteru při vstupu do podnikání a vytvoření stabilního daňového a regulačního rámce podnikání;</w:t>
            </w:r>
          </w:p>
          <w:p w14:paraId="402C40FA" w14:textId="77777777" w:rsidR="00D603D5" w:rsidRPr="00DD47DF" w:rsidRDefault="00D603D5" w:rsidP="00DA3512">
            <w:pPr>
              <w:pStyle w:val="Tabulka"/>
              <w:numPr>
                <w:ilvl w:val="0"/>
                <w:numId w:val="93"/>
              </w:numPr>
              <w:ind w:left="426"/>
              <w:jc w:val="left"/>
            </w:pPr>
            <w:r w:rsidRPr="00DD47DF">
              <w:t>Skutečné oživení světové ekonomiky, převážně rozvíjejících se trhů – nové impulsy pro zahraniční obchod;</w:t>
            </w:r>
          </w:p>
          <w:p w14:paraId="7CC59B98" w14:textId="77777777" w:rsidR="00D603D5" w:rsidRPr="00DD47DF" w:rsidRDefault="00D603D5" w:rsidP="00DA3512">
            <w:pPr>
              <w:pStyle w:val="Tabulka"/>
              <w:numPr>
                <w:ilvl w:val="0"/>
                <w:numId w:val="93"/>
              </w:numPr>
              <w:ind w:left="426"/>
              <w:jc w:val="left"/>
            </w:pPr>
            <w:r w:rsidRPr="00DD47DF">
              <w:t>Tvorba a zajištění nových mechanismů financování inovativních MSP s velkým růstovým potenciálem (trh rizikového kapitálu apod.);</w:t>
            </w:r>
          </w:p>
          <w:p w14:paraId="43EF222F" w14:textId="77777777" w:rsidR="00D603D5" w:rsidRPr="00DD47DF" w:rsidRDefault="00D603D5" w:rsidP="00DA3512">
            <w:pPr>
              <w:pStyle w:val="Tabulka"/>
              <w:numPr>
                <w:ilvl w:val="0"/>
                <w:numId w:val="93"/>
              </w:numPr>
              <w:ind w:left="426"/>
              <w:jc w:val="left"/>
            </w:pPr>
            <w:r w:rsidRPr="00DD47DF">
              <w:t xml:space="preserve">Využití foresightu, tvorba podnikových strategií na základě tzv. evidence-based policy (poznání, znalosti, zkušenosti); </w:t>
            </w:r>
          </w:p>
          <w:p w14:paraId="47FF4A9A" w14:textId="77777777" w:rsidR="00D603D5" w:rsidRPr="00DD47DF" w:rsidRDefault="00D603D5" w:rsidP="00DA3512">
            <w:pPr>
              <w:pStyle w:val="Tabulka"/>
              <w:numPr>
                <w:ilvl w:val="0"/>
                <w:numId w:val="93"/>
              </w:numPr>
              <w:ind w:left="426"/>
              <w:jc w:val="left"/>
              <w:rPr>
                <w:sz w:val="24"/>
              </w:rPr>
            </w:pPr>
            <w:r w:rsidRPr="00DD47DF">
              <w:t>Zvýšení funkční i estetické hodnoty brownfields jejich využitím pro podnikatelské účely.</w:t>
            </w:r>
          </w:p>
        </w:tc>
        <w:tc>
          <w:tcPr>
            <w:tcW w:w="2500" w:type="pct"/>
            <w:shd w:val="clear" w:color="auto" w:fill="auto"/>
          </w:tcPr>
          <w:p w14:paraId="27DDD482" w14:textId="77777777" w:rsidR="00D603D5" w:rsidRPr="00DD47DF" w:rsidRDefault="00D603D5" w:rsidP="00DA3512">
            <w:pPr>
              <w:pStyle w:val="Tabulka"/>
              <w:numPr>
                <w:ilvl w:val="0"/>
                <w:numId w:val="93"/>
              </w:numPr>
              <w:ind w:left="459"/>
              <w:jc w:val="left"/>
            </w:pPr>
            <w:r w:rsidRPr="00DD47DF">
              <w:t>Postupná ztráta dosavadních komparativních výhod českých podniků – kombinace dobrých technických kompetencí a ceny již není dostatečná;</w:t>
            </w:r>
          </w:p>
          <w:p w14:paraId="042E3B8C" w14:textId="77777777" w:rsidR="00D603D5" w:rsidRPr="00DD47DF" w:rsidRDefault="00D603D5" w:rsidP="00DA3512">
            <w:pPr>
              <w:pStyle w:val="Tabulka"/>
              <w:numPr>
                <w:ilvl w:val="0"/>
                <w:numId w:val="93"/>
              </w:numPr>
              <w:ind w:left="459"/>
              <w:jc w:val="left"/>
            </w:pPr>
            <w:r w:rsidRPr="00DD47DF">
              <w:t>Administrativní zátěž podnikání v ČR;</w:t>
            </w:r>
          </w:p>
          <w:p w14:paraId="7CAF25CC" w14:textId="77777777" w:rsidR="00D603D5" w:rsidRPr="00DD47DF" w:rsidRDefault="00D603D5" w:rsidP="00DA3512">
            <w:pPr>
              <w:pStyle w:val="Tabulka"/>
              <w:numPr>
                <w:ilvl w:val="0"/>
                <w:numId w:val="93"/>
              </w:numPr>
              <w:ind w:left="459"/>
              <w:jc w:val="left"/>
              <w:rPr>
                <w:sz w:val="24"/>
              </w:rPr>
            </w:pPr>
            <w:r w:rsidRPr="00DD47DF">
              <w:t>Konkurenceschopnost producentů může být oslabena zejména vůči rozvíjejícím se trhům v důsledku nerovných tržních podmínek ve vztahu k producentům a zákazníkům ze třetích zemí (včetně překážek vstupu na jejich trhy pro producenty z EU);</w:t>
            </w:r>
          </w:p>
          <w:p w14:paraId="664A0F4C" w14:textId="77777777" w:rsidR="00D603D5" w:rsidRPr="00DD47DF" w:rsidRDefault="00D603D5" w:rsidP="00DA3512">
            <w:pPr>
              <w:pStyle w:val="Tabulka"/>
              <w:numPr>
                <w:ilvl w:val="0"/>
                <w:numId w:val="93"/>
              </w:numPr>
              <w:ind w:left="459"/>
              <w:jc w:val="left"/>
            </w:pPr>
            <w:r w:rsidRPr="00DD47DF">
              <w:t>Nestabilní politická situace v cílových zemích pro české exportéry;</w:t>
            </w:r>
          </w:p>
          <w:p w14:paraId="4239D11E" w14:textId="77777777" w:rsidR="00D603D5" w:rsidRPr="00DD47DF" w:rsidRDefault="00D603D5" w:rsidP="00DA3512">
            <w:pPr>
              <w:pStyle w:val="Tabulka"/>
              <w:numPr>
                <w:ilvl w:val="0"/>
                <w:numId w:val="93"/>
              </w:numPr>
              <w:ind w:left="459"/>
              <w:jc w:val="left"/>
            </w:pPr>
            <w:r w:rsidRPr="00DD47DF">
              <w:t>Nedostatečné ambice významné části majitelů původem místních MSP dále svůj podnik rozvíjet;</w:t>
            </w:r>
          </w:p>
          <w:p w14:paraId="3F184510" w14:textId="77777777" w:rsidR="00D603D5" w:rsidRPr="00DD47DF" w:rsidRDefault="00D603D5" w:rsidP="00DA3512">
            <w:pPr>
              <w:pStyle w:val="Tabulka"/>
              <w:numPr>
                <w:ilvl w:val="0"/>
                <w:numId w:val="93"/>
              </w:numPr>
              <w:ind w:left="459"/>
              <w:jc w:val="left"/>
            </w:pPr>
            <w:r w:rsidRPr="00DD47DF">
              <w:t>Nezájem studentů o technické obory.</w:t>
            </w:r>
          </w:p>
        </w:tc>
      </w:tr>
    </w:tbl>
    <w:p w14:paraId="23E91E41" w14:textId="77777777" w:rsidR="00706A57" w:rsidRPr="00DD47DF" w:rsidRDefault="00706A57" w:rsidP="008E4EE8">
      <w:pPr>
        <w:pStyle w:val="Standardntext"/>
        <w:spacing w:before="240"/>
      </w:pPr>
      <w:r w:rsidRPr="00DD47DF">
        <w:t xml:space="preserve">Mezi potřeby rozvoje v rámci problémové oblasti „Konkurenceschopnost ekonomiky“, resp. hlavního pilíře „Konkurenceschopné podniky“ patří: zvýšení schopnosti MSP samostatně se prosazovat na náročných a vzdálených zahraničních trzích, zvýšení dostupnosti vnějšího financování pro začínající podnikatele a inovační podniky, včetně rizikového kapitálu, zajištění kvalitních služeb pro začínající podnikatele a v neposlední řadě rozvoj infrastruktury a služeb podporující potřeby rozvoje podniků. Reakce OP PIK na Dohodou takto akcentované potřeby rozvoje ČR je vtělena do prioritní osy 2, která prostřednictvím svých specifických cílů představuje příspěvek OP PIK ke zvýšení konkurenceschopnosti </w:t>
      </w:r>
      <w:r w:rsidR="00782BE3" w:rsidRPr="00DD47DF">
        <w:t>MSP</w:t>
      </w:r>
      <w:r w:rsidRPr="00DD47DF">
        <w:t>.</w:t>
      </w:r>
    </w:p>
    <w:p w14:paraId="413A6E78" w14:textId="77777777" w:rsidR="00F260AA" w:rsidRPr="00DD47DF" w:rsidRDefault="00F260AA" w:rsidP="001652D9">
      <w:pPr>
        <w:pStyle w:val="Modrnadpis"/>
      </w:pPr>
      <w:r w:rsidRPr="00DD47DF">
        <w:t xml:space="preserve">Energetická infrastruktura </w:t>
      </w:r>
    </w:p>
    <w:p w14:paraId="79ACB6AD" w14:textId="77777777" w:rsidR="00F260AA" w:rsidRPr="00DD47DF" w:rsidRDefault="00F260AA" w:rsidP="00F260AA">
      <w:pPr>
        <w:pStyle w:val="Standardntext"/>
      </w:pPr>
      <w:r w:rsidRPr="00DD47DF">
        <w:t xml:space="preserve">Energetika je klíčovým odvětvím ekonomiky každé vyspělé země a představuje jednu z významných podmínek ekonomického rozvoje a konkurenceschopnosti. Nakládání energií se dotýká všech sektorů (podnikatelského, veřejného a samozřejmě i domácností) a jejich fungování je bez zajištění dostatku, kvality a cenové dostupnosti energie nemyslitelné. Energie se jako jeden ze základních výrobních vstupů podílí na produktivitě firem a současně firemní sektor spoluurčuje potřeby v oblasti energetiky. </w:t>
      </w:r>
    </w:p>
    <w:p w14:paraId="71E8F6D1" w14:textId="77777777" w:rsidR="00782BE3" w:rsidRPr="00DD47DF" w:rsidRDefault="00782BE3" w:rsidP="00782BE3">
      <w:pPr>
        <w:pStyle w:val="Standardntext"/>
      </w:pPr>
      <w:r w:rsidRPr="00DD47DF">
        <w:lastRenderedPageBreak/>
        <w:t xml:space="preserve">Dle Státní energetické koncepce ČR je současná energetická spotřeba ČR pokryta z více než 50 % domácími zdroji primární energie. Avšak s ohledem na pokles využívání nejvýznamnějšího domácího zdroje energie (hnědé a černé uhlí) je potřeba v příštích desetiletích počítat s nárůstem dovozní energetické závislosti až do výše 65 % do roku 2030 a 70 % do roku 2040. Pro zajištění maximálně možné nezávislosti ČR na cizích energetických zdrojích je proto třeba podporovat optimální využití konvenčních i obnovitelných zdrojů energie na území ČR. Cílová hodnota pro EU vyplývající ze strategie Evropa 2020 činí 20 % podílu energie z obnovitelných zdrojů v roce 2020. Pro ČR byl EK stanoven i s ohledem na omezené možnosti vzhledem ke geografickým podmínkám nižší, minimálně 13 % podíl energie z obnovitelných zdrojů na hrubé konečné spotřebě energie v roce 2020. Podíl energie z OZE od roku 2005 v ČR díky přijaté podpoře setrvale a výrazně stoupal, až dosáhl v roce 2012 11,2 % hrubé domácí konečné spotřeby energie. Cílem ČR je další zvýšení podílu energie z OZE, avšak při přehodnocení formy podpory a minimalizace finančních dopadů OZE na ekonomiku a obyvatelstvo. </w:t>
      </w:r>
    </w:p>
    <w:p w14:paraId="1151A664" w14:textId="77777777" w:rsidR="00F260AA" w:rsidRPr="00DD47DF" w:rsidRDefault="00782BE3" w:rsidP="00782BE3">
      <w:pPr>
        <w:pStyle w:val="Standardntext"/>
      </w:pPr>
      <w:r w:rsidRPr="00DD47DF">
        <w:t>V případě biomasy existuje v ČR dle analýzy MPO</w:t>
      </w:r>
      <w:r w:rsidRPr="00DD47DF">
        <w:rPr>
          <w:rStyle w:val="Znakapoznpodarou"/>
        </w:rPr>
        <w:footnoteReference w:id="14"/>
      </w:r>
      <w:r w:rsidRPr="00DD47DF">
        <w:t xml:space="preserve"> celkem 166 bioplynových stanic (54 %) o celkovém tepelném výkonu 108 MWth, které jsou s určitou až vysokou pravděpodobností vhodné k vyvedení kogenerační jednotky do blízkého okolí (max. 4 km). Realizací tohoto opatření by mohlo být dosaženo úspor tepla ve výši 2 221 TJ/rok. Jak je patrné z tabulky níže, nejvíce možností využití tepla v okolí bioplynových stanic najdeme v Královéhradeckém, Jihočeském, Pardubickém a Středočeském kraji. V Královéhradeckém kraji to je celých 70 % zařízení. Na druhé straně například na Vysočině, která se pyšní nejvyšším počtem bioplynových stanic, by bylo teplo možné využít pouze v okolí 30 % instalací. Nejvyšší procento možnosti využití tepla nalezneme v Ústeckém kraji, kde existuje teoretická možnost využití tepla nebo vzdálené kogenerace u všech instalací.</w:t>
      </w:r>
    </w:p>
    <w:p w14:paraId="0469048D" w14:textId="77777777" w:rsidR="00F260AA" w:rsidRPr="00DD47DF" w:rsidRDefault="00F260AA" w:rsidP="00F260AA">
      <w:pPr>
        <w:pStyle w:val="Titulek"/>
        <w:keepNext/>
      </w:pPr>
      <w:r w:rsidRPr="00DD47DF">
        <w:lastRenderedPageBreak/>
        <w:t xml:space="preserve">Obrázek </w:t>
      </w:r>
      <w:r w:rsidR="00A10251" w:rsidRPr="00DD47DF">
        <w:t>4</w:t>
      </w:r>
      <w:r w:rsidRPr="00DD47DF">
        <w:t>: Možnosti využití tepla / vzdálené kogenerace na stávajících bioplynových stanicích z hlediska jednotlivých krajů ČR</w:t>
      </w:r>
    </w:p>
    <w:tbl>
      <w:tblPr>
        <w:tblStyle w:val="Stednstnovn2zvraznn11"/>
        <w:tblW w:w="0" w:type="auto"/>
        <w:tblLook w:val="04A0" w:firstRow="1" w:lastRow="0" w:firstColumn="1" w:lastColumn="0" w:noHBand="0" w:noVBand="1"/>
      </w:tblPr>
      <w:tblGrid>
        <w:gridCol w:w="1879"/>
        <w:gridCol w:w="1523"/>
        <w:gridCol w:w="1312"/>
        <w:gridCol w:w="858"/>
        <w:gridCol w:w="1087"/>
        <w:gridCol w:w="1325"/>
        <w:gridCol w:w="1325"/>
      </w:tblGrid>
      <w:tr w:rsidR="00F260AA" w:rsidRPr="00DD47DF" w14:paraId="1A0CFBBA" w14:textId="77777777" w:rsidTr="00835118">
        <w:trPr>
          <w:cnfStyle w:val="100000000000" w:firstRow="1" w:lastRow="0" w:firstColumn="0" w:lastColumn="0" w:oddVBand="0" w:evenVBand="0" w:oddHBand="0" w:evenHBand="0" w:firstRowFirstColumn="0" w:firstRowLastColumn="0" w:lastRowFirstColumn="0" w:lastRowLastColumn="0"/>
          <w:trHeight w:val="1368"/>
        </w:trPr>
        <w:tc>
          <w:tcPr>
            <w:cnfStyle w:val="001000000100" w:firstRow="0" w:lastRow="0" w:firstColumn="1" w:lastColumn="0" w:oddVBand="0" w:evenVBand="0" w:oddHBand="0" w:evenHBand="0" w:firstRowFirstColumn="1" w:firstRowLastColumn="0" w:lastRowFirstColumn="0" w:lastRowLastColumn="0"/>
            <w:tcW w:w="1879" w:type="dxa"/>
            <w:vAlign w:val="center"/>
          </w:tcPr>
          <w:p w14:paraId="4BE04DDE" w14:textId="77777777" w:rsidR="00F260AA" w:rsidRPr="00DD47DF" w:rsidRDefault="00F260AA" w:rsidP="00F260AA">
            <w:pPr>
              <w:keepNext/>
              <w:keepLines/>
              <w:jc w:val="center"/>
              <w:rPr>
                <w:rFonts w:asciiTheme="minorHAnsi" w:hAnsiTheme="minorHAnsi" w:cstheme="minorHAnsi"/>
                <w:szCs w:val="22"/>
              </w:rPr>
            </w:pPr>
            <w:r w:rsidRPr="00DD47DF">
              <w:rPr>
                <w:rFonts w:asciiTheme="minorHAnsi" w:hAnsiTheme="minorHAnsi" w:cstheme="minorHAnsi"/>
                <w:szCs w:val="22"/>
              </w:rPr>
              <w:t>Kraj</w:t>
            </w:r>
          </w:p>
        </w:tc>
        <w:tc>
          <w:tcPr>
            <w:tcW w:w="1523" w:type="dxa"/>
            <w:vAlign w:val="center"/>
          </w:tcPr>
          <w:p w14:paraId="771823C6" w14:textId="77777777" w:rsidR="00F260AA" w:rsidRPr="00DD47DF" w:rsidRDefault="00F260AA" w:rsidP="00F260AA">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DD47DF">
              <w:rPr>
                <w:rFonts w:asciiTheme="minorHAnsi" w:hAnsiTheme="minorHAnsi" w:cstheme="minorHAnsi"/>
                <w:szCs w:val="22"/>
              </w:rPr>
              <w:t>Počet bioplynových stanic</w:t>
            </w:r>
          </w:p>
        </w:tc>
        <w:tc>
          <w:tcPr>
            <w:tcW w:w="1312" w:type="dxa"/>
            <w:vAlign w:val="center"/>
          </w:tcPr>
          <w:p w14:paraId="742152DF" w14:textId="77777777" w:rsidR="00F260AA" w:rsidRPr="00DD47DF" w:rsidRDefault="00F260AA" w:rsidP="00F260AA">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DD47DF">
              <w:rPr>
                <w:rFonts w:asciiTheme="minorHAnsi" w:hAnsiTheme="minorHAnsi" w:cstheme="minorHAnsi"/>
                <w:szCs w:val="22"/>
              </w:rPr>
              <w:t>Celkový instalovaný tepelný výkon (MW)</w:t>
            </w:r>
          </w:p>
        </w:tc>
        <w:tc>
          <w:tcPr>
            <w:tcW w:w="858" w:type="dxa"/>
            <w:vAlign w:val="center"/>
          </w:tcPr>
          <w:p w14:paraId="3D751D3D" w14:textId="77777777" w:rsidR="00F260AA" w:rsidRPr="00DD47DF" w:rsidRDefault="00F260AA" w:rsidP="00F260AA">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DD47DF">
              <w:rPr>
                <w:rFonts w:asciiTheme="minorHAnsi" w:hAnsiTheme="minorHAnsi" w:cstheme="minorHAnsi"/>
                <w:szCs w:val="22"/>
              </w:rPr>
              <w:t>„Ano“</w:t>
            </w:r>
            <w:r w:rsidRPr="00DD47DF">
              <w:rPr>
                <w:rStyle w:val="Znakapoznpodarou"/>
                <w:rFonts w:asciiTheme="minorHAnsi" w:hAnsiTheme="minorHAnsi" w:cstheme="minorHAnsi"/>
                <w:szCs w:val="22"/>
              </w:rPr>
              <w:footnoteReference w:id="15"/>
            </w:r>
          </w:p>
        </w:tc>
        <w:tc>
          <w:tcPr>
            <w:tcW w:w="1087" w:type="dxa"/>
            <w:vAlign w:val="center"/>
          </w:tcPr>
          <w:p w14:paraId="50EF7A1C" w14:textId="77777777" w:rsidR="00F260AA" w:rsidRPr="00DD47DF" w:rsidRDefault="00F260AA" w:rsidP="00F260AA">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DD47DF">
              <w:rPr>
                <w:rFonts w:asciiTheme="minorHAnsi" w:hAnsiTheme="minorHAnsi" w:cstheme="minorHAnsi"/>
                <w:szCs w:val="22"/>
              </w:rPr>
              <w:t>„Ano“ + „Možná“</w:t>
            </w:r>
          </w:p>
        </w:tc>
        <w:tc>
          <w:tcPr>
            <w:tcW w:w="1325" w:type="dxa"/>
            <w:vAlign w:val="center"/>
          </w:tcPr>
          <w:p w14:paraId="0E2C72EB" w14:textId="77777777" w:rsidR="00F260AA" w:rsidRPr="00DD47DF" w:rsidRDefault="00F260AA" w:rsidP="00F260AA">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DD47DF">
              <w:rPr>
                <w:rFonts w:asciiTheme="minorHAnsi" w:hAnsiTheme="minorHAnsi" w:cstheme="minorHAnsi"/>
                <w:szCs w:val="22"/>
              </w:rPr>
              <w:t>Instalovaný tepelný výkon „ano“ (MW)</w:t>
            </w:r>
          </w:p>
        </w:tc>
        <w:tc>
          <w:tcPr>
            <w:tcW w:w="1325" w:type="dxa"/>
            <w:vAlign w:val="center"/>
          </w:tcPr>
          <w:p w14:paraId="5A4166AE" w14:textId="77777777" w:rsidR="00F260AA" w:rsidRPr="00DD47DF" w:rsidRDefault="00F260AA" w:rsidP="00F260AA">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DD47DF">
              <w:rPr>
                <w:rFonts w:asciiTheme="minorHAnsi" w:hAnsiTheme="minorHAnsi" w:cstheme="minorHAnsi"/>
                <w:szCs w:val="22"/>
              </w:rPr>
              <w:t>Instalovaný tepelný výkon „ano“ + „možná“ (MW)</w:t>
            </w:r>
          </w:p>
        </w:tc>
      </w:tr>
      <w:tr w:rsidR="00F260AA" w:rsidRPr="00DD47DF" w14:paraId="78E3A37B" w14:textId="77777777" w:rsidTr="0083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7F21D23A"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Královéhradecký</w:t>
            </w:r>
          </w:p>
        </w:tc>
        <w:tc>
          <w:tcPr>
            <w:tcW w:w="1523" w:type="dxa"/>
          </w:tcPr>
          <w:p w14:paraId="4F8AFC19"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27</w:t>
            </w:r>
          </w:p>
        </w:tc>
        <w:tc>
          <w:tcPr>
            <w:tcW w:w="1312" w:type="dxa"/>
          </w:tcPr>
          <w:p w14:paraId="21F61CD5"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22,6</w:t>
            </w:r>
          </w:p>
        </w:tc>
        <w:tc>
          <w:tcPr>
            <w:tcW w:w="858" w:type="dxa"/>
          </w:tcPr>
          <w:p w14:paraId="79BCD15F"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11</w:t>
            </w:r>
          </w:p>
        </w:tc>
        <w:tc>
          <w:tcPr>
            <w:tcW w:w="1087" w:type="dxa"/>
          </w:tcPr>
          <w:p w14:paraId="5BB919FA"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19</w:t>
            </w:r>
          </w:p>
        </w:tc>
        <w:tc>
          <w:tcPr>
            <w:tcW w:w="1325" w:type="dxa"/>
          </w:tcPr>
          <w:p w14:paraId="67267E62"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11,4</w:t>
            </w:r>
          </w:p>
        </w:tc>
        <w:tc>
          <w:tcPr>
            <w:tcW w:w="1325" w:type="dxa"/>
          </w:tcPr>
          <w:p w14:paraId="4ACB6B63"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17,0</w:t>
            </w:r>
          </w:p>
        </w:tc>
      </w:tr>
      <w:tr w:rsidR="00F260AA" w:rsidRPr="00DD47DF" w14:paraId="4794A4A3" w14:textId="77777777" w:rsidTr="00835118">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5003A2D0"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Jihočeský</w:t>
            </w:r>
          </w:p>
        </w:tc>
        <w:tc>
          <w:tcPr>
            <w:tcW w:w="1523" w:type="dxa"/>
          </w:tcPr>
          <w:p w14:paraId="3689EC97"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39</w:t>
            </w:r>
          </w:p>
        </w:tc>
        <w:tc>
          <w:tcPr>
            <w:tcW w:w="1312" w:type="dxa"/>
          </w:tcPr>
          <w:p w14:paraId="64462D54"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26,9</w:t>
            </w:r>
          </w:p>
        </w:tc>
        <w:tc>
          <w:tcPr>
            <w:tcW w:w="858" w:type="dxa"/>
          </w:tcPr>
          <w:p w14:paraId="7345CC80"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8</w:t>
            </w:r>
          </w:p>
        </w:tc>
        <w:tc>
          <w:tcPr>
            <w:tcW w:w="1087" w:type="dxa"/>
          </w:tcPr>
          <w:p w14:paraId="57C3344C"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19</w:t>
            </w:r>
          </w:p>
        </w:tc>
        <w:tc>
          <w:tcPr>
            <w:tcW w:w="1325" w:type="dxa"/>
          </w:tcPr>
          <w:p w14:paraId="76BA33BA"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5,9</w:t>
            </w:r>
          </w:p>
        </w:tc>
        <w:tc>
          <w:tcPr>
            <w:tcW w:w="1325" w:type="dxa"/>
          </w:tcPr>
          <w:p w14:paraId="605F6AE4"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13,8</w:t>
            </w:r>
          </w:p>
        </w:tc>
      </w:tr>
      <w:tr w:rsidR="00F260AA" w:rsidRPr="00DD47DF" w14:paraId="5EFA1D4D" w14:textId="77777777" w:rsidTr="0083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2C7CEC10"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Jihomoravský</w:t>
            </w:r>
          </w:p>
        </w:tc>
        <w:tc>
          <w:tcPr>
            <w:tcW w:w="1523" w:type="dxa"/>
          </w:tcPr>
          <w:p w14:paraId="4F78FC66"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28</w:t>
            </w:r>
          </w:p>
        </w:tc>
        <w:tc>
          <w:tcPr>
            <w:tcW w:w="1312" w:type="dxa"/>
          </w:tcPr>
          <w:p w14:paraId="6F77C60B"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23,4</w:t>
            </w:r>
          </w:p>
        </w:tc>
        <w:tc>
          <w:tcPr>
            <w:tcW w:w="858" w:type="dxa"/>
          </w:tcPr>
          <w:p w14:paraId="60F590E6"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7</w:t>
            </w:r>
          </w:p>
        </w:tc>
        <w:tc>
          <w:tcPr>
            <w:tcW w:w="1087" w:type="dxa"/>
          </w:tcPr>
          <w:p w14:paraId="47C4BFF7"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14</w:t>
            </w:r>
          </w:p>
        </w:tc>
        <w:tc>
          <w:tcPr>
            <w:tcW w:w="1325" w:type="dxa"/>
          </w:tcPr>
          <w:p w14:paraId="62053C99"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3,8</w:t>
            </w:r>
          </w:p>
        </w:tc>
        <w:tc>
          <w:tcPr>
            <w:tcW w:w="1325" w:type="dxa"/>
          </w:tcPr>
          <w:p w14:paraId="7DF29990"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11,6</w:t>
            </w:r>
          </w:p>
        </w:tc>
      </w:tr>
      <w:tr w:rsidR="00F260AA" w:rsidRPr="00DD47DF" w14:paraId="1C5780DC" w14:textId="77777777" w:rsidTr="00835118">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3C42F3B5"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Karlovarský</w:t>
            </w:r>
          </w:p>
        </w:tc>
        <w:tc>
          <w:tcPr>
            <w:tcW w:w="1523" w:type="dxa"/>
          </w:tcPr>
          <w:p w14:paraId="6F8C2D55"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5</w:t>
            </w:r>
          </w:p>
        </w:tc>
        <w:tc>
          <w:tcPr>
            <w:tcW w:w="1312" w:type="dxa"/>
          </w:tcPr>
          <w:p w14:paraId="6FB41A20"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4,5</w:t>
            </w:r>
          </w:p>
        </w:tc>
        <w:tc>
          <w:tcPr>
            <w:tcW w:w="858" w:type="dxa"/>
          </w:tcPr>
          <w:p w14:paraId="6B5B2E64"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w:t>
            </w:r>
          </w:p>
        </w:tc>
        <w:tc>
          <w:tcPr>
            <w:tcW w:w="1087" w:type="dxa"/>
          </w:tcPr>
          <w:p w14:paraId="240F9A68"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4</w:t>
            </w:r>
          </w:p>
        </w:tc>
        <w:tc>
          <w:tcPr>
            <w:tcW w:w="1325" w:type="dxa"/>
          </w:tcPr>
          <w:p w14:paraId="05A346CD"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1,9</w:t>
            </w:r>
          </w:p>
        </w:tc>
        <w:tc>
          <w:tcPr>
            <w:tcW w:w="1325" w:type="dxa"/>
          </w:tcPr>
          <w:p w14:paraId="63DFD0BB"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4,0</w:t>
            </w:r>
          </w:p>
        </w:tc>
      </w:tr>
      <w:tr w:rsidR="00F260AA" w:rsidRPr="00DD47DF" w14:paraId="0FE9C9DB" w14:textId="77777777" w:rsidTr="0083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63F7331D"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Liberecký</w:t>
            </w:r>
          </w:p>
        </w:tc>
        <w:tc>
          <w:tcPr>
            <w:tcW w:w="1523" w:type="dxa"/>
          </w:tcPr>
          <w:p w14:paraId="1D70CC69"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4</w:t>
            </w:r>
          </w:p>
        </w:tc>
        <w:tc>
          <w:tcPr>
            <w:tcW w:w="1312" w:type="dxa"/>
          </w:tcPr>
          <w:p w14:paraId="0B5E88B4"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2,4</w:t>
            </w:r>
          </w:p>
        </w:tc>
        <w:tc>
          <w:tcPr>
            <w:tcW w:w="858" w:type="dxa"/>
          </w:tcPr>
          <w:p w14:paraId="44AF097A"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w:t>
            </w:r>
          </w:p>
        </w:tc>
        <w:tc>
          <w:tcPr>
            <w:tcW w:w="1087" w:type="dxa"/>
          </w:tcPr>
          <w:p w14:paraId="0A0B6DFB"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w:t>
            </w:r>
          </w:p>
        </w:tc>
        <w:tc>
          <w:tcPr>
            <w:tcW w:w="1325" w:type="dxa"/>
          </w:tcPr>
          <w:p w14:paraId="7386F5CB"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1,0</w:t>
            </w:r>
          </w:p>
        </w:tc>
        <w:tc>
          <w:tcPr>
            <w:tcW w:w="1325" w:type="dxa"/>
          </w:tcPr>
          <w:p w14:paraId="1B90751E"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1,5</w:t>
            </w:r>
          </w:p>
        </w:tc>
      </w:tr>
      <w:tr w:rsidR="00F260AA" w:rsidRPr="00DD47DF" w14:paraId="2BE72F5A" w14:textId="77777777" w:rsidTr="00835118">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16F194C0"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Moravskoslezský</w:t>
            </w:r>
          </w:p>
        </w:tc>
        <w:tc>
          <w:tcPr>
            <w:tcW w:w="1523" w:type="dxa"/>
          </w:tcPr>
          <w:p w14:paraId="4CE45A73"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14</w:t>
            </w:r>
          </w:p>
        </w:tc>
        <w:tc>
          <w:tcPr>
            <w:tcW w:w="1312" w:type="dxa"/>
          </w:tcPr>
          <w:p w14:paraId="6F6EB94D"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13,8</w:t>
            </w:r>
          </w:p>
        </w:tc>
        <w:tc>
          <w:tcPr>
            <w:tcW w:w="858" w:type="dxa"/>
          </w:tcPr>
          <w:p w14:paraId="05C7C2C7"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10</w:t>
            </w:r>
          </w:p>
        </w:tc>
        <w:tc>
          <w:tcPr>
            <w:tcW w:w="1087" w:type="dxa"/>
          </w:tcPr>
          <w:p w14:paraId="5B87ECE3"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12</w:t>
            </w:r>
          </w:p>
        </w:tc>
        <w:tc>
          <w:tcPr>
            <w:tcW w:w="1325" w:type="dxa"/>
          </w:tcPr>
          <w:p w14:paraId="08979AD5"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9,8</w:t>
            </w:r>
          </w:p>
        </w:tc>
        <w:tc>
          <w:tcPr>
            <w:tcW w:w="1325" w:type="dxa"/>
          </w:tcPr>
          <w:p w14:paraId="3B1B931A"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11,9</w:t>
            </w:r>
          </w:p>
        </w:tc>
      </w:tr>
      <w:tr w:rsidR="00F260AA" w:rsidRPr="00DD47DF" w14:paraId="3D010DE0" w14:textId="77777777" w:rsidTr="0083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5F10608B"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Olomoucký</w:t>
            </w:r>
          </w:p>
        </w:tc>
        <w:tc>
          <w:tcPr>
            <w:tcW w:w="1523" w:type="dxa"/>
          </w:tcPr>
          <w:p w14:paraId="12548DF7"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20</w:t>
            </w:r>
          </w:p>
        </w:tc>
        <w:tc>
          <w:tcPr>
            <w:tcW w:w="1312" w:type="dxa"/>
          </w:tcPr>
          <w:p w14:paraId="50D6EB8F"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16,9</w:t>
            </w:r>
          </w:p>
        </w:tc>
        <w:tc>
          <w:tcPr>
            <w:tcW w:w="858" w:type="dxa"/>
          </w:tcPr>
          <w:p w14:paraId="6017BAF1"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9</w:t>
            </w:r>
          </w:p>
        </w:tc>
        <w:tc>
          <w:tcPr>
            <w:tcW w:w="1087" w:type="dxa"/>
          </w:tcPr>
          <w:p w14:paraId="096BA245"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13</w:t>
            </w:r>
          </w:p>
        </w:tc>
        <w:tc>
          <w:tcPr>
            <w:tcW w:w="1325" w:type="dxa"/>
          </w:tcPr>
          <w:p w14:paraId="013CE811"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6,9</w:t>
            </w:r>
          </w:p>
        </w:tc>
        <w:tc>
          <w:tcPr>
            <w:tcW w:w="1325" w:type="dxa"/>
          </w:tcPr>
          <w:p w14:paraId="189F9418"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11,2</w:t>
            </w:r>
          </w:p>
        </w:tc>
      </w:tr>
      <w:tr w:rsidR="00F260AA" w:rsidRPr="00DD47DF" w14:paraId="7DBF65B8" w14:textId="77777777" w:rsidTr="00835118">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6C7E0F58"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Pardubický</w:t>
            </w:r>
          </w:p>
        </w:tc>
        <w:tc>
          <w:tcPr>
            <w:tcW w:w="1523" w:type="dxa"/>
          </w:tcPr>
          <w:p w14:paraId="3B1F97B5"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34</w:t>
            </w:r>
          </w:p>
        </w:tc>
        <w:tc>
          <w:tcPr>
            <w:tcW w:w="1312" w:type="dxa"/>
          </w:tcPr>
          <w:p w14:paraId="460BD498"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29,4</w:t>
            </w:r>
          </w:p>
        </w:tc>
        <w:tc>
          <w:tcPr>
            <w:tcW w:w="858" w:type="dxa"/>
          </w:tcPr>
          <w:p w14:paraId="4EE79CE4"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11</w:t>
            </w:r>
          </w:p>
        </w:tc>
        <w:tc>
          <w:tcPr>
            <w:tcW w:w="1087" w:type="dxa"/>
          </w:tcPr>
          <w:p w14:paraId="267AB038"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19</w:t>
            </w:r>
          </w:p>
        </w:tc>
        <w:tc>
          <w:tcPr>
            <w:tcW w:w="1325" w:type="dxa"/>
          </w:tcPr>
          <w:p w14:paraId="4BC72292"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10,5</w:t>
            </w:r>
          </w:p>
        </w:tc>
        <w:tc>
          <w:tcPr>
            <w:tcW w:w="1325" w:type="dxa"/>
          </w:tcPr>
          <w:p w14:paraId="318606CB"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17,2</w:t>
            </w:r>
          </w:p>
        </w:tc>
      </w:tr>
      <w:tr w:rsidR="00F260AA" w:rsidRPr="00DD47DF" w14:paraId="4611B551" w14:textId="77777777" w:rsidTr="0083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32AE4B17"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Plzeňský</w:t>
            </w:r>
          </w:p>
        </w:tc>
        <w:tc>
          <w:tcPr>
            <w:tcW w:w="1523" w:type="dxa"/>
          </w:tcPr>
          <w:p w14:paraId="638385F3"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31</w:t>
            </w:r>
          </w:p>
        </w:tc>
        <w:tc>
          <w:tcPr>
            <w:tcW w:w="1312" w:type="dxa"/>
          </w:tcPr>
          <w:p w14:paraId="47B697E3"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23,5</w:t>
            </w:r>
          </w:p>
        </w:tc>
        <w:tc>
          <w:tcPr>
            <w:tcW w:w="858" w:type="dxa"/>
          </w:tcPr>
          <w:p w14:paraId="42EDCCC9"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7</w:t>
            </w:r>
          </w:p>
        </w:tc>
        <w:tc>
          <w:tcPr>
            <w:tcW w:w="1087" w:type="dxa"/>
          </w:tcPr>
          <w:p w14:paraId="37D61562"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14</w:t>
            </w:r>
          </w:p>
        </w:tc>
        <w:tc>
          <w:tcPr>
            <w:tcW w:w="1325" w:type="dxa"/>
          </w:tcPr>
          <w:p w14:paraId="2AFF2CB1"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5,4</w:t>
            </w:r>
          </w:p>
        </w:tc>
        <w:tc>
          <w:tcPr>
            <w:tcW w:w="1325" w:type="dxa"/>
          </w:tcPr>
          <w:p w14:paraId="1A623ED8"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10,7</w:t>
            </w:r>
          </w:p>
        </w:tc>
      </w:tr>
      <w:tr w:rsidR="00F260AA" w:rsidRPr="00DD47DF" w14:paraId="46B1645E" w14:textId="77777777" w:rsidTr="00835118">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3065BDE4"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Středočeský</w:t>
            </w:r>
          </w:p>
        </w:tc>
        <w:tc>
          <w:tcPr>
            <w:tcW w:w="1523" w:type="dxa"/>
          </w:tcPr>
          <w:p w14:paraId="4A32A905"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41</w:t>
            </w:r>
          </w:p>
        </w:tc>
        <w:tc>
          <w:tcPr>
            <w:tcW w:w="1312" w:type="dxa"/>
          </w:tcPr>
          <w:p w14:paraId="148B12D0"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31,1</w:t>
            </w:r>
          </w:p>
        </w:tc>
        <w:tc>
          <w:tcPr>
            <w:tcW w:w="858" w:type="dxa"/>
          </w:tcPr>
          <w:p w14:paraId="365D81EA"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8</w:t>
            </w:r>
          </w:p>
        </w:tc>
        <w:tc>
          <w:tcPr>
            <w:tcW w:w="1087" w:type="dxa"/>
          </w:tcPr>
          <w:p w14:paraId="3C4DCB5E"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19</w:t>
            </w:r>
          </w:p>
        </w:tc>
        <w:tc>
          <w:tcPr>
            <w:tcW w:w="1325" w:type="dxa"/>
          </w:tcPr>
          <w:p w14:paraId="0F7FBB6E"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7,3</w:t>
            </w:r>
          </w:p>
        </w:tc>
        <w:tc>
          <w:tcPr>
            <w:tcW w:w="1325" w:type="dxa"/>
          </w:tcPr>
          <w:p w14:paraId="32461C1D"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16,5</w:t>
            </w:r>
          </w:p>
        </w:tc>
      </w:tr>
      <w:tr w:rsidR="00F260AA" w:rsidRPr="00DD47DF" w14:paraId="179FEEA1" w14:textId="77777777" w:rsidTr="0083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1E645034"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Ústecký</w:t>
            </w:r>
          </w:p>
        </w:tc>
        <w:tc>
          <w:tcPr>
            <w:tcW w:w="1523" w:type="dxa"/>
          </w:tcPr>
          <w:p w14:paraId="09659D81"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8</w:t>
            </w:r>
          </w:p>
        </w:tc>
        <w:tc>
          <w:tcPr>
            <w:tcW w:w="1312" w:type="dxa"/>
          </w:tcPr>
          <w:p w14:paraId="1A5823B3"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5,3</w:t>
            </w:r>
          </w:p>
        </w:tc>
        <w:tc>
          <w:tcPr>
            <w:tcW w:w="858" w:type="dxa"/>
          </w:tcPr>
          <w:p w14:paraId="425E4898"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4</w:t>
            </w:r>
          </w:p>
        </w:tc>
        <w:tc>
          <w:tcPr>
            <w:tcW w:w="1087" w:type="dxa"/>
          </w:tcPr>
          <w:p w14:paraId="3613BC65"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8</w:t>
            </w:r>
          </w:p>
        </w:tc>
        <w:tc>
          <w:tcPr>
            <w:tcW w:w="1325" w:type="dxa"/>
          </w:tcPr>
          <w:p w14:paraId="2E2F4BFB"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2,2</w:t>
            </w:r>
          </w:p>
        </w:tc>
        <w:tc>
          <w:tcPr>
            <w:tcW w:w="1325" w:type="dxa"/>
          </w:tcPr>
          <w:p w14:paraId="67829521"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5,3</w:t>
            </w:r>
          </w:p>
        </w:tc>
      </w:tr>
      <w:tr w:rsidR="00F260AA" w:rsidRPr="00DD47DF" w14:paraId="4C4163E2" w14:textId="77777777" w:rsidTr="00835118">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6D924F95"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Vysočina</w:t>
            </w:r>
          </w:p>
        </w:tc>
        <w:tc>
          <w:tcPr>
            <w:tcW w:w="1523" w:type="dxa"/>
          </w:tcPr>
          <w:p w14:paraId="2103F0B5"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52</w:t>
            </w:r>
          </w:p>
        </w:tc>
        <w:tc>
          <w:tcPr>
            <w:tcW w:w="1312" w:type="dxa"/>
          </w:tcPr>
          <w:p w14:paraId="2F3600AF"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36,9</w:t>
            </w:r>
          </w:p>
        </w:tc>
        <w:tc>
          <w:tcPr>
            <w:tcW w:w="858" w:type="dxa"/>
          </w:tcPr>
          <w:p w14:paraId="45C50481"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9</w:t>
            </w:r>
          </w:p>
        </w:tc>
        <w:tc>
          <w:tcPr>
            <w:tcW w:w="1087" w:type="dxa"/>
          </w:tcPr>
          <w:p w14:paraId="324A94EB"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17</w:t>
            </w:r>
          </w:p>
        </w:tc>
        <w:tc>
          <w:tcPr>
            <w:tcW w:w="1325" w:type="dxa"/>
          </w:tcPr>
          <w:p w14:paraId="723FBCDB"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6,0</w:t>
            </w:r>
          </w:p>
        </w:tc>
        <w:tc>
          <w:tcPr>
            <w:tcW w:w="1325" w:type="dxa"/>
          </w:tcPr>
          <w:p w14:paraId="123D1453"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12,2</w:t>
            </w:r>
          </w:p>
        </w:tc>
      </w:tr>
      <w:tr w:rsidR="00F260AA" w:rsidRPr="00DD47DF" w14:paraId="63B29586" w14:textId="77777777" w:rsidTr="0083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Borders>
              <w:bottom w:val="thickThinSmallGap" w:sz="12" w:space="0" w:color="auto"/>
            </w:tcBorders>
            <w:shd w:val="clear" w:color="auto" w:fill="C6D9F1" w:themeFill="text2" w:themeFillTint="33"/>
          </w:tcPr>
          <w:p w14:paraId="03A1A3A1"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Zlínský</w:t>
            </w:r>
          </w:p>
        </w:tc>
        <w:tc>
          <w:tcPr>
            <w:tcW w:w="1523" w:type="dxa"/>
            <w:tcBorders>
              <w:bottom w:val="thickThinSmallGap" w:sz="12" w:space="0" w:color="auto"/>
            </w:tcBorders>
          </w:tcPr>
          <w:p w14:paraId="6B0F18C0"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7</w:t>
            </w:r>
          </w:p>
        </w:tc>
        <w:tc>
          <w:tcPr>
            <w:tcW w:w="1312" w:type="dxa"/>
            <w:tcBorders>
              <w:bottom w:val="thickThinSmallGap" w:sz="12" w:space="0" w:color="auto"/>
            </w:tcBorders>
          </w:tcPr>
          <w:p w14:paraId="3D355F9B"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5,2</w:t>
            </w:r>
          </w:p>
        </w:tc>
        <w:tc>
          <w:tcPr>
            <w:tcW w:w="858" w:type="dxa"/>
            <w:tcBorders>
              <w:bottom w:val="thickThinSmallGap" w:sz="12" w:space="0" w:color="auto"/>
            </w:tcBorders>
          </w:tcPr>
          <w:p w14:paraId="43A19FD7"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6</w:t>
            </w:r>
          </w:p>
        </w:tc>
        <w:tc>
          <w:tcPr>
            <w:tcW w:w="1087" w:type="dxa"/>
            <w:tcBorders>
              <w:bottom w:val="thickThinSmallGap" w:sz="12" w:space="0" w:color="auto"/>
            </w:tcBorders>
          </w:tcPr>
          <w:p w14:paraId="2A7DCF7A"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6</w:t>
            </w:r>
          </w:p>
        </w:tc>
        <w:tc>
          <w:tcPr>
            <w:tcW w:w="1325" w:type="dxa"/>
            <w:tcBorders>
              <w:bottom w:val="thickThinSmallGap" w:sz="12" w:space="0" w:color="auto"/>
            </w:tcBorders>
          </w:tcPr>
          <w:p w14:paraId="378D4307"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4,2</w:t>
            </w:r>
          </w:p>
        </w:tc>
        <w:tc>
          <w:tcPr>
            <w:tcW w:w="1325" w:type="dxa"/>
            <w:tcBorders>
              <w:bottom w:val="thickThinSmallGap" w:sz="12" w:space="0" w:color="auto"/>
            </w:tcBorders>
          </w:tcPr>
          <w:p w14:paraId="415136DD"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4,2</w:t>
            </w:r>
          </w:p>
        </w:tc>
      </w:tr>
      <w:tr w:rsidR="00F260AA" w:rsidRPr="00DD47DF" w14:paraId="0FD1BA43" w14:textId="77777777" w:rsidTr="00835118">
        <w:tc>
          <w:tcPr>
            <w:cnfStyle w:val="001000000000" w:firstRow="0" w:lastRow="0" w:firstColumn="1" w:lastColumn="0" w:oddVBand="0" w:evenVBand="0" w:oddHBand="0" w:evenHBand="0" w:firstRowFirstColumn="0" w:firstRowLastColumn="0" w:lastRowFirstColumn="0" w:lastRowLastColumn="0"/>
            <w:tcW w:w="1879" w:type="dxa"/>
            <w:tcBorders>
              <w:top w:val="thickThinSmallGap" w:sz="12" w:space="0" w:color="auto"/>
            </w:tcBorders>
            <w:shd w:val="clear" w:color="auto" w:fill="8DB3E2" w:themeFill="text2" w:themeFillTint="66"/>
          </w:tcPr>
          <w:p w14:paraId="551F1C55" w14:textId="77777777" w:rsidR="00F260AA" w:rsidRPr="00DD47DF" w:rsidRDefault="00F260AA" w:rsidP="00F260AA">
            <w:pPr>
              <w:keepNext/>
              <w:keepLines/>
              <w:rPr>
                <w:rFonts w:asciiTheme="minorHAnsi" w:hAnsiTheme="minorHAnsi" w:cstheme="minorHAnsi"/>
                <w:sz w:val="22"/>
                <w:szCs w:val="22"/>
              </w:rPr>
            </w:pPr>
            <w:r w:rsidRPr="00DD47DF">
              <w:rPr>
                <w:rFonts w:asciiTheme="minorHAnsi" w:hAnsiTheme="minorHAnsi" w:cstheme="minorHAnsi"/>
                <w:color w:val="auto"/>
                <w:sz w:val="22"/>
                <w:szCs w:val="22"/>
              </w:rPr>
              <w:t>Česká republika</w:t>
            </w:r>
          </w:p>
        </w:tc>
        <w:tc>
          <w:tcPr>
            <w:tcW w:w="1523" w:type="dxa"/>
            <w:tcBorders>
              <w:top w:val="thickThinSmallGap" w:sz="12" w:space="0" w:color="auto"/>
            </w:tcBorders>
            <w:shd w:val="clear" w:color="auto" w:fill="8DB3E2" w:themeFill="text2" w:themeFillTint="66"/>
          </w:tcPr>
          <w:p w14:paraId="258EBCE0"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310</w:t>
            </w:r>
          </w:p>
        </w:tc>
        <w:tc>
          <w:tcPr>
            <w:tcW w:w="1312" w:type="dxa"/>
            <w:tcBorders>
              <w:top w:val="thickThinSmallGap" w:sz="12" w:space="0" w:color="auto"/>
            </w:tcBorders>
            <w:shd w:val="clear" w:color="auto" w:fill="8DB3E2" w:themeFill="text2" w:themeFillTint="66"/>
          </w:tcPr>
          <w:p w14:paraId="6FF0A89A"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242</w:t>
            </w:r>
          </w:p>
        </w:tc>
        <w:tc>
          <w:tcPr>
            <w:tcW w:w="858" w:type="dxa"/>
            <w:tcBorders>
              <w:top w:val="thickThinSmallGap" w:sz="12" w:space="0" w:color="auto"/>
            </w:tcBorders>
            <w:shd w:val="clear" w:color="auto" w:fill="8DB3E2" w:themeFill="text2" w:themeFillTint="66"/>
          </w:tcPr>
          <w:p w14:paraId="7E8103DE"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93</w:t>
            </w:r>
          </w:p>
        </w:tc>
        <w:tc>
          <w:tcPr>
            <w:tcW w:w="1087" w:type="dxa"/>
            <w:tcBorders>
              <w:top w:val="thickThinSmallGap" w:sz="12" w:space="0" w:color="auto"/>
            </w:tcBorders>
            <w:shd w:val="clear" w:color="auto" w:fill="8DB3E2" w:themeFill="text2" w:themeFillTint="66"/>
          </w:tcPr>
          <w:p w14:paraId="367E5974"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166</w:t>
            </w:r>
          </w:p>
        </w:tc>
        <w:tc>
          <w:tcPr>
            <w:tcW w:w="1325" w:type="dxa"/>
            <w:tcBorders>
              <w:top w:val="thickThinSmallGap" w:sz="12" w:space="0" w:color="auto"/>
            </w:tcBorders>
            <w:shd w:val="clear" w:color="auto" w:fill="8DB3E2" w:themeFill="text2" w:themeFillTint="66"/>
          </w:tcPr>
          <w:p w14:paraId="283A9015"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76</w:t>
            </w:r>
          </w:p>
        </w:tc>
        <w:tc>
          <w:tcPr>
            <w:tcW w:w="1325" w:type="dxa"/>
            <w:tcBorders>
              <w:top w:val="thickThinSmallGap" w:sz="12" w:space="0" w:color="auto"/>
            </w:tcBorders>
            <w:shd w:val="clear" w:color="auto" w:fill="8DB3E2" w:themeFill="text2" w:themeFillTint="66"/>
          </w:tcPr>
          <w:p w14:paraId="69B64068"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137</w:t>
            </w:r>
          </w:p>
        </w:tc>
      </w:tr>
    </w:tbl>
    <w:p w14:paraId="7BE36611" w14:textId="77777777" w:rsidR="00F260AA" w:rsidRPr="00DD47DF" w:rsidRDefault="00A041AE" w:rsidP="00F260AA">
      <w:pPr>
        <w:pStyle w:val="Standardntext"/>
        <w:spacing w:after="240"/>
      </w:pPr>
      <w:r w:rsidRPr="00DD47DF">
        <w:t>Zdroj: Možnosti využití tepla/ vzdálené kogenerace na zemědělských BPS v České republice, zpracovatel NovaEnergo s.r.o., květen 2013</w:t>
      </w:r>
    </w:p>
    <w:p w14:paraId="5DCF9030" w14:textId="77777777" w:rsidR="00F260AA" w:rsidRPr="00DD47DF" w:rsidRDefault="00F260AA" w:rsidP="00F260AA">
      <w:pPr>
        <w:pStyle w:val="Standardntext"/>
      </w:pPr>
      <w:r w:rsidRPr="00DD47DF">
        <w:t>Dalším identifikovaným problémem je vysoká úroveň energetické náročnosti ekonomiky. Jak vyplývá z grafu níže, z hlediska energetické náročnosti se ČR v současnosti nachází výrazně nad průměrem EU-27. Pokud jde o konečnou spotřebu energie, spotřebovala ČR v sektoru průmyslu a služeb v roce 2012 zhruba 434 PJ. Důvodem vyšší energetické náročnosti je jak vysoký podíl průmyslu na tvorbě HDP a vysoký podíl průmyslových odvětví s vysokou energetickou náročností, tak i vnitřní dluh podniků spočívající v nízké energetické efektivnosti průmyslových procesů a vysoké energetické náročnosti budov. Návratnost investic do energetické efektivnosti je obvykle o něco delší než investice do vlastní produkce a tempo zvyšování energetické účinnosti je při rozpočtových omezeních firem pomalé. Ceny energií pak představují kritický faktor konkurenceschopnosti firem. Z hlediska spotřeby energie na obyvatele i z hlediska spotřeby elektřiny na obyvatele se ČR nachází zhruba v průměru zemí EU. Nadále však existuje poměrně vysoký potenciál úspor ovlivněný nedostatkem finančních prostředků pro investice do úsporných projektů a nedostatek znalostí v oblasti efektivního využívání energie. Úspory energie budou mít pozitivní vliv jak na kvalitu ovzduší, tak i na snížení produkce CO</w:t>
      </w:r>
      <w:r w:rsidRPr="00DD47DF">
        <w:rPr>
          <w:vertAlign w:val="subscript"/>
        </w:rPr>
        <w:t>2</w:t>
      </w:r>
      <w:r w:rsidRPr="00DD47DF">
        <w:t xml:space="preserve"> (zde jednoznačná vazba na problémovou oblast </w:t>
      </w:r>
      <w:r w:rsidR="008E4EE8" w:rsidRPr="00DD47DF">
        <w:t>„</w:t>
      </w:r>
      <w:r w:rsidRPr="00DD47DF">
        <w:t>Životní prostředí</w:t>
      </w:r>
      <w:r w:rsidR="008E4EE8" w:rsidRPr="00DD47DF">
        <w:t>“</w:t>
      </w:r>
      <w:r w:rsidRPr="00DD47DF">
        <w:t>).</w:t>
      </w:r>
    </w:p>
    <w:p w14:paraId="7EDB5E92" w14:textId="77777777" w:rsidR="00F260AA" w:rsidRPr="00DD47DF" w:rsidRDefault="00F260AA" w:rsidP="00F260AA">
      <w:pPr>
        <w:pStyle w:val="Titulek"/>
        <w:keepNext/>
        <w:rPr>
          <w:rFonts w:cs="Calibri"/>
        </w:rPr>
      </w:pPr>
      <w:r w:rsidRPr="00DD47DF">
        <w:rPr>
          <w:rFonts w:cs="Calibri"/>
        </w:rPr>
        <w:lastRenderedPageBreak/>
        <w:t xml:space="preserve">Obrázek </w:t>
      </w:r>
      <w:r w:rsidR="00A10251" w:rsidRPr="00DD47DF">
        <w:rPr>
          <w:rFonts w:cs="Calibri"/>
        </w:rPr>
        <w:t>5</w:t>
      </w:r>
      <w:r w:rsidRPr="00DD47DF">
        <w:rPr>
          <w:rFonts w:cs="Calibri"/>
        </w:rPr>
        <w:t>: Energetická náročnost jednotlivých zemí EU-28 (v kilogramu ropného ekvivalentu na 1000 EUR), 2012</w:t>
      </w:r>
    </w:p>
    <w:p w14:paraId="40C7FEC6" w14:textId="77777777" w:rsidR="00F260AA" w:rsidRPr="00DD47DF" w:rsidRDefault="00F260AA" w:rsidP="00F260AA">
      <w:pPr>
        <w:contextualSpacing/>
        <w:jc w:val="both"/>
        <w:rPr>
          <w:rFonts w:ascii="Calibri" w:hAnsi="Calibri" w:cs="Calibri"/>
        </w:rPr>
      </w:pPr>
      <w:r w:rsidRPr="00DD47DF">
        <w:rPr>
          <w:noProof/>
        </w:rPr>
        <w:drawing>
          <wp:inline distT="0" distB="0" distL="0" distR="0" wp14:anchorId="4C3C7462" wp14:editId="4649A37A">
            <wp:extent cx="5838190" cy="3409315"/>
            <wp:effectExtent l="0" t="0" r="10160" b="19685"/>
            <wp:docPr id="35" name="Graf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385D5F5" w14:textId="77777777" w:rsidR="00F260AA" w:rsidRPr="00DD47DF" w:rsidRDefault="00A041AE" w:rsidP="00F260AA">
      <w:pPr>
        <w:pStyle w:val="Standardntext"/>
        <w:spacing w:after="240"/>
      </w:pPr>
      <w:r w:rsidRPr="00DD47DF">
        <w:t>Zdroj</w:t>
      </w:r>
      <w:r w:rsidR="00835118" w:rsidRPr="00DD47DF">
        <w:t>:</w:t>
      </w:r>
      <w:r w:rsidR="00F260AA" w:rsidRPr="00DD47DF">
        <w:t xml:space="preserve"> Eurostat</w:t>
      </w:r>
    </w:p>
    <w:p w14:paraId="506E04A6" w14:textId="77777777" w:rsidR="00F260AA" w:rsidRPr="00DD47DF" w:rsidRDefault="00F260AA" w:rsidP="00F260AA">
      <w:pPr>
        <w:pStyle w:val="Standardntext"/>
      </w:pPr>
      <w:r w:rsidRPr="00DD47DF">
        <w:t>Díky pozvolnému nárůstu spotřeby elektrické energie, ale i z důvodu vzniku nových zdrojů rozptýlené výroby včetně intermitentních (OZE), vzniká potřeba zvýšení transformačního výkonu přenosové soustavy a distribuční soustavy. Bez rozvoje a modernizace elektrizační soustavy nelze v budoucnu dostatečně uspokojit požadavky rozvíjejících se regionů. Posílení vnitřní i přeshraniční kapacity přenosových vedení elektrické energie je důležité rovněž z pohledu integrace vnitřního evropského trhu s energií. Kvalitní napojení energetických sítí na evropské struktury je významné z hlediska energetické bezpečnosti a zajištění stálosti dodávek při exportu i importu energie. Z hlediska narůstající zátěže pro distribuci a přenos elektrické energie, která zapříčiňuje vysokou ztrátovost, jsou problémovými oblastmi především klíčové uzly soustav a téměř nulové využití inteligentních sítí jako regulačního prvku. V případě distribuční soustavy je přetížením ohroženo zejména vedení a další prvky (např. trafostanice) hlavně v koncových sítích (vn a nn) a v okrajových oblastech. Úroveň kvality v distribučních soustavách je určena ukazateli nepřetržitosti distribuce elektřiny podle § 21 vyhlášky č. 540/2005 Sb., o kvalitě dodávek elektřiny a souvisejících služeb v elektroenergetice. Vyhláškou jsou definovány následující ukazatele nepřetržitosti: (1) průměrný počet přerušení distribuce elektřiny u zákazníků v hodnoceném období (SAIFI) a (2) průměrná souhrnná doba trvání přerušení distribuce elektřiny u zákazníků v hodnoceném období (SAIDI). V roce 2013 dosáhl ukazatel SAIFI počtu 2,755 přerušení za rok a ukazatel SAIDI délky přerušení 394,33 min. za rok. Jak vyplývá z grafů níže, hodnoty obou ukazatelů v posledních 3 letech mírně rostou, což potvrzuje narůstající zátěž pro distribuci vedoucí ke snížení bezpečnosti dodávek.</w:t>
      </w:r>
    </w:p>
    <w:p w14:paraId="27B53CAE" w14:textId="77777777" w:rsidR="00F260AA" w:rsidRPr="00DD47DF" w:rsidRDefault="00F260AA" w:rsidP="00F260AA">
      <w:pPr>
        <w:pStyle w:val="Titulek"/>
        <w:keepNext/>
        <w:rPr>
          <w:rFonts w:cs="Calibri"/>
        </w:rPr>
      </w:pPr>
      <w:r w:rsidRPr="00DD47DF">
        <w:rPr>
          <w:rFonts w:cs="Calibri"/>
        </w:rPr>
        <w:lastRenderedPageBreak/>
        <w:t xml:space="preserve">Obrázek </w:t>
      </w:r>
      <w:r w:rsidR="00A10251" w:rsidRPr="00DD47DF">
        <w:rPr>
          <w:rFonts w:cs="Calibri"/>
        </w:rPr>
        <w:t>6</w:t>
      </w:r>
      <w:r w:rsidRPr="00DD47DF">
        <w:rPr>
          <w:rFonts w:cs="Calibri"/>
        </w:rPr>
        <w:t>: Dosažené hodnoty ukazatelů nepřetržitosti distribuce elektřiny (SAIFI, SAIDI) napájené z hladiny nízkého napětí v posledních 3 letech</w:t>
      </w:r>
    </w:p>
    <w:p w14:paraId="6EE5BA06" w14:textId="77777777" w:rsidR="00F260AA" w:rsidRPr="00DD47DF" w:rsidRDefault="00F260AA" w:rsidP="00DA3512">
      <w:pPr>
        <w:pStyle w:val="Titulek"/>
        <w:keepNext/>
        <w:numPr>
          <w:ilvl w:val="0"/>
          <w:numId w:val="77"/>
        </w:numPr>
        <w:spacing w:before="120"/>
        <w:rPr>
          <w:rFonts w:cs="Calibri"/>
        </w:rPr>
      </w:pPr>
      <w:r w:rsidRPr="00DD47DF">
        <w:rPr>
          <w:rFonts w:cs="Calibri"/>
        </w:rPr>
        <w:t>Průměrný počet přerušení distribuce elektřiny u zákazníků v hodnoceném období (SAIFI)</w:t>
      </w:r>
    </w:p>
    <w:p w14:paraId="7E1E57B6" w14:textId="77777777" w:rsidR="00F260AA" w:rsidRPr="00DD47DF" w:rsidRDefault="00F260AA" w:rsidP="00F260AA">
      <w:pPr>
        <w:pStyle w:val="Standardntext"/>
        <w:jc w:val="center"/>
      </w:pPr>
      <w:r w:rsidRPr="00DD47DF">
        <w:rPr>
          <w:noProof/>
        </w:rPr>
        <w:drawing>
          <wp:inline distT="0" distB="0" distL="0" distR="0" wp14:anchorId="12114AED" wp14:editId="3C742424">
            <wp:extent cx="5455920" cy="4126230"/>
            <wp:effectExtent l="0" t="0" r="11430" b="26670"/>
            <wp:docPr id="36" name="Graf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17D1BB" w14:textId="77777777" w:rsidR="00F260AA" w:rsidRPr="00DD47DF" w:rsidRDefault="00F260AA" w:rsidP="00DA3512">
      <w:pPr>
        <w:pStyle w:val="Titulek"/>
        <w:keepNext/>
        <w:numPr>
          <w:ilvl w:val="0"/>
          <w:numId w:val="77"/>
        </w:numPr>
        <w:spacing w:before="120"/>
        <w:rPr>
          <w:rFonts w:cs="Calibri"/>
        </w:rPr>
      </w:pPr>
      <w:r w:rsidRPr="00DD47DF">
        <w:rPr>
          <w:rFonts w:cs="Calibri"/>
        </w:rPr>
        <w:lastRenderedPageBreak/>
        <w:t>Průměrná souhrnná doba trvání přerušení distribuce elektřiny u zákazníků v hodnoceném období (SAIDI)</w:t>
      </w:r>
    </w:p>
    <w:p w14:paraId="45D5F370" w14:textId="77777777" w:rsidR="00F260AA" w:rsidRPr="00DD47DF" w:rsidRDefault="00F260AA" w:rsidP="00F260AA">
      <w:pPr>
        <w:pStyle w:val="Standardntext"/>
        <w:jc w:val="center"/>
      </w:pPr>
      <w:r w:rsidRPr="00DD47DF">
        <w:rPr>
          <w:noProof/>
        </w:rPr>
        <w:drawing>
          <wp:inline distT="0" distB="0" distL="0" distR="0" wp14:anchorId="4E9B3BD7" wp14:editId="34537AE0">
            <wp:extent cx="5449570" cy="4154170"/>
            <wp:effectExtent l="0" t="0" r="17780" b="17780"/>
            <wp:docPr id="37" name="Graf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BE8D6F2" w14:textId="77777777" w:rsidR="00F260AA" w:rsidRPr="00DD47DF" w:rsidRDefault="00F260AA" w:rsidP="00F260AA">
      <w:pPr>
        <w:pStyle w:val="Standardntext"/>
        <w:spacing w:after="240"/>
      </w:pPr>
      <w:r w:rsidRPr="00DD47DF">
        <w:t>Zdroj: Energetický regulační úřad ČR, Zpráva o dosažené úrovni nepřetržitosti přenosu nebo distribuce elektřiny za rok 2012; ČEZ Distribuce, a. s., Souhrnná zpráva za rok 2013</w:t>
      </w:r>
      <w:r w:rsidRPr="00DD47DF">
        <w:rPr>
          <w:rStyle w:val="Znakapoznpodarou"/>
        </w:rPr>
        <w:footnoteReference w:id="16"/>
      </w:r>
    </w:p>
    <w:p w14:paraId="6E8AD1C9" w14:textId="77777777" w:rsidR="00F260AA" w:rsidRPr="00DD47DF" w:rsidRDefault="00F260AA" w:rsidP="00F260AA">
      <w:pPr>
        <w:pStyle w:val="Standardntext"/>
        <w:spacing w:after="240"/>
      </w:pPr>
      <w:r w:rsidRPr="00DD47DF">
        <w:t>Parametry přenosové soustavy v současné době již neodpovídají rychle se měnící situaci v elektroenergetice. Vedení a uzly v rámci přenosové soustavy jsou ohrožené přetížením v důsledku neplánovaných toků elektřiny z okolních států. Dalším problémem přenosové soustavy je zvyšující se spotřeba elektrické energie v lokalitách bez dostatečných výrobních kapacit, což koresponduje s očekávaným trendem ve všech vyspělých zemích. Posilováním transformací ve stávajících uzlech přenosové soustavy je možno dosáhnout navýšení transformačního výkonu, který v roce 2013 činil 21 680 MVA (mega voltampér).</w:t>
      </w:r>
    </w:p>
    <w:p w14:paraId="5E9EFDFC" w14:textId="77777777" w:rsidR="00F260AA" w:rsidRPr="00DD47DF" w:rsidRDefault="00F260AA" w:rsidP="00F260AA">
      <w:pPr>
        <w:pStyle w:val="Standardntext"/>
      </w:pPr>
      <w:r w:rsidRPr="00DD47DF">
        <w:t>Slabinou inovačního prostředí pro oblast energetiky, která je jednou ze základních podmínek energetické konkurenceschopnosti v ČR, je nedostatečné využívání nízkouhlíkových technologií</w:t>
      </w:r>
      <w:r w:rsidR="00056DBD" w:rsidRPr="00DD47DF">
        <w:rPr>
          <w:rStyle w:val="Znakapoznpodarou"/>
        </w:rPr>
        <w:footnoteReference w:id="17"/>
      </w:r>
      <w:r w:rsidRPr="00DD47DF">
        <w:t xml:space="preserve">. Vyšší míra zavádění inovativních nízkouhlíkových technologií v ČR nemá dostatečnou prioritu a z pohledu firem jsou investice do těchto technologií příliš nákladné a rizikové oproti klasickým investicím do prosté obnovy či rozšíření výrobní produkce, která přináší z ekonomického hlediska krátkodoběji lepší výsledky. Při současném a očekávaném </w:t>
      </w:r>
      <w:r w:rsidRPr="00DD47DF">
        <w:lastRenderedPageBreak/>
        <w:t>růstu cen energií a surovin bude však tento prvek vnitropodnikové strategie přirozeně nabývat na významu a stane se významným prvkem tržní soutěže, neboť nízkouhlíkové technologie snižují energetické a materiálové nároky na jednotku produkce, snižují případné poplatky za emise či odpady a otevírají nové příležitosti pro podnikání.</w:t>
      </w:r>
    </w:p>
    <w:p w14:paraId="14829107" w14:textId="77777777" w:rsidR="00F260AA" w:rsidRPr="00DD47DF" w:rsidRDefault="00F260AA" w:rsidP="00F260AA">
      <w:pPr>
        <w:pStyle w:val="Standardntext"/>
      </w:pPr>
      <w:r w:rsidRPr="00DD47DF">
        <w:t>Výše uvedené platí i pro oblast využívání druhotných energetických zdrojů. Průmysl druhotných surovin</w:t>
      </w:r>
      <w:r w:rsidRPr="00DD47DF">
        <w:rPr>
          <w:rStyle w:val="Znakapoznpodarou"/>
        </w:rPr>
        <w:footnoteReference w:id="18"/>
      </w:r>
      <w:r w:rsidRPr="00DD47DF">
        <w:t xml:space="preserve"> patří v Č</w:t>
      </w:r>
      <w:r w:rsidR="00782BE3" w:rsidRPr="00DD47DF">
        <w:t>R</w:t>
      </w:r>
      <w:r w:rsidRPr="00DD47DF">
        <w:t xml:space="preserve"> historicky mezi tradiční obory hospodářství. Vzhledem k nedostatečné surovinové základně ČR tvoří druhotné suroviny významnou část surovinové základny pro všechna odvětví průmyslové výroby v ČR. Druhotné suroviny šetří zdroje primárních surovin, které rovnocenně nahrazují, a zároveň usnadňují technologické procesy. Významným přínosem druhotných surovin je snížení energetické a materiálové náročnosti ve všech výrobních odvětvích. Jejich potřeba stále vzrůstá úměrně se zvyšujícími se environmentálními požadavky na průmysl. Druhotné suroviny také snižují emise z průmyslové činnosti a tím následně i imise. Produkce druhotných surovin byla v roce 2012 v ČR ve výši 20,8 mil. tun. </w:t>
      </w:r>
    </w:p>
    <w:p w14:paraId="70028345" w14:textId="77777777" w:rsidR="00F260AA" w:rsidRPr="00DD47DF" w:rsidRDefault="00F260AA" w:rsidP="00F260AA">
      <w:pPr>
        <w:pStyle w:val="Titulek"/>
        <w:keepNext/>
        <w:keepLines/>
        <w:rPr>
          <w:rFonts w:cs="Calibri"/>
        </w:rPr>
      </w:pPr>
      <w:r w:rsidRPr="00DD47DF">
        <w:rPr>
          <w:rFonts w:cs="Calibri"/>
        </w:rPr>
        <w:t xml:space="preserve">Obrázek </w:t>
      </w:r>
      <w:r w:rsidR="00A10251" w:rsidRPr="00DD47DF">
        <w:rPr>
          <w:rFonts w:cs="Calibri"/>
        </w:rPr>
        <w:t>7</w:t>
      </w:r>
      <w:r w:rsidRPr="00DD47DF">
        <w:rPr>
          <w:rFonts w:cs="Calibri"/>
        </w:rPr>
        <w:t>: Produkce druhotných surovin v ČR (v tis. t), 2012</w:t>
      </w:r>
    </w:p>
    <w:p w14:paraId="2B72E414" w14:textId="77777777" w:rsidR="00F260AA" w:rsidRPr="00DD47DF" w:rsidRDefault="00F260AA" w:rsidP="00F260AA">
      <w:pPr>
        <w:pStyle w:val="Standardntext"/>
      </w:pPr>
      <w:r w:rsidRPr="00DD47DF">
        <w:rPr>
          <w:noProof/>
        </w:rPr>
        <w:drawing>
          <wp:inline distT="0" distB="0" distL="0" distR="0" wp14:anchorId="019DC011" wp14:editId="1BDDF3BE">
            <wp:extent cx="5593715" cy="3335020"/>
            <wp:effectExtent l="19050" t="19050" r="26035" b="17780"/>
            <wp:docPr id="38"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93715" cy="3335020"/>
                    </a:xfrm>
                    <a:prstGeom prst="rect">
                      <a:avLst/>
                    </a:prstGeom>
                    <a:noFill/>
                    <a:ln w="9525" cmpd="sng">
                      <a:solidFill>
                        <a:srgbClr val="000000"/>
                      </a:solidFill>
                      <a:miter lim="800000"/>
                      <a:headEnd/>
                      <a:tailEnd/>
                    </a:ln>
                    <a:effectLst/>
                  </pic:spPr>
                </pic:pic>
              </a:graphicData>
            </a:graphic>
          </wp:inline>
        </w:drawing>
      </w:r>
    </w:p>
    <w:p w14:paraId="71A4B066" w14:textId="77777777" w:rsidR="00F260AA" w:rsidRPr="00DD47DF" w:rsidRDefault="00F260AA" w:rsidP="00F260AA">
      <w:pPr>
        <w:pStyle w:val="Standardntext"/>
        <w:spacing w:after="240"/>
      </w:pPr>
      <w:r w:rsidRPr="00DD47DF">
        <w:t>Zdroj: ČSÚ</w:t>
      </w:r>
    </w:p>
    <w:p w14:paraId="561030CA" w14:textId="77777777" w:rsidR="00F260AA" w:rsidRPr="00DD47DF" w:rsidRDefault="00782BE3" w:rsidP="00F260AA">
      <w:pPr>
        <w:pStyle w:val="Standardntext"/>
        <w:spacing w:after="240"/>
      </w:pPr>
      <w:r w:rsidRPr="00DD47DF">
        <w:t xml:space="preserve">Jak potvrzuje </w:t>
      </w:r>
      <w:r w:rsidR="00F260AA" w:rsidRPr="00DD47DF">
        <w:t>graf výše, množstevně nejvýznamnější komoditou jsou vedlejší energetické produkty, kovy a hmoty ze stavebnictví. Z jiných výrobků po ukončení životnosti (např. odpadní elektrická a elektronická zařízení, odpadní baterie a akumulátory), jejichž produkované množství nebo roční materiálový potenciál je nižší, se však získávají velmi cenné suroviny</w:t>
      </w:r>
      <w:r w:rsidR="00822956" w:rsidRPr="00DD47DF">
        <w:t>,</w:t>
      </w:r>
      <w:r w:rsidR="00F260AA" w:rsidRPr="00DD47DF">
        <w:t xml:space="preserve"> tj. </w:t>
      </w:r>
      <w:r w:rsidR="00F260AA" w:rsidRPr="00DD47DF">
        <w:lastRenderedPageBreak/>
        <w:t xml:space="preserve">kovy, z nichž některé byly označeny </w:t>
      </w:r>
      <w:r w:rsidRPr="00DD47DF">
        <w:t>EK</w:t>
      </w:r>
      <w:r w:rsidR="00F260AA" w:rsidRPr="00DD47DF">
        <w:t xml:space="preserve"> za kritické (tzn., že jejich dostupnost klesá). Význam komodity druhotné suroviny tak určuje nejen produkované množství, ale též obsah látek v nich obsažených. Nízké využití druhotných surovin jako vstupní suroviny pro další výrobu vykazují zejména komodity plasty (15 %), stavební hmoty (11 %) a produkty z energetických procesů (4 %). </w:t>
      </w:r>
    </w:p>
    <w:p w14:paraId="462C9969" w14:textId="77777777" w:rsidR="00F260AA" w:rsidRPr="00DD47DF" w:rsidRDefault="00782BE3" w:rsidP="00F260AA">
      <w:pPr>
        <w:pStyle w:val="Standardntext"/>
      </w:pPr>
      <w:r w:rsidRPr="00DD47DF">
        <w:t>ČR</w:t>
      </w:r>
      <w:r w:rsidR="00F260AA" w:rsidRPr="00DD47DF">
        <w:t xml:space="preserve"> má rozvinutý sektor teplárenství, nicméně soustavy zásobování teplem byly budovány od 40. let 20. století převážně do konce 80. let 20. století. Parametry těchto soustav odpovídaly vnějším potřebám, které se po roce 1989 změnily. Rozvody dálkového vytápění jsou realizovány ze 45,3 % jako teplovodní, z 33,3 % jako horkovodní a z 21,4 % jako parní sítě. Parní sítě jsou historicky umístěny v oblastech s dodávkou technologické páry pro průmyslové podniky. Velký počet průmyslových podniků v rámci restrukturalizace průmyslu v 90. letech však zanikl a s tím i potřeba dodávek páry. V případech, kdy došlo k omezení či zrušení odběru technologické páry se tyto sítě mj. z provozně-technických důvodů rekonstruují na horkovodní či teplovodní systémy (včetně navazujících energetických zařízení) z důvodu snížení ztrát a zlepšení provozních parametrů soustavy. Obvyklé ztráty v parních rozvodech jsou indikovány Rozhodnutím ERÚ</w:t>
      </w:r>
      <w:r w:rsidR="00F260AA" w:rsidRPr="00DD47DF">
        <w:rPr>
          <w:rStyle w:val="Znakapoznpodarou"/>
        </w:rPr>
        <w:footnoteReference w:id="19"/>
      </w:r>
      <w:r w:rsidR="00F260AA" w:rsidRPr="00DD47DF">
        <w:t xml:space="preserve"> na 9 GJ/m/rok (skutečná hodnota ztrát může být vyšší). Ztráty v horkovodních rozvodech realizovaných předizolovaným potrubím jsou dle katalogů odborných firem</w:t>
      </w:r>
      <w:r w:rsidR="00F260AA" w:rsidRPr="00DD47DF">
        <w:rPr>
          <w:rStyle w:val="Znakapoznpodarou"/>
        </w:rPr>
        <w:footnoteReference w:id="20"/>
      </w:r>
      <w:r w:rsidR="00F260AA" w:rsidRPr="00DD47DF">
        <w:t xml:space="preserve"> 1,75 GJ/m/rok. Rekonstrukcí parních rozvodů na horkovodní rozvody by tak došlo k průměrně k úspoře 7,25 GJ/m/rok. Při rekonstrukci všech parních rozvodů určených k rekonstrukci</w:t>
      </w:r>
      <w:r w:rsidR="00F260AA" w:rsidRPr="00DD47DF">
        <w:rPr>
          <w:rStyle w:val="Znakapoznpodarou"/>
        </w:rPr>
        <w:footnoteReference w:id="21"/>
      </w:r>
      <w:r w:rsidR="00F260AA" w:rsidRPr="00DD47DF">
        <w:t xml:space="preserve"> by dle Teplárenského sdružení ČR došlo k úspoře primární energie ve výši 7,33 PJ/rok. Průměrná životnost opatření je 30 let, tzn. za dobu živostnosti </w:t>
      </w:r>
      <w:r w:rsidR="005A383F" w:rsidRPr="00DD47DF">
        <w:t xml:space="preserve">se jedná o </w:t>
      </w:r>
      <w:r w:rsidR="00F260AA" w:rsidRPr="00DD47DF">
        <w:t>úsporu 219 PJ primární energie. Z hlediska spotřeby primární energie bylo přitom v sektoru průmyslu a služeb v roce 2012 dosaženo hodnoty 380 PJ.</w:t>
      </w:r>
    </w:p>
    <w:p w14:paraId="38063DCB" w14:textId="77777777" w:rsidR="00F260AA" w:rsidRPr="00DD47DF" w:rsidRDefault="00F260AA" w:rsidP="00F260AA">
      <w:pPr>
        <w:pStyle w:val="Standardntext"/>
      </w:pPr>
      <w:r w:rsidRPr="00DD47DF">
        <w:t>Výroba elektřiny v ČR je spojena s vysokými ztrátami kolem 500 PJ energie ročně. Ztráty v této oblasti vznikají z fyzikální podstaty odvedením nízkokapacitního tepla do okolního prostředí. Současně je nevyužit v mnoha lokalitách potenciál kombinované výroby elektřiny a tepla (KVET), kde je poptávka po užitečném teple realizována výtopenským režimem. Jak dokládá graf níže, v oblasti kombinované výroby elektřiny a tepla se Č</w:t>
      </w:r>
      <w:r w:rsidR="00822956" w:rsidRPr="00DD47DF">
        <w:t>R</w:t>
      </w:r>
      <w:r w:rsidRPr="00DD47DF">
        <w:t xml:space="preserve"> pohybuje jen lehce nad průměrem EU-27</w:t>
      </w:r>
      <w:r w:rsidRPr="00DD47DF">
        <w:rPr>
          <w:rStyle w:val="Znakapoznpodarou"/>
        </w:rPr>
        <w:footnoteReference w:id="22"/>
      </w:r>
      <w:r w:rsidRPr="00DD47DF">
        <w:t xml:space="preserve">, ovšem oproti zemím s nejrozvinutější KVET dosahuje pouze třetinových či dokonce čtvrtinových výsledků. Rozvodná tepelná zařízení, která umožňují existenci a rozvoj kombinované výroby elektřiny a tepla již v některých případech nevyhovují současným technickým požadavkům na rozvod tepelné energie a docházím ke zvýšeným ztrátám energie. V některých případech bude nutno počítat s řízeným přechodem některých velkých soustav na větší množství menších systémů využívajících menší kogenerační jednotky. Investice do rekonstrukcí tepelných sítí přinášejí efekt snižování ztrát při zásobování energiemi, proto díky nim dochází k zefektivnění samotné výroby energií v rámci vysokoúčinné KVET a tím mj. ke snížení emisí skleníkových plynů a ostatních polutantů. Dle analýzy potenciálu </w:t>
      </w:r>
      <w:r w:rsidRPr="00DD47DF">
        <w:lastRenderedPageBreak/>
        <w:t>kombinované výroby elektřiny a tepla</w:t>
      </w:r>
      <w:r w:rsidRPr="00DD47DF">
        <w:rPr>
          <w:rStyle w:val="Znakapoznpodarou"/>
        </w:rPr>
        <w:footnoteReference w:id="23"/>
      </w:r>
      <w:r w:rsidRPr="00DD47DF">
        <w:t xml:space="preserve"> je ekonomický potenciál rozvoje KVET ve středních zdrojích s instalovaným elektrickým výkonem 1 MW na úrovni 1 464 GWh k roku 2020. Po korekci tohoto potenciálu na současné podmínky (zejména vliv ekonomické krize, vliv zateplování, masivnější nárůst OZE než byl původní předpoklad atd.) lze korigovaný ekonomický potenciál KVET</w:t>
      </w:r>
      <w:r w:rsidRPr="00DD47DF">
        <w:rPr>
          <w:rStyle w:val="Znakapoznpodarou"/>
        </w:rPr>
        <w:footnoteReference w:id="24"/>
      </w:r>
      <w:r w:rsidRPr="00DD47DF">
        <w:t xml:space="preserve"> do roku 2020 předpokládat na úrovni 732 GWh (439 GWh průmyslové zdroje KVET, 293 GWh teplárenské zdroje KVET). Při naplnění tohoto potenciálu by dle Teplárenského sdružení ČR došlo k úspoře primární energie ve výši 3,87 PJ/rok. Průměrná životnost opatření je 15 let, tzn. za dobu živostnosti </w:t>
      </w:r>
      <w:r w:rsidR="005A383F" w:rsidRPr="00DD47DF">
        <w:t xml:space="preserve">se jedná o </w:t>
      </w:r>
      <w:r w:rsidRPr="00DD47DF">
        <w:t>úsporu 58 PJ primární energie.</w:t>
      </w:r>
    </w:p>
    <w:p w14:paraId="627D56C2" w14:textId="77777777" w:rsidR="00F260AA" w:rsidRPr="00DD47DF" w:rsidRDefault="00F260AA" w:rsidP="00F260AA">
      <w:pPr>
        <w:pStyle w:val="Titulek"/>
        <w:keepNext/>
        <w:keepLines/>
        <w:rPr>
          <w:rFonts w:cs="Calibri"/>
        </w:rPr>
      </w:pPr>
      <w:r w:rsidRPr="00DD47DF">
        <w:rPr>
          <w:rFonts w:cs="Calibri"/>
        </w:rPr>
        <w:t xml:space="preserve">Obrázek </w:t>
      </w:r>
      <w:r w:rsidR="00A10251" w:rsidRPr="00DD47DF">
        <w:rPr>
          <w:rFonts w:cs="Calibri"/>
        </w:rPr>
        <w:t>8</w:t>
      </w:r>
      <w:r w:rsidRPr="00DD47DF">
        <w:rPr>
          <w:rFonts w:cs="Calibri"/>
        </w:rPr>
        <w:t>: Využití kombinované výroby elektřiny a tepla v jednotlivých zemích EU-28 (v % z hrubé výroby elektřiny), 2011</w:t>
      </w:r>
    </w:p>
    <w:p w14:paraId="7D762B49" w14:textId="77777777" w:rsidR="00F260AA" w:rsidRPr="00DD47DF" w:rsidRDefault="00F260AA" w:rsidP="00F260AA">
      <w:r w:rsidRPr="00DD47DF">
        <w:rPr>
          <w:noProof/>
        </w:rPr>
        <w:drawing>
          <wp:inline distT="0" distB="0" distL="0" distR="0" wp14:anchorId="2CDC6FE8" wp14:editId="1FBDD8E2">
            <wp:extent cx="5655945" cy="3430905"/>
            <wp:effectExtent l="0" t="0" r="20955" b="17145"/>
            <wp:docPr id="39" name="Graf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967956B" w14:textId="77777777" w:rsidR="00F260AA" w:rsidRPr="00DD47DF" w:rsidRDefault="00F260AA" w:rsidP="00F260AA">
      <w:pPr>
        <w:pStyle w:val="Standardntext"/>
        <w:spacing w:after="240"/>
      </w:pPr>
      <w:r w:rsidRPr="00DD47DF">
        <w:t>Zdroj: Eurostat</w:t>
      </w:r>
    </w:p>
    <w:p w14:paraId="55DBF420" w14:textId="77777777" w:rsidR="00DE5407" w:rsidRPr="00DD47DF" w:rsidRDefault="00DE5407" w:rsidP="00DE5407">
      <w:pPr>
        <w:pStyle w:val="Modrnadpis"/>
      </w:pPr>
      <w:r w:rsidRPr="00DD47DF">
        <w:t>SWOT analýza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14"/>
      </w:tblGrid>
      <w:tr w:rsidR="00D603D5" w:rsidRPr="00DD47DF" w14:paraId="4F60540E" w14:textId="77777777" w:rsidTr="007D02F2">
        <w:trPr>
          <w:trHeight w:val="552"/>
        </w:trPr>
        <w:tc>
          <w:tcPr>
            <w:tcW w:w="2500" w:type="pct"/>
            <w:shd w:val="clear" w:color="auto" w:fill="B8CCE4" w:themeFill="accent1" w:themeFillTint="66"/>
            <w:vAlign w:val="center"/>
          </w:tcPr>
          <w:p w14:paraId="723149B0" w14:textId="77777777" w:rsidR="00D603D5" w:rsidRPr="00DD47DF" w:rsidRDefault="00D603D5" w:rsidP="007D02F2">
            <w:pPr>
              <w:pStyle w:val="Tabulka"/>
              <w:rPr>
                <w:b/>
              </w:rPr>
            </w:pPr>
            <w:r w:rsidRPr="00DD47DF">
              <w:rPr>
                <w:b/>
              </w:rPr>
              <w:t>Silné stránky</w:t>
            </w:r>
          </w:p>
        </w:tc>
        <w:tc>
          <w:tcPr>
            <w:tcW w:w="2500" w:type="pct"/>
            <w:shd w:val="clear" w:color="auto" w:fill="B8CCE4" w:themeFill="accent1" w:themeFillTint="66"/>
            <w:vAlign w:val="center"/>
          </w:tcPr>
          <w:p w14:paraId="67E4CB83" w14:textId="77777777" w:rsidR="00D603D5" w:rsidRPr="00DD47DF" w:rsidRDefault="00D603D5" w:rsidP="007D02F2">
            <w:pPr>
              <w:pStyle w:val="Tabulka"/>
              <w:rPr>
                <w:b/>
              </w:rPr>
            </w:pPr>
            <w:r w:rsidRPr="00DD47DF">
              <w:rPr>
                <w:b/>
              </w:rPr>
              <w:t>Slabé stránky</w:t>
            </w:r>
          </w:p>
        </w:tc>
      </w:tr>
      <w:tr w:rsidR="00D603D5" w:rsidRPr="00DD47DF" w14:paraId="747A940D" w14:textId="77777777" w:rsidTr="007D02F2">
        <w:tc>
          <w:tcPr>
            <w:tcW w:w="2500" w:type="pct"/>
            <w:shd w:val="clear" w:color="auto" w:fill="auto"/>
          </w:tcPr>
          <w:p w14:paraId="3D857367" w14:textId="77777777" w:rsidR="00D603D5" w:rsidRPr="00DD47DF" w:rsidRDefault="00D603D5" w:rsidP="00DA3512">
            <w:pPr>
              <w:pStyle w:val="Tabulka"/>
              <w:numPr>
                <w:ilvl w:val="0"/>
                <w:numId w:val="93"/>
              </w:numPr>
              <w:ind w:left="459"/>
              <w:jc w:val="left"/>
            </w:pPr>
            <w:r w:rsidRPr="00DD47DF">
              <w:rPr>
                <w:rFonts w:cs="Calibri"/>
                <w:bCs/>
              </w:rPr>
              <w:t>Aktuální plná soběstačnost ve výrobě elektřiny a tepla;</w:t>
            </w:r>
          </w:p>
          <w:p w14:paraId="43A919D9" w14:textId="77777777" w:rsidR="00D603D5" w:rsidRPr="00DD47DF" w:rsidRDefault="00D603D5" w:rsidP="00DA3512">
            <w:pPr>
              <w:pStyle w:val="Tabulka"/>
              <w:numPr>
                <w:ilvl w:val="0"/>
                <w:numId w:val="93"/>
              </w:numPr>
              <w:ind w:left="459"/>
              <w:jc w:val="left"/>
              <w:rPr>
                <w:rFonts w:cs="Calibri"/>
                <w:bCs/>
              </w:rPr>
            </w:pPr>
            <w:r w:rsidRPr="00DD47DF">
              <w:rPr>
                <w:rFonts w:cs="Calibri"/>
                <w:bCs/>
              </w:rPr>
              <w:t>Prorůstový charakter investic do energetické infrastruktury z pohledu ekonomiky jako celku;</w:t>
            </w:r>
          </w:p>
          <w:p w14:paraId="49517518" w14:textId="77777777" w:rsidR="00436095" w:rsidRPr="00DD47DF" w:rsidRDefault="00436095" w:rsidP="00DA3512">
            <w:pPr>
              <w:pStyle w:val="Tabulka"/>
              <w:numPr>
                <w:ilvl w:val="0"/>
                <w:numId w:val="93"/>
              </w:numPr>
              <w:ind w:left="459"/>
              <w:jc w:val="left"/>
              <w:rPr>
                <w:rFonts w:cs="Calibri"/>
                <w:bCs/>
              </w:rPr>
            </w:pPr>
            <w:r w:rsidRPr="00DD47DF">
              <w:rPr>
                <w:rFonts w:cs="Calibri"/>
                <w:bCs/>
              </w:rPr>
              <w:lastRenderedPageBreak/>
              <w:t>Silná orientace na dosažení vnitrostátního cíle pro úspory v konečné spotřebě energie;</w:t>
            </w:r>
          </w:p>
          <w:p w14:paraId="5505FCB3" w14:textId="77777777" w:rsidR="00D603D5" w:rsidRPr="00DD47DF" w:rsidRDefault="00D603D5" w:rsidP="00DA3512">
            <w:pPr>
              <w:pStyle w:val="Tabulka"/>
              <w:numPr>
                <w:ilvl w:val="0"/>
                <w:numId w:val="93"/>
              </w:numPr>
              <w:ind w:left="459"/>
              <w:jc w:val="left"/>
            </w:pPr>
            <w:r w:rsidRPr="00DD47DF">
              <w:rPr>
                <w:rFonts w:cs="Calibri"/>
                <w:bCs/>
              </w:rPr>
              <w:t>Pozitivní vliv úspor energie na kvalitu ovzduší i na snížení produkce CO</w:t>
            </w:r>
            <w:r w:rsidRPr="00DD47DF">
              <w:rPr>
                <w:rFonts w:cs="Calibri"/>
                <w:bCs/>
                <w:vertAlign w:val="subscript"/>
              </w:rPr>
              <w:t>2</w:t>
            </w:r>
            <w:r w:rsidRPr="00DD47DF">
              <w:rPr>
                <w:rFonts w:cs="Calibri"/>
                <w:bCs/>
              </w:rPr>
              <w:t>.</w:t>
            </w:r>
          </w:p>
        </w:tc>
        <w:tc>
          <w:tcPr>
            <w:tcW w:w="2500" w:type="pct"/>
            <w:shd w:val="clear" w:color="auto" w:fill="auto"/>
          </w:tcPr>
          <w:p w14:paraId="61BC36D7" w14:textId="77777777" w:rsidR="00D603D5" w:rsidRPr="00DD47DF" w:rsidRDefault="00D603D5" w:rsidP="00DA3512">
            <w:pPr>
              <w:pStyle w:val="Tabulka"/>
              <w:numPr>
                <w:ilvl w:val="0"/>
                <w:numId w:val="93"/>
              </w:numPr>
              <w:ind w:left="459"/>
              <w:jc w:val="left"/>
            </w:pPr>
            <w:r w:rsidRPr="00DD47DF">
              <w:rPr>
                <w:rFonts w:cs="Calibri"/>
                <w:bCs/>
              </w:rPr>
              <w:lastRenderedPageBreak/>
              <w:t>Přetrvávající vysoká energetická náročnost hospodářství</w:t>
            </w:r>
            <w:r w:rsidRPr="00DD47DF">
              <w:t>;</w:t>
            </w:r>
          </w:p>
          <w:p w14:paraId="0C90D1D1" w14:textId="77777777" w:rsidR="00D603D5" w:rsidRPr="00DD47DF" w:rsidRDefault="00D603D5" w:rsidP="00DA3512">
            <w:pPr>
              <w:pStyle w:val="Tabulka"/>
              <w:numPr>
                <w:ilvl w:val="0"/>
                <w:numId w:val="93"/>
              </w:numPr>
              <w:ind w:left="459"/>
              <w:jc w:val="left"/>
            </w:pPr>
            <w:r w:rsidRPr="00DD47DF">
              <w:rPr>
                <w:rFonts w:cs="Calibri"/>
                <w:bCs/>
              </w:rPr>
              <w:t>Nízká konkurenceschopnost OZE (daná vysokými náklady na zřízení zdrojů OZE) oproti konvenčním zdrojům;</w:t>
            </w:r>
          </w:p>
          <w:p w14:paraId="2ACDEE22" w14:textId="77777777" w:rsidR="00D603D5" w:rsidRPr="00DD47DF" w:rsidRDefault="00D603D5" w:rsidP="00DA3512">
            <w:pPr>
              <w:pStyle w:val="Tabulka"/>
              <w:numPr>
                <w:ilvl w:val="0"/>
                <w:numId w:val="93"/>
              </w:numPr>
              <w:ind w:left="459"/>
              <w:jc w:val="left"/>
            </w:pPr>
            <w:r w:rsidRPr="00DD47DF">
              <w:rPr>
                <w:rFonts w:cs="Calibri"/>
                <w:bCs/>
              </w:rPr>
              <w:lastRenderedPageBreak/>
              <w:t>Nedostatečná adaptace přenosových a distribučních sítí na změnu zdrojové základny v energetice a nárůst a zm</w:t>
            </w:r>
            <w:r w:rsidR="009E2760" w:rsidRPr="00DD47DF">
              <w:rPr>
                <w:rFonts w:cs="Calibri"/>
                <w:bCs/>
              </w:rPr>
              <w:t xml:space="preserve">ěna charakteru odběrných míst, důsledkem čehož je </w:t>
            </w:r>
            <w:r w:rsidRPr="00DD47DF">
              <w:rPr>
                <w:rFonts w:cs="Calibri"/>
                <w:bCs/>
              </w:rPr>
              <w:t>zvýšení ztrátovosti a snížení bezpečnosti dodávek;</w:t>
            </w:r>
          </w:p>
          <w:p w14:paraId="39355276" w14:textId="77777777" w:rsidR="00D603D5" w:rsidRPr="00DD47DF" w:rsidRDefault="00D603D5" w:rsidP="00DA3512">
            <w:pPr>
              <w:pStyle w:val="Tabulka"/>
              <w:numPr>
                <w:ilvl w:val="0"/>
                <w:numId w:val="93"/>
              </w:numPr>
              <w:ind w:left="459"/>
              <w:jc w:val="left"/>
            </w:pPr>
            <w:r w:rsidRPr="00DD47DF">
              <w:rPr>
                <w:rFonts w:cs="Calibri"/>
                <w:bCs/>
              </w:rPr>
              <w:t>Neefektivní využívání zdrojů a nevyhovující technologická řešení výroby;</w:t>
            </w:r>
          </w:p>
          <w:p w14:paraId="4DA956FA" w14:textId="77777777" w:rsidR="00D603D5" w:rsidRPr="00DD47DF" w:rsidRDefault="00D603D5" w:rsidP="00DA3512">
            <w:pPr>
              <w:pStyle w:val="Tabulka"/>
              <w:numPr>
                <w:ilvl w:val="0"/>
                <w:numId w:val="93"/>
              </w:numPr>
              <w:ind w:left="459"/>
              <w:jc w:val="left"/>
            </w:pPr>
            <w:r w:rsidRPr="00DD47DF">
              <w:rPr>
                <w:rFonts w:cs="Calibri"/>
                <w:bCs/>
              </w:rPr>
              <w:t>Zastaralá a nedostatečně efektivní tepelně rozvodná zařízení (tepelné ztráty).</w:t>
            </w:r>
          </w:p>
        </w:tc>
      </w:tr>
      <w:tr w:rsidR="00D603D5" w:rsidRPr="00DD47DF" w14:paraId="4ACD5B3E" w14:textId="77777777" w:rsidTr="007D02F2">
        <w:trPr>
          <w:trHeight w:val="553"/>
        </w:trPr>
        <w:tc>
          <w:tcPr>
            <w:tcW w:w="2500" w:type="pct"/>
            <w:shd w:val="clear" w:color="auto" w:fill="B8CCE4" w:themeFill="accent1" w:themeFillTint="66"/>
            <w:vAlign w:val="center"/>
          </w:tcPr>
          <w:p w14:paraId="1D8EB1C2" w14:textId="77777777" w:rsidR="00D603D5" w:rsidRPr="00DD47DF" w:rsidRDefault="00D603D5" w:rsidP="007D02F2">
            <w:pPr>
              <w:pStyle w:val="Tabulka"/>
              <w:rPr>
                <w:b/>
                <w:sz w:val="24"/>
              </w:rPr>
            </w:pPr>
            <w:r w:rsidRPr="00DD47DF">
              <w:rPr>
                <w:b/>
              </w:rPr>
              <w:lastRenderedPageBreak/>
              <w:t>Příležitosti</w:t>
            </w:r>
          </w:p>
        </w:tc>
        <w:tc>
          <w:tcPr>
            <w:tcW w:w="2500" w:type="pct"/>
            <w:shd w:val="clear" w:color="auto" w:fill="B8CCE4" w:themeFill="accent1" w:themeFillTint="66"/>
            <w:vAlign w:val="center"/>
          </w:tcPr>
          <w:p w14:paraId="06461CD9" w14:textId="77777777" w:rsidR="00D603D5" w:rsidRPr="00DD47DF" w:rsidRDefault="00D603D5" w:rsidP="007D02F2">
            <w:pPr>
              <w:pStyle w:val="Tabulka"/>
              <w:rPr>
                <w:b/>
                <w:sz w:val="24"/>
              </w:rPr>
            </w:pPr>
            <w:r w:rsidRPr="00DD47DF">
              <w:rPr>
                <w:b/>
              </w:rPr>
              <w:t>Hrozby</w:t>
            </w:r>
          </w:p>
        </w:tc>
      </w:tr>
      <w:tr w:rsidR="00D603D5" w:rsidRPr="00DD47DF" w14:paraId="2DEE0E6E" w14:textId="77777777" w:rsidTr="007D02F2">
        <w:tc>
          <w:tcPr>
            <w:tcW w:w="2500" w:type="pct"/>
            <w:shd w:val="clear" w:color="auto" w:fill="auto"/>
          </w:tcPr>
          <w:p w14:paraId="43322C05" w14:textId="77777777" w:rsidR="00D603D5" w:rsidRPr="00DD47DF" w:rsidRDefault="00D626B0" w:rsidP="00DA3512">
            <w:pPr>
              <w:pStyle w:val="Tabulka"/>
              <w:numPr>
                <w:ilvl w:val="0"/>
                <w:numId w:val="93"/>
              </w:numPr>
              <w:ind w:left="426"/>
              <w:jc w:val="left"/>
              <w:rPr>
                <w:sz w:val="24"/>
              </w:rPr>
            </w:pPr>
            <w:r w:rsidRPr="00DD47DF">
              <w:rPr>
                <w:rFonts w:cs="Calibri"/>
                <w:bCs/>
              </w:rPr>
              <w:t>Využít</w:t>
            </w:r>
            <w:r w:rsidR="00D603D5" w:rsidRPr="00DD47DF">
              <w:rPr>
                <w:rFonts w:cs="Calibri"/>
                <w:bCs/>
              </w:rPr>
              <w:t xml:space="preserve"> potenciál OZE, včetně využití tepla / vzdálené kogenerace na stávajících bioplynových stanicích;</w:t>
            </w:r>
          </w:p>
          <w:p w14:paraId="76CF9521" w14:textId="77777777" w:rsidR="001D6C62" w:rsidRPr="00DD47DF" w:rsidRDefault="001D6C62" w:rsidP="00DA3512">
            <w:pPr>
              <w:pStyle w:val="Tabulka"/>
              <w:numPr>
                <w:ilvl w:val="0"/>
                <w:numId w:val="93"/>
              </w:numPr>
              <w:ind w:left="426"/>
              <w:jc w:val="left"/>
              <w:rPr>
                <w:sz w:val="24"/>
              </w:rPr>
            </w:pPr>
            <w:r w:rsidRPr="00DD47DF">
              <w:t>Zajistit rychlejší tempo ve snižování emisí skleníkových plynů a jiného znečištění podporou nových technologií;</w:t>
            </w:r>
          </w:p>
          <w:p w14:paraId="1499009D" w14:textId="77777777" w:rsidR="00D603D5" w:rsidRPr="00DD47DF" w:rsidRDefault="00D626B0" w:rsidP="00DA3512">
            <w:pPr>
              <w:pStyle w:val="Tabulka"/>
              <w:numPr>
                <w:ilvl w:val="0"/>
                <w:numId w:val="93"/>
              </w:numPr>
              <w:ind w:left="426"/>
              <w:jc w:val="left"/>
              <w:rPr>
                <w:sz w:val="24"/>
              </w:rPr>
            </w:pPr>
            <w:r w:rsidRPr="00DD47DF">
              <w:t>Využít</w:t>
            </w:r>
            <w:r w:rsidR="00D603D5" w:rsidRPr="00DD47DF">
              <w:t xml:space="preserve"> inteligentních sítí jako regulačního prvku pro distribuci a přenos elektrické energie;</w:t>
            </w:r>
          </w:p>
          <w:p w14:paraId="4CB9309F" w14:textId="77777777" w:rsidR="008A0BAB" w:rsidRPr="00DD47DF" w:rsidRDefault="008A0BAB" w:rsidP="00DA3512">
            <w:pPr>
              <w:pStyle w:val="Tabulka"/>
              <w:numPr>
                <w:ilvl w:val="0"/>
                <w:numId w:val="93"/>
              </w:numPr>
              <w:ind w:left="426"/>
              <w:jc w:val="left"/>
              <w:rPr>
                <w:sz w:val="24"/>
              </w:rPr>
            </w:pPr>
            <w:r w:rsidRPr="00DD47DF">
              <w:t>Přispět k dotvoření plně funkčního a propojeného vnitřního trhu s energií;</w:t>
            </w:r>
          </w:p>
          <w:p w14:paraId="778B1654" w14:textId="77777777" w:rsidR="00D603D5" w:rsidRPr="00DD47DF" w:rsidRDefault="00C94BAF" w:rsidP="00DA3512">
            <w:pPr>
              <w:pStyle w:val="Tabulka"/>
              <w:numPr>
                <w:ilvl w:val="0"/>
                <w:numId w:val="93"/>
              </w:numPr>
              <w:ind w:left="426"/>
              <w:jc w:val="left"/>
              <w:rPr>
                <w:sz w:val="24"/>
              </w:rPr>
            </w:pPr>
            <w:r w:rsidRPr="00DD47DF">
              <w:rPr>
                <w:rFonts w:cs="Calibri"/>
                <w:bCs/>
              </w:rPr>
              <w:t>Zvýšit n</w:t>
            </w:r>
            <w:r w:rsidR="00D603D5" w:rsidRPr="00DD47DF">
              <w:rPr>
                <w:rFonts w:cs="Calibri"/>
                <w:bCs/>
              </w:rPr>
              <w:t>ízký zájem firem v ČR realizovat riskantní a finančně náročné projekty v podobě zavádění nízkouhlíkových technologií v oblasti nakládání energií;</w:t>
            </w:r>
          </w:p>
          <w:p w14:paraId="2DE49B2A" w14:textId="77777777" w:rsidR="00D603D5" w:rsidRPr="00DD47DF" w:rsidRDefault="00D626B0" w:rsidP="00DA3512">
            <w:pPr>
              <w:pStyle w:val="Tabulka"/>
              <w:numPr>
                <w:ilvl w:val="0"/>
                <w:numId w:val="93"/>
              </w:numPr>
              <w:ind w:left="426"/>
              <w:jc w:val="left"/>
              <w:rPr>
                <w:sz w:val="24"/>
              </w:rPr>
            </w:pPr>
            <w:r w:rsidRPr="00DD47DF">
              <w:rPr>
                <w:rFonts w:cs="Calibri"/>
                <w:bCs/>
              </w:rPr>
              <w:t>Využít</w:t>
            </w:r>
            <w:r w:rsidR="00D603D5" w:rsidRPr="00DD47DF">
              <w:rPr>
                <w:rFonts w:cs="Calibri"/>
                <w:bCs/>
              </w:rPr>
              <w:t xml:space="preserve"> potenciál druhotných surovin </w:t>
            </w:r>
            <w:r w:rsidR="00D603D5" w:rsidRPr="00DD47DF">
              <w:t>vzhledem k nedostatečné surovinové základně ČR</w:t>
            </w:r>
            <w:r w:rsidR="00D603D5" w:rsidRPr="00DD47DF">
              <w:rPr>
                <w:rFonts w:cs="Calibri"/>
                <w:bCs/>
              </w:rPr>
              <w:t>;</w:t>
            </w:r>
          </w:p>
          <w:p w14:paraId="36215D78" w14:textId="77777777" w:rsidR="00D603D5" w:rsidRPr="00DD47DF" w:rsidRDefault="00D626B0" w:rsidP="00DA3512">
            <w:pPr>
              <w:pStyle w:val="Tabulka"/>
              <w:numPr>
                <w:ilvl w:val="0"/>
                <w:numId w:val="93"/>
              </w:numPr>
              <w:ind w:left="426"/>
              <w:jc w:val="left"/>
              <w:rPr>
                <w:sz w:val="24"/>
              </w:rPr>
            </w:pPr>
            <w:r w:rsidRPr="00DD47DF">
              <w:rPr>
                <w:rFonts w:cs="Calibri"/>
                <w:bCs/>
              </w:rPr>
              <w:t>Využít</w:t>
            </w:r>
            <w:r w:rsidR="00D603D5" w:rsidRPr="00DD47DF">
              <w:rPr>
                <w:rFonts w:cs="Calibri"/>
                <w:bCs/>
              </w:rPr>
              <w:t xml:space="preserve"> potenciál kombinované výroby elektřiny a tepla.</w:t>
            </w:r>
          </w:p>
        </w:tc>
        <w:tc>
          <w:tcPr>
            <w:tcW w:w="2500" w:type="pct"/>
            <w:shd w:val="clear" w:color="auto" w:fill="auto"/>
          </w:tcPr>
          <w:p w14:paraId="390B9BD0" w14:textId="77777777" w:rsidR="00D603D5" w:rsidRPr="00DD47DF" w:rsidRDefault="00D603D5" w:rsidP="00DA3512">
            <w:pPr>
              <w:pStyle w:val="Tabulka"/>
              <w:numPr>
                <w:ilvl w:val="0"/>
                <w:numId w:val="93"/>
              </w:numPr>
              <w:ind w:left="459"/>
              <w:jc w:val="left"/>
              <w:rPr>
                <w:sz w:val="24"/>
              </w:rPr>
            </w:pPr>
            <w:r w:rsidRPr="00DD47DF">
              <w:rPr>
                <w:rFonts w:cs="Calibri"/>
                <w:bCs/>
              </w:rPr>
              <w:t>Cena elektřiny zatížená podporou OZE a nároky na obnovu a rozvoj zastaralých sítí jako kritický faktor konkurenceschopnosti firem;</w:t>
            </w:r>
          </w:p>
          <w:p w14:paraId="0D653E87" w14:textId="77777777" w:rsidR="00D603D5" w:rsidRPr="00DD47DF" w:rsidRDefault="00D603D5" w:rsidP="00DA3512">
            <w:pPr>
              <w:pStyle w:val="Tabulka"/>
              <w:numPr>
                <w:ilvl w:val="0"/>
                <w:numId w:val="93"/>
              </w:numPr>
              <w:ind w:left="459"/>
              <w:jc w:val="left"/>
              <w:rPr>
                <w:sz w:val="24"/>
              </w:rPr>
            </w:pPr>
            <w:r w:rsidRPr="00DD47DF">
              <w:rPr>
                <w:rFonts w:cs="Calibri"/>
                <w:bCs/>
              </w:rPr>
              <w:t>Vnitřní dluh post-privatizačních podniků v podobě zastaralé výrobní infrastruktury, energeticky náročných budov snižuje prostředky, které mohou věnovat na VaVaI aktivity;</w:t>
            </w:r>
          </w:p>
          <w:p w14:paraId="001C6ADB" w14:textId="77777777" w:rsidR="00D603D5" w:rsidRPr="00DD47DF" w:rsidRDefault="00D603D5" w:rsidP="00DA3512">
            <w:pPr>
              <w:pStyle w:val="Tabulka"/>
              <w:numPr>
                <w:ilvl w:val="0"/>
                <w:numId w:val="93"/>
              </w:numPr>
              <w:ind w:left="459"/>
              <w:jc w:val="left"/>
              <w:rPr>
                <w:sz w:val="24"/>
              </w:rPr>
            </w:pPr>
            <w:r w:rsidRPr="00DD47DF">
              <w:t>Energetická soběstačnost je do značné míry závislá na využívání energie z černého a hnědého uhlí, jehož zásoby klesají; proto lze očekávat nárůst dovozní energetické závislosti;</w:t>
            </w:r>
          </w:p>
          <w:p w14:paraId="5D3C14AB" w14:textId="77777777" w:rsidR="00D603D5" w:rsidRPr="00DD47DF" w:rsidRDefault="00D603D5" w:rsidP="00DA3512">
            <w:pPr>
              <w:pStyle w:val="Tabulka"/>
              <w:numPr>
                <w:ilvl w:val="0"/>
                <w:numId w:val="93"/>
              </w:numPr>
              <w:ind w:left="459"/>
              <w:jc w:val="left"/>
              <w:rPr>
                <w:sz w:val="24"/>
              </w:rPr>
            </w:pPr>
            <w:r w:rsidRPr="00DD47DF">
              <w:rPr>
                <w:rFonts w:cs="Calibri"/>
                <w:bCs/>
              </w:rPr>
              <w:t>Neplánované přetoky elektrické energie z okolních států;</w:t>
            </w:r>
          </w:p>
          <w:p w14:paraId="64F1DE67" w14:textId="77777777" w:rsidR="00D603D5" w:rsidRPr="00DD47DF" w:rsidRDefault="00D603D5" w:rsidP="00DA3512">
            <w:pPr>
              <w:pStyle w:val="Tabulka"/>
              <w:numPr>
                <w:ilvl w:val="0"/>
                <w:numId w:val="93"/>
              </w:numPr>
              <w:ind w:left="459"/>
              <w:jc w:val="left"/>
              <w:rPr>
                <w:sz w:val="24"/>
              </w:rPr>
            </w:pPr>
            <w:r w:rsidRPr="00DD47DF">
              <w:rPr>
                <w:rFonts w:cs="Calibri"/>
                <w:bCs/>
              </w:rPr>
              <w:t>Technické zaostávání tepelně rozvodných zařízení (nedostatečné tepelně izolačními parametry, naddimenzování soustav a teploty provozního média).</w:t>
            </w:r>
          </w:p>
        </w:tc>
      </w:tr>
    </w:tbl>
    <w:p w14:paraId="20AC52DA" w14:textId="77777777" w:rsidR="008E4EE8" w:rsidRPr="00DD47DF" w:rsidRDefault="00782BE3" w:rsidP="008E4EE8">
      <w:pPr>
        <w:pStyle w:val="Standardntext"/>
        <w:spacing w:before="240"/>
      </w:pPr>
      <w:r w:rsidRPr="00DD47DF">
        <w:t>Pokud jde o problémovou oblast „Infrastruktura“, resp. hlavní pilíř „Energetická infrastruktura“, Dohoda o partnerství identifikuje tyto potřeby rozvoje: zvyšování podílu OZE (zejména biomasa a bioplyn) na spotřebě, posílení a modernizace přenosové soustavy a distribučních soustav s důrazem na zavádění prvků inteligentních sítí, snižování energetické a surovinové náročnosti výrobních a technologických procesů v průmyslu, zavádění eko-inovací do výrobních procesů a produktů, výstavba a modernizace systémů zásobování tepelnou energií a zdrojů kombinované výroby elektřiny a tepla. Na všechny tyto rozvojové potřeby reagují jednotlivé specifické cíle prioritní osy 3 Operačního programu.</w:t>
      </w:r>
    </w:p>
    <w:p w14:paraId="0DF33437" w14:textId="77777777" w:rsidR="00706A57" w:rsidRPr="00DD47DF" w:rsidRDefault="008E4EE8" w:rsidP="008E4EE8">
      <w:pPr>
        <w:pStyle w:val="Standardntext"/>
      </w:pPr>
      <w:r w:rsidRPr="00DD47DF">
        <w:t xml:space="preserve">S tím souvisí i problémová oblast významná z hlediska OP PIK, kterou je „Životní prostředí“. Mezi potřeby rozvoje v oblasti životního prostředí zahrnuje Dohoda o partnerství podporu opatření vedoucích k energetickým úsporám a využití OZE v podnikatelských budovách. Snížení energetické náročnosti české ekonomiky je přitom klíčovou oblastí, na níž se zaměřuje prioritní osa 3 Operačního programu. Do problémové oblasti „Životní prostředí“ dále spadá </w:t>
      </w:r>
      <w:r w:rsidRPr="00DD47DF">
        <w:lastRenderedPageBreak/>
        <w:t>také podpora regenerace brownfieldů, což je zároveň jedna z priorit, na kterou se soustředí prioritní osa 2 OP PIK.</w:t>
      </w:r>
    </w:p>
    <w:p w14:paraId="4626CC3D" w14:textId="77777777" w:rsidR="00570220" w:rsidRPr="00DD47DF" w:rsidRDefault="00570220" w:rsidP="00570220">
      <w:pPr>
        <w:pStyle w:val="Modrnadpis"/>
      </w:pPr>
      <w:r w:rsidRPr="00DD47DF">
        <w:t>ICT infrastruktura</w:t>
      </w:r>
    </w:p>
    <w:p w14:paraId="59762B15" w14:textId="77777777" w:rsidR="00570220" w:rsidRPr="00DD47DF" w:rsidRDefault="00570220" w:rsidP="00570220">
      <w:pPr>
        <w:pStyle w:val="Standardntext"/>
      </w:pPr>
      <w:r w:rsidRPr="00DD47DF">
        <w:t>Sofistikované produkty v oblasti</w:t>
      </w:r>
      <w:r w:rsidR="00782BE3" w:rsidRPr="00DD47DF">
        <w:t xml:space="preserve"> ICT</w:t>
      </w:r>
      <w:r w:rsidRPr="00DD47DF">
        <w:t xml:space="preserve"> a související služby, jsou považovány za prvky základního významu, bez nichž nelze efektivně realizovat žádné podnikatelské záměry ani zvyšovat kvalitu života společnosti. Jak bylo konstatováno ministry pro informační společnost členských států EU v tzv. Granadské deklaraci z 19. dubna 2010, „</w:t>
      </w:r>
      <w:r w:rsidRPr="00DD47DF">
        <w:rPr>
          <w:i/>
        </w:rPr>
        <w:t>ICT sektor je významným činitelem růstu a pracovních míst v hospodářství EU. ICT přispívá 50 procenty růstu produktivity a představuje klíčový zdroj inovací a nových podnikatelských příležitostí.</w:t>
      </w:r>
      <w:r w:rsidRPr="00DD47DF">
        <w:t>“ Zároveň bez dostatečně rozvinuté a dostupné technologické základny, tj. zejména bez vybudované adekvátní infrastruktury umožňující vysokorychlostní přístup k internetu, by efekty z využívání ICT ve výrobních i nevýrobních procesech byly na podstatně nižší úrovni.</w:t>
      </w:r>
      <w:r w:rsidR="00782BE3" w:rsidRPr="00DD47DF">
        <w:t>Dostupnost vysokorychlostního přístupu k internetu má strategický význam pro růst a inovace ČR ve všech odvětvích hospodářství a pro sociální a územní soudržnost. Rovněž umožňuje rozvoj nových druhů podnikání a umožňuje produkovat nové digitální služby. Základní infrastruktura pro informační a komunikační technologie nemá v ČR dostatečné geografické pokrytí. V současné době převládá v ČR vysokorychlostní připojení na bázi ADSL, bezdrátové připojení pomocí technologie WiFi a CATV. Pokud jde o přístupové sítě nové generace (NGA) pro vysokorychlostní přístup k internetu ČR zaostává za vyspělými zeměmi jak v míře pokrytí, tak v parametrech rychlosti a kvalitě poskytovaných služeb. To ilustruje i následující graf, který zobrazuje procentuální míru pokrytí vysokorychlostním přístupem k internetu (tj. nad 30 Mbit/s) v domácnostech jednotlivých členských států. V ČR disponuje vysokorychlostním přístupem k internetu 49 % domácností, zatímco v EU to je průměrně 53,8 % domácností.</w:t>
      </w:r>
    </w:p>
    <w:p w14:paraId="255FA630" w14:textId="77777777" w:rsidR="00570220" w:rsidRPr="00DD47DF" w:rsidRDefault="00570220" w:rsidP="00570220">
      <w:pPr>
        <w:pStyle w:val="Titulek"/>
        <w:keepNext/>
      </w:pPr>
      <w:r w:rsidRPr="00DD47DF">
        <w:lastRenderedPageBreak/>
        <w:t>Obrázek</w:t>
      </w:r>
      <w:r w:rsidR="00A10251" w:rsidRPr="00DD47DF">
        <w:t xml:space="preserve"> 9</w:t>
      </w:r>
      <w:r w:rsidRPr="00DD47DF">
        <w:t>: Míra pokrytí vysokorychlostním přístupem k internetu (v % domácností), 2012</w:t>
      </w:r>
    </w:p>
    <w:p w14:paraId="617745F1" w14:textId="77777777" w:rsidR="00570220" w:rsidRPr="00DD47DF" w:rsidRDefault="00570220" w:rsidP="00570220">
      <w:pPr>
        <w:pStyle w:val="Standardntext"/>
      </w:pPr>
      <w:r w:rsidRPr="00DD47DF">
        <w:rPr>
          <w:noProof/>
        </w:rPr>
        <w:drawing>
          <wp:inline distT="0" distB="0" distL="0" distR="0" wp14:anchorId="51361DC5" wp14:editId="2420F196">
            <wp:extent cx="5852160" cy="3894455"/>
            <wp:effectExtent l="0" t="0" r="0" b="0"/>
            <wp:docPr id="3"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2160" cy="3894455"/>
                    </a:xfrm>
                    <a:prstGeom prst="rect">
                      <a:avLst/>
                    </a:prstGeom>
                    <a:noFill/>
                    <a:ln>
                      <a:noFill/>
                    </a:ln>
                  </pic:spPr>
                </pic:pic>
              </a:graphicData>
            </a:graphic>
          </wp:inline>
        </w:drawing>
      </w:r>
    </w:p>
    <w:p w14:paraId="37C32BD5" w14:textId="77777777" w:rsidR="00570220" w:rsidRPr="00DD47DF" w:rsidRDefault="00570220" w:rsidP="00570220">
      <w:pPr>
        <w:pStyle w:val="Standardntext"/>
        <w:spacing w:after="240"/>
      </w:pPr>
      <w:r w:rsidRPr="00DD47DF">
        <w:t>Zdroj: Digital Agenda Scoreboard 2013 (SWD(2013) 217 final), 12. 6. 2013</w:t>
      </w:r>
    </w:p>
    <w:p w14:paraId="557558D4" w14:textId="77777777" w:rsidR="00570220" w:rsidRPr="00DD47DF" w:rsidRDefault="00782BE3" w:rsidP="00570220">
      <w:pPr>
        <w:pStyle w:val="Standardntext"/>
      </w:pPr>
      <w:r w:rsidRPr="00DD47DF">
        <w:t>Struktura hospodářství s  vysokým podílem regionálně sídlících MSP vyžaduje celoplošnou, moderní a kvalitativně vysoce hodnotnou nabídku infrastruktury ICT za konkurenceschopné ceny. Investice do komunikační infrastruktury provádějí na liberalizovaných trzích soukromé subjekty podle hospodářských kritérií, a tudíž především v regionech s vysokou perspektivou poptávky. Návratnost investic do realizace vysokorychlostních přístupových sítí v menších obcích nebo v odlehlých lokalitách je za horizontem reálných možností podnikatelských subjektů. To potvrzuje i graf výše, z něho je patrné, že pokrytí vysokorychlostním přístupem k internetu je ve venkovských oblastech výrazně nižší, než kolik činí míra pokrytí za celou ČR. Toto selhání tržního mechanismu dále vede k rozšíření tzv. „digitální propasti“ mezi venkovskými a městskými oblastmi. Méně obydlené oblasti v ČR by tak mohly zůstat v důsledku kapacitně nedostatečného připojení k internetu – dokonce i při stoupající poptávce – dlouhodobě vyloučeny z hospodářského rozvoje. Jako následek trvající stagnace potom hrozí v postižených oblastech růst nezaměstnanosti a úbytek obyvatelstva. Ke strukturálnímu překonání „digitální propasti“ z hlediska dostupnosti vysokorychlostního přístupu k internetu je nutný značný objem finančních prostředků, které nejsou, co se týče trhu, na základě geografické izolace a nepatrné hustoty obyvatelstva venkovských a odlehlých oblastí, v tomto rozsahu k dispozici.</w:t>
      </w:r>
      <w:r w:rsidR="00570220" w:rsidRPr="00DD47DF">
        <w:t xml:space="preserve"> </w:t>
      </w:r>
    </w:p>
    <w:p w14:paraId="11DD9DAD" w14:textId="77777777" w:rsidR="00570220" w:rsidRPr="00DD47DF" w:rsidRDefault="00570220" w:rsidP="00570220">
      <w:pPr>
        <w:pStyle w:val="Standardntext"/>
      </w:pPr>
      <w:r w:rsidRPr="00DD47DF">
        <w:lastRenderedPageBreak/>
        <w:t>Pokud jde o ICT sektor jako takový</w:t>
      </w:r>
      <w:r w:rsidRPr="00DD47DF">
        <w:rPr>
          <w:rStyle w:val="Znakapoznpodarou"/>
        </w:rPr>
        <w:footnoteReference w:id="25"/>
      </w:r>
      <w:r w:rsidRPr="00DD47DF">
        <w:t>, v Č</w:t>
      </w:r>
      <w:r w:rsidR="00782BE3" w:rsidRPr="00DD47DF">
        <w:t>R</w:t>
      </w:r>
      <w:r w:rsidRPr="00DD47DF">
        <w:t xml:space="preserve"> došlo v posledním desetiletí k jeho značnému rozvoji, a to jak ve výrobní části, tak i části služeb. V oblasti ICT sektoru je obecně problém, že řada českých firem jsou pouze dodavateli firem zahraničních. České firmy ve velké míře zůstávají na úrovni tzv. rodinných firem a těm, které chtějí růst, zase chybí zdroje na expanzi na nové trhy. Lze identifikovat nedostatečnou institucionální podporu ICT sektoru, a to zejména proto, že neexistuje jednotná koncepce pro podporu této oblasti. I přes nadprůměrnou produktivitu i dobrou exportní výkonnost těchto podniků, zůstává jejich znalostní intenzita na nízké úrovni se slabým důrazem na specializovanou znalostně náročnou produkci s vysokou přidanou hodnotou. Vztáhneme-li přidanou hodnotu sektoru IT služeb k HDP, vykazuje ČR za rok 2012 podle dat ČSÚ hodnotu 2,09 % (např. ve Švédsku činí tento poměr 2,5 %, ve Velké Británii 2,9 % a v Irsku, které je v této oblasti na špičce EU, dokonce 5,1 %). Podíváme-li se na tuto problematiku z jiného úhlu pohledu, totiž z hlediska zaměstnanosti, vykazuje ČR v mezinárodním srovnání lehce podprůměrné hodnoty. Jak je patrné z grafu níže, v ČR bylo v roce 2011 zaměstnáno v sektoru IT služeb 2,27 % osob z celkového počtu pracovníků zaměstnaných v podnikatelském sektoru, zatímco v EU to bylo v průměru 2,34 %.</w:t>
      </w:r>
    </w:p>
    <w:p w14:paraId="7DF6B575" w14:textId="77777777" w:rsidR="00570220" w:rsidRPr="00DD47DF" w:rsidRDefault="00570220" w:rsidP="00570220">
      <w:pPr>
        <w:pStyle w:val="Titulek"/>
        <w:keepNext/>
      </w:pPr>
      <w:r w:rsidRPr="00DD47DF">
        <w:t xml:space="preserve">Obrázek </w:t>
      </w:r>
      <w:r w:rsidR="00A10251" w:rsidRPr="00DD47DF">
        <w:t>10</w:t>
      </w:r>
      <w:r w:rsidRPr="00DD47DF">
        <w:t>: Zaměstnanost v sektoru IT služeb, 2011</w:t>
      </w:r>
    </w:p>
    <w:p w14:paraId="7C9C51DF" w14:textId="77777777" w:rsidR="00570220" w:rsidRPr="00DD47DF" w:rsidRDefault="00570220" w:rsidP="00570220">
      <w:pPr>
        <w:pStyle w:val="Standardntext"/>
      </w:pPr>
      <w:r w:rsidRPr="00DD47DF">
        <w:rPr>
          <w:noProof/>
        </w:rPr>
        <w:drawing>
          <wp:inline distT="0" distB="0" distL="0" distR="0" wp14:anchorId="1EE0CF93" wp14:editId="31880A34">
            <wp:extent cx="5841365" cy="4550410"/>
            <wp:effectExtent l="19050" t="19050" r="26035" b="21590"/>
            <wp:docPr id="34"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1365" cy="4550410"/>
                    </a:xfrm>
                    <a:prstGeom prst="rect">
                      <a:avLst/>
                    </a:prstGeom>
                    <a:noFill/>
                    <a:ln w="9525" cmpd="sng">
                      <a:solidFill>
                        <a:srgbClr val="000000"/>
                      </a:solidFill>
                      <a:miter lim="800000"/>
                      <a:headEnd/>
                      <a:tailEnd/>
                    </a:ln>
                    <a:effectLst/>
                  </pic:spPr>
                </pic:pic>
              </a:graphicData>
            </a:graphic>
          </wp:inline>
        </w:drawing>
      </w:r>
    </w:p>
    <w:p w14:paraId="13FDC855" w14:textId="77777777" w:rsidR="00570220" w:rsidRPr="00DD47DF" w:rsidRDefault="00570220" w:rsidP="00570220">
      <w:pPr>
        <w:pStyle w:val="Standardntext"/>
        <w:spacing w:after="240"/>
      </w:pPr>
      <w:r w:rsidRPr="00DD47DF">
        <w:lastRenderedPageBreak/>
        <w:t>Zdroj: Informační ekonomika v číslech, ČSÚ</w:t>
      </w:r>
    </w:p>
    <w:p w14:paraId="09FB2326" w14:textId="77777777" w:rsidR="00570220" w:rsidRPr="00DD47DF" w:rsidRDefault="00570220" w:rsidP="00570220">
      <w:pPr>
        <w:pStyle w:val="Standardntext"/>
      </w:pPr>
      <w:r w:rsidRPr="00DD47DF">
        <w:t>V případě aplikace sofistikovaných IT řešení v podnicích má mnoho českých podniků značné rezervy. Níže je uvedeno několik ilustrativních příkladů, které ukazují nízkou míru elektronizace vnitropodnikových procesů a využívání dalších IT řešení.</w:t>
      </w:r>
      <w:r w:rsidRPr="00DD47DF">
        <w:rPr>
          <w:vertAlign w:val="superscript"/>
        </w:rPr>
        <w:footnoteReference w:id="26"/>
      </w:r>
    </w:p>
    <w:p w14:paraId="02801A1D" w14:textId="77777777" w:rsidR="00782BE3" w:rsidRPr="00DD47DF" w:rsidRDefault="00782BE3" w:rsidP="00782BE3">
      <w:pPr>
        <w:pStyle w:val="Standardntext"/>
      </w:pPr>
      <w:r w:rsidRPr="00DD47DF">
        <w:t>Například v oblasti elektronické výměny dat mezi podniky zaostává ČR s 23 % podniků uskutečňujících tuto výměnu za průměrem EU, kde tento poměr činí 50 %. Např. ve srovnání podílu firem využívajících firemní počítačové sítě a s nimi související technologie je výsledek 64,5 % pro ČR oproti 76,5 % pro průměr EU.</w:t>
      </w:r>
    </w:p>
    <w:p w14:paraId="07766B95" w14:textId="77777777" w:rsidR="00782BE3" w:rsidRPr="00DD47DF" w:rsidRDefault="00782BE3" w:rsidP="00782BE3">
      <w:pPr>
        <w:pStyle w:val="Standardntext"/>
      </w:pPr>
      <w:r w:rsidRPr="00DD47DF">
        <w:t>Mnoho podniků dnes využívá pro své fungování více samostatných informačních systémů (např. jeden pro řízení výroby, jiný pro logistiku, distribuci, správu majetku, prodej, fakturaci, účetnictví, personalistiku atd.) místo jednoho integrovaného. Pokud však má podnik různé informační systémy uvnitř organizace propojeny a dochází mezi nimi k automatizovanému sdílení dat, usnadňuje a zrychluje tak proces výroby a distribuce. Automatizované sdílení informací o přijatých i zadaných objednávkách elektronickou cestou v rámci informačního systému podniku používalo v lednu 2013 již zmiňovaných 51 % podniků. Softwarovou aplikaci ERP pro sdílení informací mezi různými funkčními oblastmi podniku používalo v lednu 2013 v ČR jen 24 % podniků. Mezi velikostními kategoriemi jsou v případě využívání ERP aplikace velmi výrazné rozdíly, kdy velkých podniků ji využívá 76 % a z malých pak pouhých 16 %.</w:t>
      </w:r>
    </w:p>
    <w:p w14:paraId="6509EA94" w14:textId="77777777" w:rsidR="00570220" w:rsidRPr="00DD47DF" w:rsidRDefault="00782BE3" w:rsidP="00782BE3">
      <w:pPr>
        <w:pStyle w:val="Standardntext"/>
      </w:pPr>
      <w:r w:rsidRPr="00DD47DF">
        <w:t>Dalším příkladem je nízká míra využívání elektronického prodeje přes webové stránky podniky nebo pomocí elektronické výměny dat přes internet či privátní mezipodnikové informační sítě. V roce 2012 prodávalo elektronickou cestou své zboží nebo služby 27 % podniků. Jako jednu z nejčastějších překážek, které limitují či zcela znemožňují podniku přijímat objednávky prostřednictvím webových stránek, uvádí podniky příliš vysoké náklady spojené se zavedením elektronického prodeje. S tím souvisí rovněž nízká míra využívání elektronické fakturace. V lednu 2013 zaslala fakturu elektronickou cestou v ČR více než polovina podniků s 10 a více zaměstnanci (56 %) a 79 % podniků fakturu touto cestou přijalo. Pouze 11 % podniků však zaslalo fakturu ve standardizovaném formátu určeném pro automatizované zpracování dat, tj. vystavilo e-fakturu. Pro zvýšení bezpečnosti je možné k zasílaným fakturám připojit elektronický podpis, což v lednu 2013 učinilo pouze 8 % podniků.</w:t>
      </w:r>
    </w:p>
    <w:p w14:paraId="48790A1F" w14:textId="77777777" w:rsidR="00570220" w:rsidRPr="00DD47DF" w:rsidRDefault="00782BE3" w:rsidP="00570220">
      <w:pPr>
        <w:pStyle w:val="Standardntext"/>
      </w:pPr>
      <w:r w:rsidRPr="00DD47DF">
        <w:t>Z pohledu využívání sdílených IT služeb jsou podniky v ČR značně konzervativní. Například nástup cloud computingu</w:t>
      </w:r>
      <w:r w:rsidRPr="00DD47DF">
        <w:rPr>
          <w:rStyle w:val="Znakapoznpodarou"/>
        </w:rPr>
        <w:footnoteReference w:id="27"/>
      </w:r>
      <w:r w:rsidRPr="00DD47DF">
        <w:t xml:space="preserve"> je v ČR oproti světu do značné míry zpožděný. Podle výzkumu z  roku 2010</w:t>
      </w:r>
      <w:r w:rsidRPr="00DD47DF">
        <w:rPr>
          <w:rStyle w:val="Znakapoznpodarou"/>
        </w:rPr>
        <w:footnoteReference w:id="28"/>
      </w:r>
      <w:r w:rsidRPr="00DD47DF">
        <w:t xml:space="preserve"> uvádějí pouze 4 % z 600 oslovených firem, že cloud computing využívají a jen 6 % ho plánuje nasadit během dalších 2 let. Může za to i špatná informovanost firem i laické veřejnosti. Z průzkumu provedeného v září 2011</w:t>
      </w:r>
      <w:r w:rsidRPr="00DD47DF">
        <w:rPr>
          <w:rStyle w:val="Znakapoznpodarou"/>
        </w:rPr>
        <w:footnoteReference w:id="29"/>
      </w:r>
      <w:r w:rsidRPr="00DD47DF">
        <w:t xml:space="preserve"> ve spolupráci s českým Googlem a AMSP </w:t>
      </w:r>
      <w:r w:rsidRPr="00DD47DF">
        <w:lastRenderedPageBreak/>
        <w:t>ČR vyšly následující výsledky: 16 % firem termín cloud computing nezná, ale nevědomky ho už využívá; po objasnění termínu projevilo o vyzkoušení cloud computingu zájem až 40 % podnikatelů a firem účastnících se výzkumu; 92 % uživatelů cloudových aplikací z řad MSP je spokojených a oceňuje zejména flexibilní přístup k informacím. Pokud jde o datová centra, neexistuje na rozdíl od okolních zemí jejich přímá podpora, a to i přes to, že ČR je svou zeměpisnou polohou, infrastrukturou a úrovní politické stability pro investory velmi zajímavá. Tím je výrazně snížena možnost dosáhnout snížení nákladů firem na IT. Přitom je potřeba počítat s tím, že flexibilita v tomto odvětví umožňuje přesuny datových center z místa na místo mnohem snáze, než je tomu u jiných technologií. Z tohoto důvodu je důležité vytvářet příznivé podmínky pro podnikání v této oblasti.</w:t>
      </w:r>
    </w:p>
    <w:p w14:paraId="66861410" w14:textId="77777777" w:rsidR="001652D9" w:rsidRPr="00DD47DF" w:rsidRDefault="001652D9" w:rsidP="00400C11">
      <w:pPr>
        <w:pStyle w:val="Modrnadpis"/>
        <w:rPr>
          <w:rFonts w:ascii="Calibri" w:hAnsi="Calibri" w:cs="Calibri"/>
          <w:b w:val="0"/>
          <w:bCs w:val="0"/>
          <w:szCs w:val="24"/>
        </w:rPr>
      </w:pPr>
      <w:r w:rsidRPr="00DD47DF">
        <w:t>SWOT analýza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14"/>
      </w:tblGrid>
      <w:tr w:rsidR="00D603D5" w:rsidRPr="00DD47DF" w14:paraId="6337ADD3" w14:textId="77777777" w:rsidTr="007D02F2">
        <w:trPr>
          <w:trHeight w:val="552"/>
        </w:trPr>
        <w:tc>
          <w:tcPr>
            <w:tcW w:w="2500" w:type="pct"/>
            <w:shd w:val="clear" w:color="auto" w:fill="B8CCE4" w:themeFill="accent1" w:themeFillTint="66"/>
            <w:vAlign w:val="center"/>
          </w:tcPr>
          <w:p w14:paraId="40BC8A9F" w14:textId="77777777" w:rsidR="00D603D5" w:rsidRPr="00DD47DF" w:rsidRDefault="00D603D5" w:rsidP="007D02F2">
            <w:pPr>
              <w:pStyle w:val="Tabulka"/>
              <w:rPr>
                <w:b/>
              </w:rPr>
            </w:pPr>
            <w:r w:rsidRPr="00DD47DF">
              <w:rPr>
                <w:b/>
              </w:rPr>
              <w:t>Silné stránky</w:t>
            </w:r>
          </w:p>
        </w:tc>
        <w:tc>
          <w:tcPr>
            <w:tcW w:w="2500" w:type="pct"/>
            <w:shd w:val="clear" w:color="auto" w:fill="B8CCE4" w:themeFill="accent1" w:themeFillTint="66"/>
            <w:vAlign w:val="center"/>
          </w:tcPr>
          <w:p w14:paraId="1C1EC351" w14:textId="77777777" w:rsidR="00D603D5" w:rsidRPr="00DD47DF" w:rsidRDefault="00D603D5" w:rsidP="007D02F2">
            <w:pPr>
              <w:pStyle w:val="Tabulka"/>
              <w:rPr>
                <w:b/>
              </w:rPr>
            </w:pPr>
            <w:r w:rsidRPr="00DD47DF">
              <w:rPr>
                <w:b/>
              </w:rPr>
              <w:t>Slabé stránky</w:t>
            </w:r>
          </w:p>
        </w:tc>
      </w:tr>
      <w:tr w:rsidR="00D603D5" w:rsidRPr="00DD47DF" w14:paraId="6E2248BB" w14:textId="77777777" w:rsidTr="007D02F2">
        <w:tc>
          <w:tcPr>
            <w:tcW w:w="2500" w:type="pct"/>
            <w:shd w:val="clear" w:color="auto" w:fill="auto"/>
          </w:tcPr>
          <w:p w14:paraId="6A1468B8" w14:textId="77777777" w:rsidR="00D603D5" w:rsidRPr="00DD47DF" w:rsidRDefault="00D603D5" w:rsidP="00DA3512">
            <w:pPr>
              <w:pStyle w:val="Tabulka"/>
              <w:numPr>
                <w:ilvl w:val="0"/>
                <w:numId w:val="93"/>
              </w:numPr>
              <w:ind w:left="426"/>
              <w:jc w:val="left"/>
            </w:pPr>
            <w:r w:rsidRPr="00DD47DF">
              <w:t>Poměrně vysoká míra využívání internetu ze strany českých domácností a spotřebitelů (poptávka po kvalitních službách);</w:t>
            </w:r>
          </w:p>
          <w:p w14:paraId="2C02385B" w14:textId="77777777" w:rsidR="00D603D5" w:rsidRPr="00DD47DF" w:rsidRDefault="00D603D5" w:rsidP="00DA3512">
            <w:pPr>
              <w:pStyle w:val="Tabulka"/>
              <w:numPr>
                <w:ilvl w:val="0"/>
                <w:numId w:val="93"/>
              </w:numPr>
              <w:ind w:left="426"/>
              <w:jc w:val="left"/>
            </w:pPr>
            <w:r w:rsidRPr="00DD47DF">
              <w:t>Trend rozvoje ICT sektoru v ČR ve výrobní části  i části služeb;</w:t>
            </w:r>
          </w:p>
          <w:p w14:paraId="6C38C8E8" w14:textId="77777777" w:rsidR="00D603D5" w:rsidRPr="00DD47DF" w:rsidRDefault="00D603D5" w:rsidP="00DA3512">
            <w:pPr>
              <w:pStyle w:val="Tabulka"/>
              <w:numPr>
                <w:ilvl w:val="0"/>
                <w:numId w:val="93"/>
              </w:numPr>
              <w:ind w:left="426"/>
              <w:jc w:val="left"/>
            </w:pPr>
            <w:r w:rsidRPr="00DD47DF">
              <w:t>Kvalitní technické kompetence a know-how.</w:t>
            </w:r>
          </w:p>
          <w:p w14:paraId="598061EB" w14:textId="77777777" w:rsidR="00D603D5" w:rsidRPr="00DD47DF" w:rsidRDefault="00D603D5" w:rsidP="007D02F2">
            <w:pPr>
              <w:pStyle w:val="Tabulka"/>
            </w:pPr>
          </w:p>
        </w:tc>
        <w:tc>
          <w:tcPr>
            <w:tcW w:w="2500" w:type="pct"/>
            <w:shd w:val="clear" w:color="auto" w:fill="auto"/>
          </w:tcPr>
          <w:p w14:paraId="2D39551B" w14:textId="77777777" w:rsidR="00D603D5" w:rsidRPr="00DD47DF" w:rsidRDefault="00D603D5" w:rsidP="00DA3512">
            <w:pPr>
              <w:pStyle w:val="Tabulka"/>
              <w:numPr>
                <w:ilvl w:val="0"/>
                <w:numId w:val="93"/>
              </w:numPr>
              <w:ind w:left="459"/>
              <w:jc w:val="left"/>
            </w:pPr>
            <w:r w:rsidRPr="00DD47DF">
              <w:rPr>
                <w:rFonts w:cs="Calibri"/>
                <w:bCs/>
              </w:rPr>
              <w:t>Nedostatečné geografické pokrytí vysokorychlostním přístupem k internetu a nedostatečná rychlost a kvalita poskytovaných služeb;</w:t>
            </w:r>
          </w:p>
          <w:p w14:paraId="0B82B365" w14:textId="77777777" w:rsidR="00D603D5" w:rsidRPr="00DD47DF" w:rsidRDefault="00D603D5" w:rsidP="00DA3512">
            <w:pPr>
              <w:pStyle w:val="Tabulka"/>
              <w:numPr>
                <w:ilvl w:val="0"/>
                <w:numId w:val="93"/>
              </w:numPr>
              <w:ind w:left="459"/>
              <w:jc w:val="left"/>
            </w:pPr>
            <w:r w:rsidRPr="00DD47DF">
              <w:rPr>
                <w:rFonts w:cs="Calibri"/>
                <w:bCs/>
              </w:rPr>
              <w:t>Nedostatečná míra využívání nových ICT trendů jako jsou sdílené služby, sofistikované ICT řešení, datová centra, které zvyšují efektivitu výsledků a zároveň nezvyšují náklady na ICT;</w:t>
            </w:r>
          </w:p>
          <w:p w14:paraId="3028E137" w14:textId="77777777" w:rsidR="00D603D5" w:rsidRPr="00DD47DF" w:rsidRDefault="00D603D5" w:rsidP="00DA3512">
            <w:pPr>
              <w:pStyle w:val="Tabulka"/>
              <w:numPr>
                <w:ilvl w:val="0"/>
                <w:numId w:val="93"/>
              </w:numPr>
              <w:ind w:left="459"/>
              <w:jc w:val="left"/>
            </w:pPr>
            <w:r w:rsidRPr="00DD47DF">
              <w:t>Řada českých ICT firem jsou pouze dodavateli firem zahraničních;</w:t>
            </w:r>
          </w:p>
          <w:p w14:paraId="2B54C550" w14:textId="77777777" w:rsidR="00D603D5" w:rsidRPr="00DD47DF" w:rsidRDefault="00D603D5" w:rsidP="00DA3512">
            <w:pPr>
              <w:pStyle w:val="Tabulka"/>
              <w:numPr>
                <w:ilvl w:val="0"/>
                <w:numId w:val="93"/>
              </w:numPr>
              <w:ind w:left="459"/>
              <w:jc w:val="left"/>
            </w:pPr>
            <w:r w:rsidRPr="00DD47DF">
              <w:t>Nízká motivace některých ICT firem (tzv. rodinné firmy) dále růst, příp. nedostatek vlastních zdrojů na expanzi na nové trhy.</w:t>
            </w:r>
          </w:p>
        </w:tc>
      </w:tr>
      <w:tr w:rsidR="00D603D5" w:rsidRPr="00DD47DF" w14:paraId="796E2680" w14:textId="77777777" w:rsidTr="007D02F2">
        <w:trPr>
          <w:trHeight w:val="553"/>
        </w:trPr>
        <w:tc>
          <w:tcPr>
            <w:tcW w:w="2500" w:type="pct"/>
            <w:shd w:val="clear" w:color="auto" w:fill="B8CCE4" w:themeFill="accent1" w:themeFillTint="66"/>
            <w:vAlign w:val="center"/>
          </w:tcPr>
          <w:p w14:paraId="344D1064" w14:textId="77777777" w:rsidR="00D603D5" w:rsidRPr="00DD47DF" w:rsidRDefault="00D603D5" w:rsidP="007D02F2">
            <w:pPr>
              <w:pStyle w:val="Tabulka"/>
              <w:rPr>
                <w:b/>
                <w:sz w:val="24"/>
              </w:rPr>
            </w:pPr>
            <w:r w:rsidRPr="00DD47DF">
              <w:rPr>
                <w:b/>
              </w:rPr>
              <w:t>Příležitosti</w:t>
            </w:r>
          </w:p>
        </w:tc>
        <w:tc>
          <w:tcPr>
            <w:tcW w:w="2500" w:type="pct"/>
            <w:shd w:val="clear" w:color="auto" w:fill="B8CCE4" w:themeFill="accent1" w:themeFillTint="66"/>
            <w:vAlign w:val="center"/>
          </w:tcPr>
          <w:p w14:paraId="0B7A99E2" w14:textId="77777777" w:rsidR="00D603D5" w:rsidRPr="00DD47DF" w:rsidRDefault="00D603D5" w:rsidP="007D02F2">
            <w:pPr>
              <w:pStyle w:val="Tabulka"/>
              <w:rPr>
                <w:b/>
                <w:sz w:val="24"/>
              </w:rPr>
            </w:pPr>
            <w:r w:rsidRPr="00DD47DF">
              <w:rPr>
                <w:b/>
              </w:rPr>
              <w:t>Hrozby</w:t>
            </w:r>
          </w:p>
        </w:tc>
      </w:tr>
      <w:tr w:rsidR="00D603D5" w:rsidRPr="00DD47DF" w14:paraId="1C4C12F7" w14:textId="77777777" w:rsidTr="007D02F2">
        <w:tc>
          <w:tcPr>
            <w:tcW w:w="2500" w:type="pct"/>
            <w:shd w:val="clear" w:color="auto" w:fill="auto"/>
          </w:tcPr>
          <w:p w14:paraId="11C7ED92" w14:textId="77777777" w:rsidR="00D603D5" w:rsidRPr="00DD47DF" w:rsidRDefault="00D603D5" w:rsidP="00DA3512">
            <w:pPr>
              <w:pStyle w:val="Tabulka"/>
              <w:numPr>
                <w:ilvl w:val="0"/>
                <w:numId w:val="93"/>
              </w:numPr>
              <w:ind w:left="426"/>
              <w:jc w:val="left"/>
              <w:rPr>
                <w:sz w:val="24"/>
              </w:rPr>
            </w:pPr>
            <w:r w:rsidRPr="00DD47DF">
              <w:rPr>
                <w:rFonts w:cs="Calibri"/>
                <w:bCs/>
              </w:rPr>
              <w:t xml:space="preserve">Zvýšení produktivity a zaměstnanosti v důsledku rozšíření vysokorychlostního přístupu k internetu a rozvoje moderních ICT systémů (např. vliv na </w:t>
            </w:r>
            <w:r w:rsidRPr="00DD47DF">
              <w:t>zrychlení vnitropodnikových procesů</w:t>
            </w:r>
            <w:r w:rsidRPr="00DD47DF">
              <w:rPr>
                <w:rFonts w:cs="Calibri"/>
                <w:bCs/>
              </w:rPr>
              <w:t>);</w:t>
            </w:r>
          </w:p>
          <w:p w14:paraId="3DF1B143" w14:textId="77777777" w:rsidR="00C94BAF" w:rsidRPr="00DD47DF" w:rsidRDefault="00C94BAF" w:rsidP="00DA3512">
            <w:pPr>
              <w:pStyle w:val="Tabulka"/>
              <w:numPr>
                <w:ilvl w:val="0"/>
                <w:numId w:val="93"/>
              </w:numPr>
              <w:ind w:left="426"/>
              <w:jc w:val="left"/>
              <w:rPr>
                <w:sz w:val="24"/>
              </w:rPr>
            </w:pPr>
            <w:r w:rsidRPr="00DD47DF">
              <w:rPr>
                <w:rFonts w:cs="Calibri"/>
                <w:bCs/>
              </w:rPr>
              <w:t>Vyšší využití sofistikovaných ICT nástrojů v rozhodování a reakci na požadavky trhu  (BI, data minning, práce se sociálními sítěmi);</w:t>
            </w:r>
          </w:p>
          <w:p w14:paraId="7C2A2C28" w14:textId="77777777" w:rsidR="00C94BAF" w:rsidRPr="00DD47DF" w:rsidRDefault="00C94BAF" w:rsidP="00DA3512">
            <w:pPr>
              <w:pStyle w:val="Tabulka"/>
              <w:numPr>
                <w:ilvl w:val="0"/>
                <w:numId w:val="93"/>
              </w:numPr>
              <w:ind w:left="426"/>
              <w:jc w:val="left"/>
              <w:rPr>
                <w:sz w:val="24"/>
              </w:rPr>
            </w:pPr>
            <w:r w:rsidRPr="00DD47DF">
              <w:rPr>
                <w:sz w:val="24"/>
              </w:rPr>
              <w:t xml:space="preserve">Zvýšení </w:t>
            </w:r>
            <w:r w:rsidRPr="00DD47DF">
              <w:rPr>
                <w:rFonts w:cs="Calibri"/>
                <w:bCs/>
              </w:rPr>
              <w:t>penetrace cloud řešení;</w:t>
            </w:r>
          </w:p>
          <w:p w14:paraId="78ECEC0B" w14:textId="77777777" w:rsidR="00C94BAF" w:rsidRPr="00DD47DF" w:rsidRDefault="00BB58F0" w:rsidP="00DA3512">
            <w:pPr>
              <w:pStyle w:val="Tabulka"/>
              <w:numPr>
                <w:ilvl w:val="0"/>
                <w:numId w:val="93"/>
              </w:numPr>
              <w:ind w:left="426"/>
              <w:jc w:val="left"/>
              <w:rPr>
                <w:sz w:val="24"/>
              </w:rPr>
            </w:pPr>
            <w:r w:rsidRPr="00DD47DF">
              <w:t>Větší podpora open standardů a interoperability;</w:t>
            </w:r>
          </w:p>
          <w:p w14:paraId="34286964" w14:textId="77777777" w:rsidR="00D603D5" w:rsidRPr="00DD47DF" w:rsidRDefault="00BB58F0" w:rsidP="00DA3512">
            <w:pPr>
              <w:pStyle w:val="Tabulka"/>
              <w:numPr>
                <w:ilvl w:val="0"/>
                <w:numId w:val="93"/>
              </w:numPr>
              <w:ind w:left="426"/>
              <w:jc w:val="left"/>
              <w:rPr>
                <w:sz w:val="24"/>
              </w:rPr>
            </w:pPr>
            <w:r w:rsidRPr="00DD47DF">
              <w:rPr>
                <w:rFonts w:cs="Calibri"/>
                <w:bCs/>
              </w:rPr>
              <w:t xml:space="preserve">Větší </w:t>
            </w:r>
            <w:r w:rsidR="00D603D5" w:rsidRPr="00DD47DF">
              <w:rPr>
                <w:rFonts w:cs="Calibri"/>
                <w:bCs/>
              </w:rPr>
              <w:t>využívání mobilních platforem apod.</w:t>
            </w:r>
          </w:p>
        </w:tc>
        <w:tc>
          <w:tcPr>
            <w:tcW w:w="2500" w:type="pct"/>
            <w:shd w:val="clear" w:color="auto" w:fill="auto"/>
          </w:tcPr>
          <w:p w14:paraId="0D6003DD" w14:textId="77777777" w:rsidR="00D603D5" w:rsidRPr="00DD47DF" w:rsidRDefault="00D603D5" w:rsidP="00DA3512">
            <w:pPr>
              <w:pStyle w:val="Tabulka"/>
              <w:numPr>
                <w:ilvl w:val="0"/>
                <w:numId w:val="93"/>
              </w:numPr>
              <w:ind w:left="459"/>
              <w:jc w:val="left"/>
              <w:rPr>
                <w:sz w:val="24"/>
              </w:rPr>
            </w:pPr>
            <w:r w:rsidRPr="00DD47DF">
              <w:t>Růst nezaměstnanosti a úbytek obyvatelstva ve venkovských oblastech v důsledku prohloubení tzv. „digitální propast“ mezi venkovskými a městskými oblastmi;</w:t>
            </w:r>
          </w:p>
          <w:p w14:paraId="3780E34B" w14:textId="77777777" w:rsidR="00D603D5" w:rsidRPr="00DD47DF" w:rsidRDefault="00D603D5" w:rsidP="00DA3512">
            <w:pPr>
              <w:pStyle w:val="Tabulka"/>
              <w:numPr>
                <w:ilvl w:val="0"/>
                <w:numId w:val="93"/>
              </w:numPr>
              <w:ind w:left="459"/>
              <w:jc w:val="left"/>
              <w:rPr>
                <w:sz w:val="24"/>
              </w:rPr>
            </w:pPr>
            <w:r w:rsidRPr="00DD47DF">
              <w:rPr>
                <w:rFonts w:cs="Calibri"/>
                <w:bCs/>
              </w:rPr>
              <w:t>Nesjednocení aplikační praxe některých ustanovení zákona o elektronických komunikacích a stavebního zákona a zjednodušení pravidel stavebního a územního řízení pro oblast elektronických komunikací;</w:t>
            </w:r>
          </w:p>
          <w:p w14:paraId="669C7BF3" w14:textId="77777777" w:rsidR="00D603D5" w:rsidRPr="00DD47DF" w:rsidRDefault="00D603D5" w:rsidP="00DA3512">
            <w:pPr>
              <w:pStyle w:val="Tabulka"/>
              <w:numPr>
                <w:ilvl w:val="0"/>
                <w:numId w:val="93"/>
              </w:numPr>
              <w:ind w:left="459"/>
              <w:jc w:val="left"/>
              <w:rPr>
                <w:sz w:val="24"/>
              </w:rPr>
            </w:pPr>
            <w:r w:rsidRPr="00DD47DF">
              <w:rPr>
                <w:rFonts w:cs="Calibri"/>
                <w:bCs/>
              </w:rPr>
              <w:t>Investiční pobídky pro výstavbu datových center v okolních zemích.</w:t>
            </w:r>
          </w:p>
        </w:tc>
      </w:tr>
    </w:tbl>
    <w:p w14:paraId="2D80409C" w14:textId="77777777" w:rsidR="007F5300" w:rsidRPr="00DD47DF" w:rsidRDefault="00782BE3" w:rsidP="005C17DA">
      <w:pPr>
        <w:pStyle w:val="Standardntext"/>
        <w:spacing w:before="240" w:after="0"/>
      </w:pPr>
      <w:r w:rsidRPr="00DD47DF">
        <w:t xml:space="preserve">U problémové oblasti „Infrastruktura“, resp. hlavní pilíř „ICT infrastruktura“ reagují cíle OP PIK na tyto rozvojové potřeby: rozvoj infrastruktury pro vysokorychlostní přístup k internetu umožňující minimální přenosové rychlosti 30 Mbit/s důrazem na území bez stávající možnosti </w:t>
      </w:r>
      <w:r w:rsidRPr="00DD47DF">
        <w:lastRenderedPageBreak/>
        <w:t>přístupu k vysokorychlostnímu internetu a dále posílení tvorby a fungování ICT aplikací a služeb, včetně sdílených služeb zahrnujících budování a modernizaci datových center. Tyto potřeby rozvoje pokrývá prioritní osa 4 OP PIK.</w:t>
      </w:r>
    </w:p>
    <w:p w14:paraId="2C3B60F6" w14:textId="77777777" w:rsidR="00AC44E9" w:rsidRPr="00DD47DF" w:rsidRDefault="00AC44E9" w:rsidP="00187044">
      <w:pPr>
        <w:pStyle w:val="Modrnadpis"/>
        <w:keepNext w:val="0"/>
        <w:keepLines w:val="0"/>
      </w:pPr>
      <w:r w:rsidRPr="00DD47DF">
        <w:t xml:space="preserve">Soulad </w:t>
      </w:r>
      <w:r w:rsidR="00187044" w:rsidRPr="00DD47DF">
        <w:t>s pravidly veřejné podpory</w:t>
      </w:r>
    </w:p>
    <w:p w14:paraId="7D03915C" w14:textId="77777777" w:rsidR="00782BE3" w:rsidRPr="00DD47DF" w:rsidRDefault="00782BE3" w:rsidP="00782BE3">
      <w:pPr>
        <w:pStyle w:val="Standardntext"/>
      </w:pPr>
      <w:r w:rsidRPr="00DD47DF">
        <w:t xml:space="preserve">Rozhodnutím o schválení Operačního programu nejsou dotčeny postoje EK, pokud jde o soulad jakékoli operace podporované v rámci programu s procesními a hmotněprávními pravidly pro poskytování VP platnými v době, kdy je podpora poskytnuta. </w:t>
      </w:r>
    </w:p>
    <w:p w14:paraId="0CEC6804" w14:textId="77777777" w:rsidR="00782BE3" w:rsidRPr="00DD47DF" w:rsidRDefault="00782BE3" w:rsidP="00782BE3">
      <w:pPr>
        <w:pStyle w:val="Standardntext"/>
      </w:pPr>
      <w:r w:rsidRPr="00DD47DF">
        <w:t>Poskytnutí VP spadající do oblasti působnosti čl. 107 (1) Smlouvy o fungování EU, vyžaduje předchozí souhlas EK podle čl. 108 (3) Smlouvy, s výjimkou případů, kdy je podpora vyňata podle nařízení o výjimce přijatého EK na základě nařízení Rady (ES) č. 994/98 ze dne 7. 5. 1998 o použití čl. 92 a 93 na určité kategorie horizontální podpory a jeho změn nebo podle rozhodnutí Komise ze dne 20. 12. 2011 o použití čl. 106 (2) Smlouvy na státní podporu ve formě vyrovnávací platby za závazek veřejné služby udělené určitým podnikům pověřeným poskytováním služeb obecného hospodářského zájmu, nebo je poskytnuta jako obecná podpora de minimis.</w:t>
      </w:r>
    </w:p>
    <w:p w14:paraId="645F2303" w14:textId="77777777" w:rsidR="00AC44E9" w:rsidRPr="00DD47DF" w:rsidRDefault="00782BE3" w:rsidP="00782BE3">
      <w:pPr>
        <w:pStyle w:val="Standardntext"/>
      </w:pPr>
      <w:r w:rsidRPr="00DD47DF">
        <w:t>Je-li podpora z fondů poskytnuta velkému podniku dle čll. 14 Nařízení 651/2014, řídicí orgán se ujistí, že finanční příspěvek fondu nezpůsobí značné ztráty pracovních míst s ohledem na stávající rozmístění v rámci Unie.</w:t>
      </w:r>
    </w:p>
    <w:p w14:paraId="30CF27D2" w14:textId="77777777" w:rsidR="005C17DA" w:rsidRPr="00DD47DF" w:rsidRDefault="005C17DA" w:rsidP="005C17DA">
      <w:pPr>
        <w:pStyle w:val="Standardntext"/>
        <w:spacing w:before="240"/>
        <w:rPr>
          <w:b/>
          <w:color w:val="4F81BD" w:themeColor="accent1"/>
        </w:rPr>
      </w:pPr>
      <w:r w:rsidRPr="00DD47DF">
        <w:rPr>
          <w:b/>
          <w:color w:val="4F81BD" w:themeColor="accent1"/>
        </w:rPr>
        <w:t>Nepodporované aktivity</w:t>
      </w:r>
    </w:p>
    <w:p w14:paraId="16377530" w14:textId="379781E7" w:rsidR="008473BB" w:rsidRPr="00DD47DF" w:rsidRDefault="00113861" w:rsidP="00AC44E9">
      <w:pPr>
        <w:pStyle w:val="Standardntext"/>
      </w:pPr>
      <w:r w:rsidRPr="00700E39">
        <w:t xml:space="preserve">V souladu s tzv. Pozičním dokumentem EK (říjen 2012) </w:t>
      </w:r>
      <w:r w:rsidRPr="00700E39">
        <w:rPr>
          <w:b/>
        </w:rPr>
        <w:t xml:space="preserve">nebudou v OP PIK podporována žádná komerční turistická zařízení </w:t>
      </w:r>
      <w:r w:rsidRPr="00700E39">
        <w:t>jako hotely, volnočasová zařízení, lázně, restaurace, která musí být financována pouze soukromými prostředky. Vynětí těchto oblastí se vztahuje na podporu formou dotací ve všech prioritních osách / specifických cílech OP PIK, vyjma režimu regionální podpory zaměřeného na cestovní ruch v podporovaném regionu, jenž má obzvlášť pozitivní dopad na regionální rozvoj v rámci diversifikace a odhalování hospodářského potenciálu venkovských oblastí.</w:t>
      </w:r>
    </w:p>
    <w:p w14:paraId="68977A5E" w14:textId="77777777" w:rsidR="005C17DA" w:rsidRPr="00DD47DF" w:rsidRDefault="005C17DA" w:rsidP="005C17DA">
      <w:pPr>
        <w:pStyle w:val="Standardntext"/>
        <w:spacing w:before="240"/>
        <w:rPr>
          <w:b/>
          <w:color w:val="4F81BD" w:themeColor="accent1"/>
        </w:rPr>
      </w:pPr>
      <w:r w:rsidRPr="00DD47DF">
        <w:rPr>
          <w:b/>
          <w:color w:val="4F81BD" w:themeColor="accent1"/>
        </w:rPr>
        <w:t>Udržitelnost investic</w:t>
      </w:r>
    </w:p>
    <w:p w14:paraId="163E5060" w14:textId="77777777" w:rsidR="007B4977" w:rsidRPr="00DD47DF" w:rsidRDefault="005C17DA" w:rsidP="00AC44E9">
      <w:pPr>
        <w:pStyle w:val="Standardntext"/>
        <w:sectPr w:rsidR="007B4977" w:rsidRPr="00DD47DF" w:rsidSect="00CF7B55">
          <w:headerReference w:type="default" r:id="rId21"/>
          <w:footerReference w:type="default" r:id="rId22"/>
          <w:pgSz w:w="11906" w:h="16838"/>
          <w:pgMar w:top="1418" w:right="1276" w:bottom="1276" w:left="1418" w:header="709" w:footer="709" w:gutter="0"/>
          <w:cols w:space="708"/>
          <w:docGrid w:linePitch="272"/>
        </w:sectPr>
      </w:pPr>
      <w:r w:rsidRPr="00DD47DF">
        <w:t>Udržitelnost investic v rámci OP PIK bude v souladu s čl. 71 nařízení č. 1303/2013 obecně pět let v případě velkých podniků a tři roky v případě malých a středních podniků. Toto obecné pravidlo se v případě malých a středních podniků může lišit podle specifických cílů programu či aktivit definovaných v rámci specifického cíle, kde i u této skupiny příjemců může být stanovena doba udržitelnosti na pět let. Tato skutečnost bude vždy specifikována v příslušné výzvě k předkládání žádostí o podporu.</w:t>
      </w:r>
    </w:p>
    <w:p w14:paraId="6F9E3FC0" w14:textId="77777777" w:rsidR="00606523" w:rsidRPr="00DD47DF" w:rsidRDefault="00606523" w:rsidP="00606523">
      <w:pPr>
        <w:pStyle w:val="Nadpis3"/>
        <w:rPr>
          <w:rFonts w:cs="Calibri"/>
        </w:rPr>
      </w:pPr>
      <w:bookmarkStart w:id="16" w:name="_Toc520445240"/>
      <w:r w:rsidRPr="00DD47DF">
        <w:rPr>
          <w:rFonts w:cs="Calibri"/>
        </w:rPr>
        <w:lastRenderedPageBreak/>
        <w:t>Odůvodnění výběru tematických cílů a odpovídajících investičních priorit s ohledem na dohodu o partnerství na základě určení regionálních a případně vnitrostátních potřeb, včetně potřeby řešit výzvy vymezené v příslušných doporučeních pro jednotlivé země, které byly přijaty v souladu s čl. 121 odst. 2 SFEU a příslušnými doporučeními Rady přijatými v souladu s čl. 148 odst. 4 SFEU, s přihlédnutím k hodnocení ex ante.</w:t>
      </w:r>
      <w:bookmarkEnd w:id="16"/>
    </w:p>
    <w:p w14:paraId="25009087" w14:textId="77777777" w:rsidR="00297A5A" w:rsidRPr="00DD47DF" w:rsidRDefault="00297A5A" w:rsidP="00F843E4">
      <w:pPr>
        <w:pStyle w:val="Titulek"/>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1</w:t>
      </w:r>
      <w:r w:rsidR="002756E7" w:rsidRPr="00DD47DF">
        <w:rPr>
          <w:noProof/>
        </w:rPr>
        <w:fldChar w:fldCharType="end"/>
      </w:r>
      <w:r w:rsidRPr="00DD47DF">
        <w:t xml:space="preserve">: </w:t>
      </w:r>
      <w:r w:rsidR="006271CC" w:rsidRPr="00DD47DF">
        <w:t>O</w:t>
      </w:r>
      <w:r w:rsidR="00F843E4" w:rsidRPr="00DD47DF">
        <w:t>důvodnění výběru tematických cílů a investičních priorit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617"/>
        <w:gridCol w:w="4109"/>
        <w:gridCol w:w="8532"/>
      </w:tblGrid>
      <w:tr w:rsidR="009072F3" w:rsidRPr="00DD47DF" w14:paraId="24D277D0" w14:textId="77777777">
        <w:trPr>
          <w:jc w:val="center"/>
        </w:trPr>
        <w:tc>
          <w:tcPr>
            <w:tcW w:w="567" w:type="pct"/>
            <w:shd w:val="clear" w:color="auto" w:fill="95B3D7"/>
          </w:tcPr>
          <w:p w14:paraId="21B5548D" w14:textId="77777777" w:rsidR="009072F3" w:rsidRPr="00DD47DF" w:rsidRDefault="001E2583" w:rsidP="0022028B">
            <w:pPr>
              <w:pStyle w:val="Tabulka"/>
              <w:rPr>
                <w:rFonts w:cs="Calibri"/>
                <w:b/>
                <w:vertAlign w:val="superscript"/>
              </w:rPr>
            </w:pPr>
            <w:r w:rsidRPr="00DD47DF">
              <w:rPr>
                <w:rFonts w:cs="Calibri"/>
                <w:b/>
              </w:rPr>
              <w:t>Vybraný t</w:t>
            </w:r>
            <w:r w:rsidR="00A01ABB" w:rsidRPr="00DD47DF">
              <w:rPr>
                <w:rFonts w:cs="Calibri"/>
                <w:b/>
              </w:rPr>
              <w:t>ematický cíl</w:t>
            </w:r>
          </w:p>
        </w:tc>
        <w:tc>
          <w:tcPr>
            <w:tcW w:w="1441" w:type="pct"/>
            <w:shd w:val="clear" w:color="auto" w:fill="95B3D7"/>
          </w:tcPr>
          <w:p w14:paraId="44795FF7" w14:textId="77777777" w:rsidR="009072F3" w:rsidRPr="00DD47DF" w:rsidRDefault="001E2583" w:rsidP="0022028B">
            <w:pPr>
              <w:pStyle w:val="Tabulka"/>
              <w:rPr>
                <w:rFonts w:cs="Calibri"/>
                <w:b/>
                <w:vertAlign w:val="superscript"/>
              </w:rPr>
            </w:pPr>
            <w:r w:rsidRPr="00DD47DF">
              <w:rPr>
                <w:rFonts w:cs="Calibri"/>
                <w:b/>
              </w:rPr>
              <w:t>Vybraná i</w:t>
            </w:r>
            <w:r w:rsidR="00A01ABB" w:rsidRPr="00DD47DF">
              <w:rPr>
                <w:rFonts w:cs="Calibri"/>
                <w:b/>
              </w:rPr>
              <w:t>nvestiční priorita</w:t>
            </w:r>
          </w:p>
        </w:tc>
        <w:tc>
          <w:tcPr>
            <w:tcW w:w="2992" w:type="pct"/>
            <w:shd w:val="clear" w:color="auto" w:fill="95B3D7"/>
          </w:tcPr>
          <w:p w14:paraId="7F637027" w14:textId="77777777" w:rsidR="009072F3" w:rsidRPr="00DD47DF" w:rsidRDefault="006271CC" w:rsidP="0022028B">
            <w:pPr>
              <w:pStyle w:val="Tabulka"/>
              <w:rPr>
                <w:rFonts w:cs="Calibri"/>
                <w:b/>
              </w:rPr>
            </w:pPr>
            <w:r w:rsidRPr="00DD47DF">
              <w:rPr>
                <w:rFonts w:cs="Calibri"/>
                <w:b/>
              </w:rPr>
              <w:t>O</w:t>
            </w:r>
            <w:r w:rsidR="00A01ABB" w:rsidRPr="00DD47DF">
              <w:rPr>
                <w:rFonts w:cs="Calibri"/>
                <w:b/>
              </w:rPr>
              <w:t>důvodnění výběru</w:t>
            </w:r>
          </w:p>
        </w:tc>
      </w:tr>
      <w:tr w:rsidR="003252E1" w:rsidRPr="00DD47DF" w14:paraId="3FBCAFF1" w14:textId="77777777">
        <w:trPr>
          <w:jc w:val="center"/>
        </w:trPr>
        <w:tc>
          <w:tcPr>
            <w:tcW w:w="567" w:type="pct"/>
            <w:shd w:val="clear" w:color="auto" w:fill="B8CCE4"/>
            <w:vAlign w:val="center"/>
          </w:tcPr>
          <w:p w14:paraId="394B32EA" w14:textId="77777777" w:rsidR="003252E1" w:rsidRPr="00DD47DF" w:rsidRDefault="009D7E8A" w:rsidP="0022028B">
            <w:pPr>
              <w:pStyle w:val="Tabulka"/>
              <w:jc w:val="left"/>
              <w:rPr>
                <w:rFonts w:cs="Calibri"/>
              </w:rPr>
            </w:pPr>
            <w:r w:rsidRPr="00DD47DF">
              <w:rPr>
                <w:rFonts w:cs="Calibri"/>
              </w:rPr>
              <w:t>1</w:t>
            </w:r>
            <w:r w:rsidR="00CC5E04" w:rsidRPr="00DD47DF">
              <w:rPr>
                <w:rFonts w:cs="Calibri"/>
              </w:rPr>
              <w:t>)</w:t>
            </w:r>
            <w:r w:rsidR="003252E1" w:rsidRPr="00DD47DF">
              <w:rPr>
                <w:rFonts w:cs="Calibri"/>
              </w:rPr>
              <w:t xml:space="preserve"> Posílení výzkumu, technologického rozvoje a inovací</w:t>
            </w:r>
          </w:p>
          <w:p w14:paraId="14ED185F" w14:textId="77777777" w:rsidR="003252E1" w:rsidRPr="00DD47DF" w:rsidRDefault="003252E1" w:rsidP="0022028B">
            <w:pPr>
              <w:pStyle w:val="Tabulka"/>
              <w:jc w:val="left"/>
              <w:rPr>
                <w:rFonts w:cs="Calibri"/>
              </w:rPr>
            </w:pPr>
          </w:p>
        </w:tc>
        <w:tc>
          <w:tcPr>
            <w:tcW w:w="1441" w:type="pct"/>
            <w:shd w:val="clear" w:color="auto" w:fill="DBE5F1"/>
            <w:vAlign w:val="center"/>
          </w:tcPr>
          <w:p w14:paraId="66CCB46C" w14:textId="77777777" w:rsidR="003252E1" w:rsidRPr="00DD47DF" w:rsidRDefault="00B54D2B" w:rsidP="0022028B">
            <w:pPr>
              <w:pStyle w:val="Tabulka"/>
              <w:jc w:val="left"/>
              <w:rPr>
                <w:rFonts w:cs="Calibri"/>
              </w:rPr>
            </w:pPr>
            <w:r w:rsidRPr="00DD47DF">
              <w:rPr>
                <w:rFonts w:cs="Calibri"/>
              </w:rPr>
              <w:t xml:space="preserve">1 b) </w:t>
            </w:r>
            <w:r w:rsidR="002641C7" w:rsidRPr="00DD47DF">
              <w:rPr>
                <w:rFonts w:cs="Calibri"/>
              </w:rPr>
              <w:t>Podpora podnikových investic do výzkumu a inovací a vytváření</w:t>
            </w:r>
            <w:r w:rsidR="000534DA" w:rsidRPr="00DD47DF">
              <w:rPr>
                <w:rFonts w:cs="Calibri"/>
              </w:rPr>
              <w:t xml:space="preserve"> vazeb a součinnosti mezi podniky, středisky výzkumu a vývoje a odvětvím vysokoškolského vzdělávání, zejména podpora investic v oblasti vývoje produktů a služeb, přenosu technologií, sociálních inovací, ekologických inovací, aplikací veřejných služeb, stimulace poptávky, vytváření sítí, klastrů a otevřených inovací prostřednictvím inteligentní specializace a podpora technického a aplikovaného výzkumu, pilotních linek, opatření k včasnému ověřování produktů, schopností vyspělé výroby a prvovýroby, zejména v oblasti klíčových technologií a šíření technologií pro všeobecné použití</w:t>
            </w:r>
          </w:p>
        </w:tc>
        <w:tc>
          <w:tcPr>
            <w:tcW w:w="2992" w:type="pct"/>
            <w:shd w:val="clear" w:color="auto" w:fill="auto"/>
          </w:tcPr>
          <w:p w14:paraId="5632911D" w14:textId="77777777" w:rsidR="003252E1" w:rsidRPr="00DD47DF" w:rsidRDefault="003252E1" w:rsidP="0022028B">
            <w:pPr>
              <w:pStyle w:val="Tabulka"/>
              <w:jc w:val="left"/>
              <w:rPr>
                <w:rFonts w:cs="Calibri"/>
                <w:bCs/>
              </w:rPr>
            </w:pPr>
            <w:r w:rsidRPr="00DD47DF">
              <w:rPr>
                <w:rFonts w:cs="Calibri"/>
                <w:bCs/>
                <w:u w:val="single"/>
              </w:rPr>
              <w:t>E</w:t>
            </w:r>
            <w:r w:rsidR="00A82B68" w:rsidRPr="00DD47DF">
              <w:rPr>
                <w:rFonts w:cs="Calibri"/>
                <w:bCs/>
                <w:u w:val="single"/>
              </w:rPr>
              <w:t>U</w:t>
            </w:r>
            <w:r w:rsidRPr="00DD47DF">
              <w:rPr>
                <w:rFonts w:cs="Calibri"/>
                <w:bCs/>
                <w:u w:val="single"/>
              </w:rPr>
              <w:t xml:space="preserve"> 2020</w:t>
            </w:r>
            <w:r w:rsidR="002135F1" w:rsidRPr="00DD47DF">
              <w:rPr>
                <w:rFonts w:cs="Calibri"/>
                <w:bCs/>
              </w:rPr>
              <w:t xml:space="preserve">: </w:t>
            </w:r>
            <w:r w:rsidR="006B691E" w:rsidRPr="00DD47DF">
              <w:rPr>
                <w:rFonts w:cs="Calibri"/>
              </w:rPr>
              <w:t>N</w:t>
            </w:r>
            <w:r w:rsidR="00D25653" w:rsidRPr="00DD47DF">
              <w:rPr>
                <w:rFonts w:cs="Calibri"/>
                <w:bCs/>
              </w:rPr>
              <w:t xml:space="preserve">avýšení investic do </w:t>
            </w:r>
            <w:r w:rsidRPr="00DD47DF">
              <w:rPr>
                <w:rFonts w:cs="Calibri"/>
                <w:bCs/>
              </w:rPr>
              <w:t xml:space="preserve">výzkumu a vývoje </w:t>
            </w:r>
            <w:r w:rsidR="00D25653" w:rsidRPr="00DD47DF">
              <w:rPr>
                <w:rFonts w:cs="Calibri"/>
                <w:bCs/>
              </w:rPr>
              <w:t xml:space="preserve">na úroveň </w:t>
            </w:r>
            <w:r w:rsidRPr="00DD47DF">
              <w:rPr>
                <w:rFonts w:cs="Calibri"/>
                <w:bCs/>
              </w:rPr>
              <w:t>3 % HDP</w:t>
            </w:r>
            <w:r w:rsidR="00CC607A" w:rsidRPr="00DD47DF">
              <w:rPr>
                <w:rFonts w:cs="Calibri"/>
                <w:bCs/>
              </w:rPr>
              <w:t xml:space="preserve"> E</w:t>
            </w:r>
            <w:r w:rsidR="00F27EC3" w:rsidRPr="00DD47DF">
              <w:rPr>
                <w:rFonts w:cs="Calibri"/>
                <w:bCs/>
              </w:rPr>
              <w:t>U</w:t>
            </w:r>
            <w:r w:rsidR="0031231B" w:rsidRPr="00DD47DF">
              <w:rPr>
                <w:rFonts w:cs="Calibri"/>
                <w:bCs/>
              </w:rPr>
              <w:t xml:space="preserve">; stěžejní iniciativa </w:t>
            </w:r>
            <w:r w:rsidR="0031231B" w:rsidRPr="00DD47DF">
              <w:rPr>
                <w:rFonts w:cs="Calibri"/>
                <w:bCs/>
                <w:i/>
              </w:rPr>
              <w:t>Inovace v Unii</w:t>
            </w:r>
          </w:p>
          <w:p w14:paraId="6CF5E55E" w14:textId="77777777" w:rsidR="00A93D30" w:rsidRPr="00DD47DF" w:rsidRDefault="002135F1" w:rsidP="0022028B">
            <w:pPr>
              <w:pStyle w:val="Tabulka"/>
              <w:jc w:val="left"/>
              <w:rPr>
                <w:rFonts w:cs="Calibri"/>
                <w:bCs/>
              </w:rPr>
            </w:pPr>
            <w:r w:rsidRPr="00DD47DF">
              <w:rPr>
                <w:rFonts w:cs="Calibri"/>
                <w:bCs/>
                <w:u w:val="single"/>
              </w:rPr>
              <w:t>N</w:t>
            </w:r>
            <w:r w:rsidR="00A82B68" w:rsidRPr="00DD47DF">
              <w:rPr>
                <w:rFonts w:cs="Calibri"/>
                <w:bCs/>
                <w:u w:val="single"/>
              </w:rPr>
              <w:t>PR</w:t>
            </w:r>
            <w:r w:rsidR="00F20211" w:rsidRPr="00DD47DF">
              <w:rPr>
                <w:rFonts w:cs="Calibri"/>
                <w:bCs/>
                <w:u w:val="single"/>
              </w:rPr>
              <w:t xml:space="preserve"> </w:t>
            </w:r>
            <w:r w:rsidR="00066396" w:rsidRPr="00DD47DF">
              <w:rPr>
                <w:rFonts w:cs="Calibri"/>
                <w:bCs/>
                <w:u w:val="single"/>
              </w:rPr>
              <w:t>201</w:t>
            </w:r>
            <w:r w:rsidR="000D30CB" w:rsidRPr="00DD47DF">
              <w:rPr>
                <w:rFonts w:cs="Calibri"/>
                <w:bCs/>
                <w:u w:val="single"/>
              </w:rPr>
              <w:t>4</w:t>
            </w:r>
            <w:r w:rsidRPr="00DD47DF">
              <w:rPr>
                <w:rFonts w:cs="Calibri"/>
                <w:bCs/>
              </w:rPr>
              <w:t xml:space="preserve">: </w:t>
            </w:r>
            <w:r w:rsidR="000C080E" w:rsidRPr="00DD47DF">
              <w:rPr>
                <w:rFonts w:cs="Calibri"/>
                <w:bCs/>
              </w:rPr>
              <w:t>Posilovat význam výzkumných a inovačních aktivit a produkce s vyšší přidanou hodnotou jako klíčových předpokladů pro zvyšování konkurenceschopnosti českých firem</w:t>
            </w:r>
          </w:p>
          <w:p w14:paraId="306D2D34" w14:textId="77777777" w:rsidR="008E6C8D" w:rsidRPr="00DD47DF" w:rsidRDefault="00CE70D6" w:rsidP="0022028B">
            <w:pPr>
              <w:pStyle w:val="Tabulka"/>
              <w:jc w:val="left"/>
              <w:rPr>
                <w:rFonts w:cs="Calibri"/>
                <w:bCs/>
              </w:rPr>
            </w:pPr>
            <w:r w:rsidRPr="00DD47DF">
              <w:rPr>
                <w:rFonts w:cs="Calibri"/>
                <w:bCs/>
                <w:u w:val="single"/>
              </w:rPr>
              <w:t>Poziční dokument</w:t>
            </w:r>
            <w:r w:rsidRPr="00DD47DF">
              <w:rPr>
                <w:rFonts w:cs="Calibri"/>
                <w:bCs/>
              </w:rPr>
              <w:t xml:space="preserve">: </w:t>
            </w:r>
            <w:r w:rsidR="005522AA" w:rsidRPr="00DD47DF">
              <w:rPr>
                <w:rFonts w:cs="Calibri"/>
                <w:bCs/>
              </w:rPr>
              <w:t>Podpora podnikových investic do výzkumu a inovací, vývoje produktů a služeb, obchodování s výsledky výzkumu, přenosu technologií, rozvoje</w:t>
            </w:r>
            <w:r w:rsidR="00F41CE5" w:rsidRPr="00DD47DF">
              <w:rPr>
                <w:rFonts w:cs="Calibri"/>
                <w:bCs/>
              </w:rPr>
              <w:t xml:space="preserve"> klastrů, aplikovaných inovací, p</w:t>
            </w:r>
            <w:r w:rsidR="005522AA" w:rsidRPr="00DD47DF">
              <w:rPr>
                <w:rFonts w:cs="Calibri"/>
                <w:bCs/>
              </w:rPr>
              <w:t>odpora technolo</w:t>
            </w:r>
            <w:r w:rsidR="00F41CE5" w:rsidRPr="00DD47DF">
              <w:rPr>
                <w:rFonts w:cs="Calibri"/>
                <w:bCs/>
              </w:rPr>
              <w:t>gického a aplikovaného výzkumu</w:t>
            </w:r>
          </w:p>
          <w:p w14:paraId="676BE6A6" w14:textId="77777777" w:rsidR="004E68E5" w:rsidRPr="00DD47DF" w:rsidRDefault="004E68E5" w:rsidP="0022028B">
            <w:pPr>
              <w:pStyle w:val="Tabulka"/>
              <w:jc w:val="left"/>
              <w:rPr>
                <w:rFonts w:cs="Calibri"/>
                <w:bCs/>
              </w:rPr>
            </w:pPr>
            <w:r w:rsidRPr="00DD47DF">
              <w:rPr>
                <w:rFonts w:cs="Calibri"/>
                <w:bCs/>
                <w:u w:val="single"/>
              </w:rPr>
              <w:t>SMK</w:t>
            </w:r>
            <w:r w:rsidRPr="00DD47DF">
              <w:rPr>
                <w:rFonts w:cs="Calibri"/>
                <w:bCs/>
              </w:rPr>
              <w:t>: zvýšení spolupráce mezi podnikovým a VaV sektorem a spolupráce mezi podniky, rozvoj služeb pro inovační podnikání</w:t>
            </w:r>
          </w:p>
          <w:p w14:paraId="317C6870" w14:textId="77777777" w:rsidR="00AD561F" w:rsidRPr="00DD47DF" w:rsidRDefault="00AD561F" w:rsidP="00AD561F">
            <w:pPr>
              <w:pStyle w:val="Tabulka"/>
              <w:jc w:val="left"/>
              <w:rPr>
                <w:rFonts w:cs="Calibri"/>
                <w:bCs/>
              </w:rPr>
            </w:pPr>
            <w:r w:rsidRPr="00DD47DF">
              <w:rPr>
                <w:rFonts w:cs="Calibri"/>
                <w:bCs/>
                <w:u w:val="single"/>
              </w:rPr>
              <w:t>Dohoda o partnerství:</w:t>
            </w:r>
          </w:p>
          <w:p w14:paraId="0CBF6D61" w14:textId="77777777" w:rsidR="00AD561F" w:rsidRPr="00DD47DF" w:rsidRDefault="00AD561F" w:rsidP="00AD561F">
            <w:pPr>
              <w:pStyle w:val="Tabulka"/>
              <w:jc w:val="left"/>
              <w:rPr>
                <w:rFonts w:cs="Calibri"/>
                <w:bCs/>
              </w:rPr>
            </w:pPr>
            <w:r w:rsidRPr="00DD47DF">
              <w:rPr>
                <w:rFonts w:cs="Calibri"/>
                <w:b/>
                <w:bCs/>
              </w:rPr>
              <w:t>Problémová oblast:</w:t>
            </w:r>
            <w:r w:rsidRPr="00DD47DF">
              <w:rPr>
                <w:rFonts w:cs="Calibri"/>
                <w:bCs/>
              </w:rPr>
              <w:t xml:space="preserve"> Výzkumný a inovační systém; </w:t>
            </w:r>
            <w:bookmarkStart w:id="17" w:name="_Toc374702859"/>
            <w:r w:rsidRPr="00DD47DF">
              <w:rPr>
                <w:rFonts w:cs="Calibri"/>
                <w:bCs/>
              </w:rPr>
              <w:t>Konkurenceschopné podniky</w:t>
            </w:r>
            <w:bookmarkEnd w:id="17"/>
          </w:p>
          <w:p w14:paraId="26D3C9CD" w14:textId="77777777" w:rsidR="00AD561F" w:rsidRPr="00DD47DF" w:rsidRDefault="00AD561F" w:rsidP="00AD561F">
            <w:pPr>
              <w:pStyle w:val="Tabulka"/>
              <w:jc w:val="left"/>
              <w:rPr>
                <w:rFonts w:cs="Calibri"/>
                <w:bCs/>
              </w:rPr>
            </w:pPr>
            <w:r w:rsidRPr="00DD47DF">
              <w:rPr>
                <w:rFonts w:cs="Calibri"/>
                <w:b/>
                <w:bCs/>
              </w:rPr>
              <w:t>Identifikované problémy relevantní pro OP PIK:</w:t>
            </w:r>
            <w:r w:rsidRPr="00DD47DF">
              <w:rPr>
                <w:rFonts w:cs="Calibri"/>
                <w:bCs/>
              </w:rPr>
              <w:t xml:space="preserve"> Slabá orientace výzkumu na přínosy pro společnost; Slabý endogenní podnikatelský sektor.</w:t>
            </w:r>
          </w:p>
          <w:p w14:paraId="25F193B8" w14:textId="77777777" w:rsidR="00AD561F" w:rsidRPr="00DD47DF" w:rsidRDefault="00AD561F" w:rsidP="00AD561F">
            <w:pPr>
              <w:pStyle w:val="Tabulka"/>
              <w:jc w:val="left"/>
              <w:rPr>
                <w:rFonts w:cs="Calibri"/>
                <w:bCs/>
              </w:rPr>
            </w:pPr>
            <w:r w:rsidRPr="00DD47DF">
              <w:rPr>
                <w:rFonts w:cs="Calibri"/>
                <w:b/>
                <w:bCs/>
              </w:rPr>
              <w:t xml:space="preserve">Priorita financování: </w:t>
            </w:r>
            <w:r w:rsidRPr="00DD47DF">
              <w:rPr>
                <w:rFonts w:cs="Calibri"/>
                <w:bCs/>
              </w:rPr>
              <w:t>Výzkumný a inovační systém propojený s aplikační sférou a směřující ke komerčně využitelným výsledkům</w:t>
            </w:r>
          </w:p>
        </w:tc>
      </w:tr>
      <w:tr w:rsidR="00066396" w:rsidRPr="00DD47DF" w14:paraId="3E8B0458" w14:textId="77777777">
        <w:trPr>
          <w:jc w:val="center"/>
        </w:trPr>
        <w:tc>
          <w:tcPr>
            <w:tcW w:w="567" w:type="pct"/>
            <w:vMerge w:val="restart"/>
            <w:shd w:val="clear" w:color="auto" w:fill="B8CCE4"/>
            <w:vAlign w:val="center"/>
          </w:tcPr>
          <w:p w14:paraId="44B68FEF" w14:textId="77777777" w:rsidR="00066396" w:rsidRPr="00DD47DF" w:rsidRDefault="009D7E8A" w:rsidP="0022028B">
            <w:pPr>
              <w:pStyle w:val="Tabulka"/>
              <w:jc w:val="left"/>
              <w:rPr>
                <w:rFonts w:cs="Calibri"/>
              </w:rPr>
            </w:pPr>
            <w:r w:rsidRPr="00DD47DF">
              <w:rPr>
                <w:rFonts w:cs="Calibri"/>
              </w:rPr>
              <w:t>2</w:t>
            </w:r>
            <w:r w:rsidR="00CC5E04" w:rsidRPr="00DD47DF">
              <w:rPr>
                <w:rFonts w:cs="Calibri"/>
              </w:rPr>
              <w:t>)</w:t>
            </w:r>
            <w:r w:rsidR="00066396" w:rsidRPr="00DD47DF">
              <w:rPr>
                <w:rFonts w:cs="Calibri"/>
              </w:rPr>
              <w:t xml:space="preserve"> </w:t>
            </w:r>
            <w:r w:rsidR="001B1FD9" w:rsidRPr="00DD47DF">
              <w:rPr>
                <w:rFonts w:cs="Calibri"/>
              </w:rPr>
              <w:t xml:space="preserve">Zlepšení přístupu, využití a kvality informačních a </w:t>
            </w:r>
            <w:r w:rsidR="001B1FD9" w:rsidRPr="00DD47DF">
              <w:rPr>
                <w:rFonts w:cs="Calibri"/>
              </w:rPr>
              <w:lastRenderedPageBreak/>
              <w:t>komunikačních technologií</w:t>
            </w:r>
          </w:p>
          <w:p w14:paraId="2ABCA66E" w14:textId="77777777" w:rsidR="00066396" w:rsidRPr="00DD47DF" w:rsidRDefault="00066396" w:rsidP="0022028B">
            <w:pPr>
              <w:pStyle w:val="Tabulka"/>
              <w:jc w:val="left"/>
              <w:rPr>
                <w:rFonts w:cs="Calibri"/>
              </w:rPr>
            </w:pPr>
          </w:p>
        </w:tc>
        <w:tc>
          <w:tcPr>
            <w:tcW w:w="1441" w:type="pct"/>
            <w:shd w:val="clear" w:color="auto" w:fill="DBE5F1"/>
            <w:vAlign w:val="center"/>
          </w:tcPr>
          <w:p w14:paraId="2249A54D" w14:textId="77777777" w:rsidR="00066396" w:rsidRPr="00DD47DF" w:rsidRDefault="00B54D2B" w:rsidP="0022028B">
            <w:pPr>
              <w:pStyle w:val="Tabulka"/>
              <w:jc w:val="left"/>
              <w:rPr>
                <w:rFonts w:cs="Calibri"/>
              </w:rPr>
            </w:pPr>
            <w:r w:rsidRPr="00DD47DF">
              <w:rPr>
                <w:rFonts w:cs="Calibri"/>
              </w:rPr>
              <w:lastRenderedPageBreak/>
              <w:t xml:space="preserve">2 a) </w:t>
            </w:r>
            <w:r w:rsidR="00066396" w:rsidRPr="00DD47DF">
              <w:rPr>
                <w:rFonts w:cs="Calibri"/>
              </w:rPr>
              <w:t>Rozšiřování širokopásmového připojení a zavádění vysokorychlostních sítí a podpora zavádění vznikajících technologií a sítí pro digitální hospodářství</w:t>
            </w:r>
          </w:p>
        </w:tc>
        <w:tc>
          <w:tcPr>
            <w:tcW w:w="2992" w:type="pct"/>
            <w:shd w:val="clear" w:color="auto" w:fill="auto"/>
          </w:tcPr>
          <w:p w14:paraId="7E573E8E" w14:textId="77777777" w:rsidR="0031231B" w:rsidRPr="00DD47DF" w:rsidRDefault="0031231B" w:rsidP="001B092B">
            <w:pPr>
              <w:pStyle w:val="Tabulka"/>
              <w:jc w:val="left"/>
              <w:rPr>
                <w:rFonts w:cs="Calibri"/>
                <w:bCs/>
                <w:u w:val="single"/>
              </w:rPr>
            </w:pPr>
            <w:r w:rsidRPr="00DD47DF">
              <w:rPr>
                <w:rFonts w:cs="Calibri"/>
                <w:bCs/>
                <w:u w:val="single"/>
              </w:rPr>
              <w:t>EU 2020</w:t>
            </w:r>
            <w:r w:rsidRPr="00DD47DF">
              <w:rPr>
                <w:rFonts w:cs="Calibri"/>
                <w:bCs/>
              </w:rPr>
              <w:t xml:space="preserve">: Stěžejní </w:t>
            </w:r>
            <w:r w:rsidRPr="00DD47DF">
              <w:rPr>
                <w:rFonts w:cs="Calibri"/>
              </w:rPr>
              <w:t xml:space="preserve">iniciativa </w:t>
            </w:r>
            <w:r w:rsidRPr="00DD47DF">
              <w:rPr>
                <w:rFonts w:cs="Calibri"/>
                <w:i/>
              </w:rPr>
              <w:t>Digitální agenda pro Evropu</w:t>
            </w:r>
          </w:p>
          <w:p w14:paraId="7407C7A4" w14:textId="77777777" w:rsidR="001B092B" w:rsidRPr="00DD47DF" w:rsidRDefault="001B092B" w:rsidP="001B092B">
            <w:pPr>
              <w:pStyle w:val="Tabulka"/>
              <w:jc w:val="left"/>
              <w:rPr>
                <w:rFonts w:cs="Calibri"/>
                <w:bCs/>
              </w:rPr>
            </w:pPr>
            <w:r w:rsidRPr="00DD47DF">
              <w:rPr>
                <w:rFonts w:cs="Calibri"/>
                <w:bCs/>
                <w:u w:val="single"/>
              </w:rPr>
              <w:t>NPR 201</w:t>
            </w:r>
            <w:r w:rsidR="000C080E" w:rsidRPr="00DD47DF">
              <w:rPr>
                <w:rFonts w:cs="Calibri"/>
                <w:bCs/>
                <w:u w:val="single"/>
              </w:rPr>
              <w:t>4</w:t>
            </w:r>
            <w:r w:rsidRPr="00DD47DF">
              <w:rPr>
                <w:rFonts w:cs="Calibri"/>
                <w:bCs/>
              </w:rPr>
              <w:t xml:space="preserve">: </w:t>
            </w:r>
            <w:r w:rsidR="000C080E" w:rsidRPr="00DD47DF">
              <w:rPr>
                <w:rFonts w:cs="Calibri"/>
                <w:bCs/>
              </w:rPr>
              <w:t>Podpora výstavby vysokorychlostních sítí elektronických komunikací</w:t>
            </w:r>
          </w:p>
          <w:p w14:paraId="6982DABB" w14:textId="77777777" w:rsidR="001B092B" w:rsidRPr="00DD47DF" w:rsidRDefault="001B092B" w:rsidP="001B092B">
            <w:pPr>
              <w:pStyle w:val="Tabulka"/>
              <w:jc w:val="left"/>
              <w:rPr>
                <w:rFonts w:cs="Calibri"/>
                <w:bCs/>
              </w:rPr>
            </w:pPr>
            <w:r w:rsidRPr="00DD47DF">
              <w:rPr>
                <w:rFonts w:cs="Calibri"/>
                <w:bCs/>
                <w:u w:val="single"/>
              </w:rPr>
              <w:t>SMK</w:t>
            </w:r>
            <w:r w:rsidRPr="00DD47DF">
              <w:rPr>
                <w:rFonts w:cs="Calibri"/>
                <w:bCs/>
              </w:rPr>
              <w:t xml:space="preserve">: Rozšíření přístupu k vysokorychlostnímu internetu, a to jak ve všech obydlených, tak v </w:t>
            </w:r>
            <w:r w:rsidRPr="00DD47DF">
              <w:rPr>
                <w:rFonts w:cs="Calibri"/>
                <w:bCs/>
              </w:rPr>
              <w:lastRenderedPageBreak/>
              <w:t>méně dostupných lokalitách, aby byla zvýšena možnost podnikání s využitím internetu</w:t>
            </w:r>
          </w:p>
          <w:p w14:paraId="5C0E3763" w14:textId="77777777" w:rsidR="00066396" w:rsidRPr="00DD47DF" w:rsidRDefault="001B092B" w:rsidP="001B092B">
            <w:pPr>
              <w:pStyle w:val="Tabulka"/>
              <w:jc w:val="left"/>
              <w:rPr>
                <w:rFonts w:cs="Calibri"/>
                <w:bCs/>
              </w:rPr>
            </w:pPr>
            <w:r w:rsidRPr="00DD47DF">
              <w:rPr>
                <w:rFonts w:cs="Calibri"/>
                <w:bCs/>
                <w:u w:val="single"/>
              </w:rPr>
              <w:t>Digitální Česko 2</w:t>
            </w:r>
            <w:r w:rsidRPr="00DD47DF">
              <w:rPr>
                <w:rFonts w:cs="Calibri"/>
                <w:bCs/>
              </w:rPr>
              <w:t>: Rozvíjet vysokorychlostní přístupové sítě k internetu umožňující přenosové rychlosti 30 Mbit/s do roku 2020 pro všechny obyvatele a 100 Mbit/s minimálně pro polovinu domácností</w:t>
            </w:r>
          </w:p>
          <w:p w14:paraId="286FA9AF" w14:textId="77777777" w:rsidR="00AD561F" w:rsidRPr="00DD47DF" w:rsidRDefault="00AD561F" w:rsidP="00AD561F">
            <w:pPr>
              <w:pStyle w:val="Tabulka"/>
              <w:jc w:val="left"/>
              <w:rPr>
                <w:rFonts w:cs="Calibri"/>
                <w:bCs/>
                <w:u w:val="single"/>
              </w:rPr>
            </w:pPr>
            <w:r w:rsidRPr="00DD47DF">
              <w:rPr>
                <w:rFonts w:cs="Calibri"/>
                <w:bCs/>
                <w:u w:val="single"/>
              </w:rPr>
              <w:t>Dohoda o partnerství:</w:t>
            </w:r>
          </w:p>
          <w:p w14:paraId="5ECD5472" w14:textId="77777777" w:rsidR="00AD561F" w:rsidRPr="00DD47DF" w:rsidRDefault="00AD561F" w:rsidP="00AD561F">
            <w:pPr>
              <w:pStyle w:val="Tabulka"/>
              <w:jc w:val="left"/>
              <w:rPr>
                <w:rFonts w:cs="Calibri"/>
                <w:b/>
                <w:bCs/>
              </w:rPr>
            </w:pPr>
            <w:r w:rsidRPr="00DD47DF">
              <w:rPr>
                <w:rFonts w:cs="Calibri"/>
                <w:b/>
                <w:bCs/>
              </w:rPr>
              <w:t>Problémová oblast:</w:t>
            </w:r>
            <w:r w:rsidRPr="00DD47DF">
              <w:rPr>
                <w:rFonts w:cs="Calibri"/>
                <w:bCs/>
              </w:rPr>
              <w:t xml:space="preserve"> ICT infrastruktura</w:t>
            </w:r>
          </w:p>
          <w:p w14:paraId="062D8A43" w14:textId="77777777" w:rsidR="00AD561F" w:rsidRPr="00DD47DF" w:rsidRDefault="00AD561F" w:rsidP="00AD561F">
            <w:pPr>
              <w:pStyle w:val="Tabulka"/>
              <w:jc w:val="left"/>
              <w:rPr>
                <w:rFonts w:cs="Calibri"/>
                <w:bCs/>
              </w:rPr>
            </w:pPr>
            <w:r w:rsidRPr="00DD47DF">
              <w:rPr>
                <w:rFonts w:cs="Calibri"/>
                <w:b/>
                <w:bCs/>
              </w:rPr>
              <w:t>Identifikované problémy relevantní pro OP PIK:</w:t>
            </w:r>
            <w:r w:rsidRPr="00DD47DF">
              <w:rPr>
                <w:rFonts w:cs="Calibri"/>
                <w:bCs/>
              </w:rPr>
              <w:t xml:space="preserve"> Nedostatečné pokrytí vysokorychlostním internetem především venkovského území</w:t>
            </w:r>
          </w:p>
          <w:p w14:paraId="1C1DCE96" w14:textId="77777777" w:rsidR="00AD561F" w:rsidRPr="00DD47DF" w:rsidRDefault="00AD561F" w:rsidP="00AD561F">
            <w:pPr>
              <w:pStyle w:val="Tabulka"/>
              <w:jc w:val="left"/>
              <w:rPr>
                <w:rFonts w:cs="Calibri"/>
                <w:bCs/>
                <w:u w:val="single"/>
              </w:rPr>
            </w:pPr>
            <w:r w:rsidRPr="00DD47DF">
              <w:rPr>
                <w:rFonts w:cs="Calibri"/>
                <w:b/>
                <w:bCs/>
              </w:rPr>
              <w:t>Priorita financování:</w:t>
            </w:r>
            <w:r w:rsidRPr="00DD47DF">
              <w:rPr>
                <w:b/>
                <w:szCs w:val="24"/>
              </w:rPr>
              <w:t xml:space="preserve"> </w:t>
            </w:r>
            <w:r w:rsidRPr="00DD47DF">
              <w:rPr>
                <w:szCs w:val="24"/>
              </w:rPr>
              <w:t>Udržitelná infrastruktura umožňující konkurenceschopnost ekonomiky a odpovídající obslužnost území</w:t>
            </w:r>
          </w:p>
        </w:tc>
      </w:tr>
      <w:tr w:rsidR="00066396" w:rsidRPr="00DD47DF" w14:paraId="0687F307" w14:textId="77777777">
        <w:trPr>
          <w:jc w:val="center"/>
        </w:trPr>
        <w:tc>
          <w:tcPr>
            <w:tcW w:w="567" w:type="pct"/>
            <w:vMerge/>
            <w:shd w:val="clear" w:color="auto" w:fill="B8CCE4"/>
            <w:vAlign w:val="center"/>
          </w:tcPr>
          <w:p w14:paraId="7632721E" w14:textId="77777777" w:rsidR="00066396" w:rsidRPr="00DD47DF" w:rsidRDefault="00066396" w:rsidP="0022028B">
            <w:pPr>
              <w:pStyle w:val="Tabulka"/>
              <w:jc w:val="left"/>
              <w:rPr>
                <w:rFonts w:cs="Calibri"/>
              </w:rPr>
            </w:pPr>
          </w:p>
        </w:tc>
        <w:tc>
          <w:tcPr>
            <w:tcW w:w="1441" w:type="pct"/>
            <w:shd w:val="clear" w:color="auto" w:fill="DBE5F1"/>
            <w:vAlign w:val="center"/>
          </w:tcPr>
          <w:p w14:paraId="0850D40D" w14:textId="77777777" w:rsidR="00066396" w:rsidRPr="00DD47DF" w:rsidRDefault="00B54D2B" w:rsidP="0022028B">
            <w:pPr>
              <w:pStyle w:val="Tabulka"/>
              <w:jc w:val="left"/>
              <w:rPr>
                <w:rFonts w:cs="Calibri"/>
              </w:rPr>
            </w:pPr>
            <w:r w:rsidRPr="00DD47DF">
              <w:rPr>
                <w:rFonts w:cs="Calibri"/>
              </w:rPr>
              <w:t xml:space="preserve">2 b) </w:t>
            </w:r>
            <w:r w:rsidR="007A45F6" w:rsidRPr="00DD47DF">
              <w:rPr>
                <w:rFonts w:cs="Calibri"/>
              </w:rPr>
              <w:t>Vyvíjení produktů a služeb v oblasti IKT, elektronický obchod a zvyšování poptávky po IKT</w:t>
            </w:r>
          </w:p>
          <w:p w14:paraId="1FE3A09C" w14:textId="77777777" w:rsidR="00066396" w:rsidRPr="00DD47DF" w:rsidRDefault="00066396" w:rsidP="0022028B">
            <w:pPr>
              <w:pStyle w:val="Tabulka"/>
              <w:jc w:val="left"/>
              <w:rPr>
                <w:rFonts w:cs="Calibri"/>
              </w:rPr>
            </w:pPr>
          </w:p>
        </w:tc>
        <w:tc>
          <w:tcPr>
            <w:tcW w:w="2992" w:type="pct"/>
            <w:shd w:val="clear" w:color="auto" w:fill="auto"/>
          </w:tcPr>
          <w:p w14:paraId="7A9548C0" w14:textId="77777777" w:rsidR="00A863BB" w:rsidRPr="00DD47DF" w:rsidRDefault="00A863BB" w:rsidP="0022028B">
            <w:pPr>
              <w:pStyle w:val="Tabulka"/>
              <w:jc w:val="left"/>
              <w:rPr>
                <w:rFonts w:cs="Calibri"/>
              </w:rPr>
            </w:pPr>
            <w:r w:rsidRPr="00DD47DF">
              <w:rPr>
                <w:rFonts w:cs="Calibri"/>
                <w:bCs/>
                <w:u w:val="single"/>
              </w:rPr>
              <w:t>N</w:t>
            </w:r>
            <w:r w:rsidR="001B092B" w:rsidRPr="00DD47DF">
              <w:rPr>
                <w:rFonts w:cs="Calibri"/>
                <w:bCs/>
                <w:u w:val="single"/>
              </w:rPr>
              <w:t>PR</w:t>
            </w:r>
            <w:r w:rsidRPr="00DD47DF">
              <w:rPr>
                <w:rFonts w:cs="Calibri"/>
                <w:bCs/>
                <w:u w:val="single"/>
              </w:rPr>
              <w:t xml:space="preserve"> 201</w:t>
            </w:r>
            <w:r w:rsidR="000C080E" w:rsidRPr="00DD47DF">
              <w:rPr>
                <w:rFonts w:cs="Calibri"/>
                <w:bCs/>
                <w:u w:val="single"/>
              </w:rPr>
              <w:t>4</w:t>
            </w:r>
            <w:r w:rsidRPr="00DD47DF">
              <w:rPr>
                <w:rFonts w:cs="Calibri"/>
                <w:bCs/>
              </w:rPr>
              <w:t>:</w:t>
            </w:r>
            <w:r w:rsidRPr="00DD47DF">
              <w:rPr>
                <w:rFonts w:cs="Calibri"/>
              </w:rPr>
              <w:t xml:space="preserve"> </w:t>
            </w:r>
            <w:r w:rsidR="000C080E" w:rsidRPr="00DD47DF">
              <w:rPr>
                <w:rFonts w:cs="Calibri"/>
                <w:bCs/>
              </w:rPr>
              <w:t>Podpora zvyšování dostupnosti ICT</w:t>
            </w:r>
          </w:p>
          <w:p w14:paraId="4C14E3E9" w14:textId="77777777" w:rsidR="00F41CE5" w:rsidRPr="00DD47DF" w:rsidRDefault="00F41CE5" w:rsidP="00F41CE5">
            <w:pPr>
              <w:pStyle w:val="Tabulka"/>
              <w:jc w:val="left"/>
              <w:rPr>
                <w:rFonts w:cs="Calibri"/>
                <w:bCs/>
              </w:rPr>
            </w:pPr>
            <w:r w:rsidRPr="00DD47DF">
              <w:rPr>
                <w:rFonts w:cs="Calibri"/>
                <w:bCs/>
                <w:u w:val="single"/>
              </w:rPr>
              <w:t>Poziční dokument</w:t>
            </w:r>
            <w:r w:rsidRPr="00DD47DF">
              <w:rPr>
                <w:rFonts w:cs="Calibri"/>
                <w:bCs/>
              </w:rPr>
              <w:t>: Rozvoj digitálních služeb a kompetencí a kvality informačních a komunikačních technologií</w:t>
            </w:r>
            <w:r w:rsidR="001B092B" w:rsidRPr="00DD47DF">
              <w:rPr>
                <w:rFonts w:cs="Calibri"/>
                <w:bCs/>
              </w:rPr>
              <w:t xml:space="preserve"> a lepší přístup ke školení, poradenství a službám v rámci ICT pro malé a střední podniky</w:t>
            </w:r>
          </w:p>
          <w:p w14:paraId="58784CB7" w14:textId="77777777" w:rsidR="00066396" w:rsidRPr="00DD47DF" w:rsidRDefault="00066396" w:rsidP="001B092B">
            <w:pPr>
              <w:pStyle w:val="Tabulka"/>
              <w:jc w:val="left"/>
              <w:rPr>
                <w:rFonts w:cs="Calibri"/>
                <w:bCs/>
              </w:rPr>
            </w:pPr>
            <w:r w:rsidRPr="00DD47DF">
              <w:rPr>
                <w:rFonts w:cs="Calibri"/>
                <w:bCs/>
                <w:u w:val="single"/>
              </w:rPr>
              <w:t xml:space="preserve">Koncepce podpory </w:t>
            </w:r>
            <w:r w:rsidR="001B092B" w:rsidRPr="00DD47DF">
              <w:rPr>
                <w:rFonts w:cs="Calibri"/>
                <w:bCs/>
                <w:u w:val="single"/>
              </w:rPr>
              <w:t>MSP</w:t>
            </w:r>
            <w:r w:rsidRPr="00DD47DF">
              <w:rPr>
                <w:rFonts w:cs="Calibri"/>
                <w:bCs/>
              </w:rPr>
              <w:t xml:space="preserve">: </w:t>
            </w:r>
            <w:r w:rsidR="001B092B" w:rsidRPr="00DD47DF">
              <w:rPr>
                <w:rFonts w:cs="Calibri"/>
                <w:bCs/>
              </w:rPr>
              <w:t xml:space="preserve">Podpora aktivit zaměřených na rozvoj digitální ekonomiky, neboť </w:t>
            </w:r>
            <w:r w:rsidR="00197903" w:rsidRPr="00DD47DF">
              <w:rPr>
                <w:rFonts w:cs="Calibri"/>
                <w:bCs/>
              </w:rPr>
              <w:t>ICT technologie podporují inovační procesy</w:t>
            </w:r>
            <w:r w:rsidR="001B092B" w:rsidRPr="00DD47DF">
              <w:rPr>
                <w:rFonts w:cs="Calibri"/>
                <w:bCs/>
              </w:rPr>
              <w:t>;</w:t>
            </w:r>
            <w:r w:rsidR="00197903" w:rsidRPr="00DD47DF">
              <w:rPr>
                <w:rFonts w:cs="Calibri"/>
                <w:bCs/>
              </w:rPr>
              <w:t xml:space="preserve"> rozvoj ICT v</w:t>
            </w:r>
            <w:r w:rsidR="008476DD" w:rsidRPr="00DD47DF">
              <w:rPr>
                <w:rFonts w:cs="Calibri"/>
                <w:bCs/>
              </w:rPr>
              <w:t> </w:t>
            </w:r>
            <w:r w:rsidR="00197903" w:rsidRPr="00DD47DF">
              <w:rPr>
                <w:rFonts w:cs="Calibri"/>
                <w:bCs/>
              </w:rPr>
              <w:t>podnicích</w:t>
            </w:r>
            <w:r w:rsidR="008476DD" w:rsidRPr="00DD47DF">
              <w:rPr>
                <w:rFonts w:cs="Calibri"/>
                <w:bCs/>
              </w:rPr>
              <w:t xml:space="preserve"> a centr</w:t>
            </w:r>
            <w:r w:rsidR="001B092B" w:rsidRPr="00DD47DF">
              <w:rPr>
                <w:rFonts w:cs="Calibri"/>
                <w:bCs/>
              </w:rPr>
              <w:t>ech</w:t>
            </w:r>
            <w:r w:rsidR="008476DD" w:rsidRPr="00DD47DF">
              <w:rPr>
                <w:rFonts w:cs="Calibri"/>
                <w:bCs/>
              </w:rPr>
              <w:t xml:space="preserve"> progresivních ICT služeb</w:t>
            </w:r>
          </w:p>
          <w:p w14:paraId="1A23F7FA" w14:textId="77777777" w:rsidR="00AD561F" w:rsidRPr="00DD47DF" w:rsidRDefault="00AD561F" w:rsidP="00AD561F">
            <w:pPr>
              <w:pStyle w:val="Tabulka"/>
              <w:jc w:val="left"/>
              <w:rPr>
                <w:rFonts w:cs="Calibri"/>
                <w:bCs/>
                <w:u w:val="single"/>
              </w:rPr>
            </w:pPr>
            <w:r w:rsidRPr="00DD47DF">
              <w:rPr>
                <w:rFonts w:cs="Calibri"/>
                <w:bCs/>
                <w:u w:val="single"/>
              </w:rPr>
              <w:t>Dohoda o partnerství:</w:t>
            </w:r>
          </w:p>
          <w:p w14:paraId="70ECF015" w14:textId="77777777" w:rsidR="00AD561F" w:rsidRPr="00DD47DF" w:rsidRDefault="00AD561F" w:rsidP="00AD561F">
            <w:pPr>
              <w:pStyle w:val="Tabulka"/>
              <w:jc w:val="left"/>
              <w:rPr>
                <w:rFonts w:cs="Calibri"/>
                <w:b/>
                <w:bCs/>
              </w:rPr>
            </w:pPr>
            <w:r w:rsidRPr="00DD47DF">
              <w:rPr>
                <w:rFonts w:cs="Calibri"/>
                <w:b/>
                <w:bCs/>
              </w:rPr>
              <w:t>Problémová oblast:</w:t>
            </w:r>
            <w:r w:rsidRPr="00DD47DF">
              <w:rPr>
                <w:rFonts w:cs="Calibri"/>
                <w:bCs/>
              </w:rPr>
              <w:t xml:space="preserve"> </w:t>
            </w:r>
            <w:r w:rsidR="00CC45C6" w:rsidRPr="00DD47DF">
              <w:rPr>
                <w:rFonts w:cs="Calibri"/>
                <w:bCs/>
              </w:rPr>
              <w:t>I</w:t>
            </w:r>
            <w:r w:rsidRPr="00DD47DF">
              <w:rPr>
                <w:rFonts w:cs="Calibri"/>
                <w:bCs/>
              </w:rPr>
              <w:t>CT infrastruktura</w:t>
            </w:r>
          </w:p>
          <w:p w14:paraId="4CC353A8" w14:textId="77777777" w:rsidR="00AD561F" w:rsidRPr="00DD47DF" w:rsidRDefault="00AD561F" w:rsidP="00AD561F">
            <w:pPr>
              <w:pStyle w:val="Tabulka"/>
              <w:jc w:val="left"/>
              <w:rPr>
                <w:rFonts w:cs="Calibri"/>
                <w:bCs/>
              </w:rPr>
            </w:pPr>
            <w:r w:rsidRPr="00DD47DF">
              <w:rPr>
                <w:rFonts w:cs="Calibri"/>
                <w:b/>
                <w:bCs/>
              </w:rPr>
              <w:t>Identifikované problémy relevantní pro OP PIK:</w:t>
            </w:r>
            <w:r w:rsidRPr="00DD47DF">
              <w:rPr>
                <w:rFonts w:cs="Calibri"/>
                <w:bCs/>
              </w:rPr>
              <w:t xml:space="preserve"> Nedostatečná nabídka ICT služeb </w:t>
            </w:r>
          </w:p>
          <w:p w14:paraId="7C6D41F3" w14:textId="77777777" w:rsidR="00AD561F" w:rsidRPr="00DD47DF" w:rsidRDefault="00AD561F" w:rsidP="00AD561F">
            <w:pPr>
              <w:pStyle w:val="Tabulka"/>
              <w:jc w:val="left"/>
              <w:rPr>
                <w:rFonts w:cs="Calibri"/>
              </w:rPr>
            </w:pPr>
            <w:r w:rsidRPr="00DD47DF">
              <w:rPr>
                <w:rFonts w:cs="Calibri"/>
                <w:b/>
                <w:bCs/>
              </w:rPr>
              <w:t>Priorita financování:</w:t>
            </w:r>
            <w:r w:rsidRPr="00DD47DF">
              <w:rPr>
                <w:b/>
                <w:szCs w:val="24"/>
              </w:rPr>
              <w:t xml:space="preserve"> </w:t>
            </w:r>
            <w:r w:rsidRPr="00DD47DF">
              <w:rPr>
                <w:szCs w:val="24"/>
              </w:rPr>
              <w:t xml:space="preserve">Udržitelná infrastruktura umožňující konkurenceschopnost ekonomiky </w:t>
            </w:r>
            <w:r w:rsidR="00CC45C6" w:rsidRPr="00DD47DF">
              <w:rPr>
                <w:szCs w:val="24"/>
              </w:rPr>
              <w:t>a odpovídající obslužnost území</w:t>
            </w:r>
          </w:p>
        </w:tc>
      </w:tr>
      <w:tr w:rsidR="00A863BB" w:rsidRPr="00DD47DF" w14:paraId="0D50544F" w14:textId="77777777">
        <w:trPr>
          <w:jc w:val="center"/>
        </w:trPr>
        <w:tc>
          <w:tcPr>
            <w:tcW w:w="567" w:type="pct"/>
            <w:vMerge w:val="restart"/>
            <w:shd w:val="clear" w:color="auto" w:fill="B8CCE4"/>
            <w:vAlign w:val="center"/>
          </w:tcPr>
          <w:p w14:paraId="28830ED0" w14:textId="77777777" w:rsidR="00A863BB" w:rsidRPr="00DD47DF" w:rsidRDefault="009D7E8A" w:rsidP="0022028B">
            <w:pPr>
              <w:pStyle w:val="Tabulka"/>
              <w:jc w:val="left"/>
              <w:rPr>
                <w:rFonts w:cs="Calibri"/>
              </w:rPr>
            </w:pPr>
            <w:r w:rsidRPr="00DD47DF">
              <w:rPr>
                <w:rFonts w:cs="Calibri"/>
              </w:rPr>
              <w:t>3</w:t>
            </w:r>
            <w:r w:rsidR="00CC5E04" w:rsidRPr="00DD47DF">
              <w:rPr>
                <w:rFonts w:cs="Calibri"/>
              </w:rPr>
              <w:t>)</w:t>
            </w:r>
            <w:r w:rsidR="00A863BB" w:rsidRPr="00DD47DF">
              <w:rPr>
                <w:rFonts w:cs="Calibri"/>
              </w:rPr>
              <w:t xml:space="preserve"> Zvýšení konkurenceschopnosti malých a středních podniků, odvětví zemědělství (v </w:t>
            </w:r>
            <w:r w:rsidR="00A863BB" w:rsidRPr="00DD47DF">
              <w:rPr>
                <w:rFonts w:cs="Calibri"/>
              </w:rPr>
              <w:lastRenderedPageBreak/>
              <w:t xml:space="preserve">případě EZFRV) a rybářství a akvakultury (v případě </w:t>
            </w:r>
            <w:r w:rsidR="001B1FD9" w:rsidRPr="00DD47DF">
              <w:rPr>
                <w:rFonts w:cs="Calibri"/>
              </w:rPr>
              <w:t>EMFF</w:t>
            </w:r>
            <w:r w:rsidR="00A863BB" w:rsidRPr="00DD47DF">
              <w:rPr>
                <w:rFonts w:cs="Calibri"/>
              </w:rPr>
              <w:t>)</w:t>
            </w:r>
          </w:p>
          <w:p w14:paraId="46DC0F0A" w14:textId="77777777" w:rsidR="00A863BB" w:rsidRPr="00DD47DF" w:rsidRDefault="00A863BB" w:rsidP="0022028B">
            <w:pPr>
              <w:pStyle w:val="Tabulka"/>
              <w:jc w:val="left"/>
              <w:rPr>
                <w:rFonts w:cs="Calibri"/>
              </w:rPr>
            </w:pPr>
          </w:p>
        </w:tc>
        <w:tc>
          <w:tcPr>
            <w:tcW w:w="1441" w:type="pct"/>
            <w:shd w:val="clear" w:color="auto" w:fill="DBE5F1"/>
            <w:vAlign w:val="center"/>
          </w:tcPr>
          <w:p w14:paraId="0339C56F" w14:textId="77777777" w:rsidR="00A863BB" w:rsidRPr="00DD47DF" w:rsidRDefault="00B54D2B" w:rsidP="00F27EC3">
            <w:pPr>
              <w:pStyle w:val="Tabulka"/>
              <w:jc w:val="left"/>
              <w:rPr>
                <w:rFonts w:cs="Calibri"/>
              </w:rPr>
            </w:pPr>
            <w:r w:rsidRPr="00DD47DF">
              <w:rPr>
                <w:rFonts w:cs="Calibri"/>
              </w:rPr>
              <w:lastRenderedPageBreak/>
              <w:t xml:space="preserve">3 a) </w:t>
            </w:r>
            <w:r w:rsidR="00DB5E8B" w:rsidRPr="00DD47DF">
              <w:rPr>
                <w:rFonts w:cs="Calibri"/>
              </w:rPr>
              <w:t>P</w:t>
            </w:r>
            <w:r w:rsidR="00F27EC3" w:rsidRPr="00DD47DF">
              <w:rPr>
                <w:rFonts w:cs="Calibri"/>
              </w:rPr>
              <w:t>odpora podnikání, zejména usnadněním hospodářského využívání nových myšlenek a podporou zakládání nových firem</w:t>
            </w:r>
            <w:r w:rsidR="00A863BB" w:rsidRPr="00DD47DF">
              <w:rPr>
                <w:rFonts w:cs="Calibri"/>
              </w:rPr>
              <w:t>, mimo jiné prostřednictvím podnikatelských inkubátorů</w:t>
            </w:r>
          </w:p>
        </w:tc>
        <w:tc>
          <w:tcPr>
            <w:tcW w:w="2992" w:type="pct"/>
            <w:shd w:val="clear" w:color="auto" w:fill="auto"/>
          </w:tcPr>
          <w:p w14:paraId="5A57DBC9" w14:textId="77777777" w:rsidR="00F27EC3" w:rsidRPr="00DD47DF" w:rsidRDefault="00F27EC3" w:rsidP="0022028B">
            <w:pPr>
              <w:pStyle w:val="Tabulka"/>
              <w:jc w:val="left"/>
              <w:rPr>
                <w:rFonts w:cs="Calibri"/>
                <w:bCs/>
                <w:u w:val="single"/>
              </w:rPr>
            </w:pPr>
            <w:r w:rsidRPr="00DD47DF">
              <w:rPr>
                <w:rFonts w:cs="Calibri"/>
                <w:bCs/>
                <w:u w:val="single"/>
              </w:rPr>
              <w:t>EU 2020</w:t>
            </w:r>
            <w:r w:rsidRPr="00DD47DF">
              <w:rPr>
                <w:rFonts w:cs="Calibri"/>
                <w:bCs/>
              </w:rPr>
              <w:t xml:space="preserve">: Zvýšit zaměstnanost v kategorii 20–64 let na 75 %, stěžejní iniciativa </w:t>
            </w:r>
            <w:r w:rsidRPr="00DD47DF">
              <w:rPr>
                <w:rFonts w:cs="Calibri"/>
                <w:bCs/>
                <w:i/>
              </w:rPr>
              <w:t>Průmyslová politika pro éru globalizace</w:t>
            </w:r>
          </w:p>
          <w:p w14:paraId="77978B28" w14:textId="77777777" w:rsidR="00674E89" w:rsidRPr="00DD47DF" w:rsidRDefault="00674E89" w:rsidP="0022028B">
            <w:pPr>
              <w:pStyle w:val="Tabulka"/>
              <w:jc w:val="left"/>
              <w:rPr>
                <w:rFonts w:cs="Calibri"/>
                <w:bCs/>
              </w:rPr>
            </w:pPr>
            <w:r w:rsidRPr="00DD47DF">
              <w:rPr>
                <w:rFonts w:cs="Calibri"/>
                <w:bCs/>
                <w:u w:val="single"/>
              </w:rPr>
              <w:t>N</w:t>
            </w:r>
            <w:r w:rsidR="00CE6947" w:rsidRPr="00DD47DF">
              <w:rPr>
                <w:rFonts w:cs="Calibri"/>
                <w:bCs/>
                <w:u w:val="single"/>
              </w:rPr>
              <w:t>PR</w:t>
            </w:r>
            <w:r w:rsidRPr="00DD47DF">
              <w:rPr>
                <w:rFonts w:cs="Calibri"/>
                <w:bCs/>
                <w:u w:val="single"/>
              </w:rPr>
              <w:t xml:space="preserve"> 201</w:t>
            </w:r>
            <w:r w:rsidR="000C080E" w:rsidRPr="00DD47DF">
              <w:rPr>
                <w:rFonts w:cs="Calibri"/>
                <w:bCs/>
                <w:u w:val="single"/>
              </w:rPr>
              <w:t>4</w:t>
            </w:r>
            <w:r w:rsidRPr="00DD47DF">
              <w:rPr>
                <w:rFonts w:cs="Calibri"/>
                <w:bCs/>
              </w:rPr>
              <w:t xml:space="preserve">: </w:t>
            </w:r>
            <w:r w:rsidR="001B7C6F" w:rsidRPr="00DD47DF">
              <w:rPr>
                <w:rFonts w:cs="Calibri"/>
                <w:bCs/>
              </w:rPr>
              <w:t>Rozvoj malých a středních podniků, včetně podpory rozvojového a provozního financování</w:t>
            </w:r>
          </w:p>
          <w:p w14:paraId="0BC265E9" w14:textId="77777777" w:rsidR="003F6EA6" w:rsidRPr="00DD47DF" w:rsidRDefault="003F6EA6" w:rsidP="0022028B">
            <w:pPr>
              <w:pStyle w:val="Tabulka"/>
              <w:jc w:val="left"/>
              <w:rPr>
                <w:rFonts w:cs="Calibri"/>
                <w:bCs/>
              </w:rPr>
            </w:pPr>
            <w:r w:rsidRPr="00DD47DF">
              <w:rPr>
                <w:rFonts w:cs="Calibri"/>
                <w:bCs/>
                <w:u w:val="single"/>
              </w:rPr>
              <w:t>Poziční dokument</w:t>
            </w:r>
            <w:r w:rsidRPr="00DD47DF">
              <w:rPr>
                <w:rFonts w:cs="Calibri"/>
                <w:bCs/>
              </w:rPr>
              <w:t xml:space="preserve">: </w:t>
            </w:r>
            <w:r w:rsidR="0005361C" w:rsidRPr="00DD47DF">
              <w:rPr>
                <w:rFonts w:cs="Calibri"/>
                <w:bCs/>
              </w:rPr>
              <w:t xml:space="preserve">Rozvoj služeb poradenství </w:t>
            </w:r>
            <w:r w:rsidR="00D311DF" w:rsidRPr="00DD47DF">
              <w:rPr>
                <w:rFonts w:cs="Calibri"/>
                <w:bCs/>
              </w:rPr>
              <w:t>při</w:t>
            </w:r>
            <w:r w:rsidR="0005361C" w:rsidRPr="00DD47DF">
              <w:rPr>
                <w:rFonts w:cs="Calibri"/>
                <w:bCs/>
              </w:rPr>
              <w:t xml:space="preserve"> zakládání nových podniků; </w:t>
            </w:r>
            <w:r w:rsidR="00D311DF" w:rsidRPr="00DD47DF">
              <w:rPr>
                <w:rFonts w:cs="Calibri"/>
                <w:bCs/>
              </w:rPr>
              <w:t>v</w:t>
            </w:r>
            <w:r w:rsidR="004B2B4D" w:rsidRPr="00DD47DF">
              <w:rPr>
                <w:rFonts w:cs="Calibri"/>
                <w:bCs/>
              </w:rPr>
              <w:t xml:space="preserve">ytvoření škály finančních nástrojů na podporu zakládání nových </w:t>
            </w:r>
            <w:r w:rsidR="00D311DF" w:rsidRPr="00DD47DF">
              <w:rPr>
                <w:rFonts w:cs="Calibri"/>
                <w:bCs/>
              </w:rPr>
              <w:t>podniků</w:t>
            </w:r>
            <w:r w:rsidR="004B2B4D" w:rsidRPr="00DD47DF">
              <w:rPr>
                <w:rFonts w:cs="Calibri"/>
                <w:bCs/>
              </w:rPr>
              <w:t xml:space="preserve"> a pro rozvoj stávajících </w:t>
            </w:r>
            <w:r w:rsidR="00D311DF" w:rsidRPr="00DD47DF">
              <w:rPr>
                <w:rFonts w:cs="Calibri"/>
                <w:bCs/>
              </w:rPr>
              <w:t>firem</w:t>
            </w:r>
            <w:r w:rsidR="004B2B4D" w:rsidRPr="00DD47DF">
              <w:rPr>
                <w:rFonts w:cs="Calibri"/>
                <w:bCs/>
              </w:rPr>
              <w:t xml:space="preserve"> </w:t>
            </w:r>
            <w:r w:rsidR="004B2B4D" w:rsidRPr="00DD47DF">
              <w:rPr>
                <w:rFonts w:cs="Calibri"/>
                <w:bCs/>
              </w:rPr>
              <w:lastRenderedPageBreak/>
              <w:t>s potenciálem růstu</w:t>
            </w:r>
          </w:p>
          <w:p w14:paraId="3BCC502B" w14:textId="77777777" w:rsidR="00F27EC3" w:rsidRPr="00DD47DF" w:rsidRDefault="00F27EC3" w:rsidP="0022028B">
            <w:pPr>
              <w:pStyle w:val="Tabulka"/>
              <w:jc w:val="left"/>
              <w:rPr>
                <w:rFonts w:cs="Calibri"/>
                <w:bCs/>
              </w:rPr>
            </w:pPr>
            <w:r w:rsidRPr="00DD47DF">
              <w:rPr>
                <w:rFonts w:cs="Calibri"/>
                <w:bCs/>
                <w:u w:val="single"/>
              </w:rPr>
              <w:t>SMK</w:t>
            </w:r>
            <w:r w:rsidRPr="00DD47DF">
              <w:rPr>
                <w:rFonts w:cs="Calibri"/>
                <w:bCs/>
              </w:rPr>
              <w:t>: Rozvoj alternativních zdrojů financování pro podnikatelské záměry (např. seed fond)</w:t>
            </w:r>
          </w:p>
          <w:p w14:paraId="282C6820" w14:textId="77777777" w:rsidR="00A863BB" w:rsidRPr="00DD47DF" w:rsidRDefault="000075B7" w:rsidP="00CE6947">
            <w:pPr>
              <w:pStyle w:val="Tabulka"/>
              <w:jc w:val="left"/>
              <w:rPr>
                <w:rFonts w:cs="Calibri"/>
                <w:bCs/>
              </w:rPr>
            </w:pPr>
            <w:r w:rsidRPr="00DD47DF">
              <w:rPr>
                <w:rFonts w:cs="Calibri"/>
                <w:bCs/>
                <w:u w:val="single"/>
              </w:rPr>
              <w:t>Koncepce podpory MSP</w:t>
            </w:r>
            <w:r w:rsidRPr="00DD47DF">
              <w:rPr>
                <w:rFonts w:cs="Calibri"/>
                <w:bCs/>
              </w:rPr>
              <w:t xml:space="preserve">: Za </w:t>
            </w:r>
            <w:r w:rsidR="00F27EC3" w:rsidRPr="00DD47DF">
              <w:rPr>
                <w:rFonts w:cs="Calibri"/>
                <w:bCs/>
              </w:rPr>
              <w:t>jeden z podstatných nedostatků</w:t>
            </w:r>
            <w:r w:rsidRPr="00DD47DF">
              <w:rPr>
                <w:rFonts w:cs="Calibri"/>
                <w:bCs/>
              </w:rPr>
              <w:t xml:space="preserve"> inovačního systému ČR lze považovat</w:t>
            </w:r>
            <w:r w:rsidR="00E97A52" w:rsidRPr="00DD47DF">
              <w:rPr>
                <w:rFonts w:cs="Calibri"/>
                <w:bCs/>
              </w:rPr>
              <w:t xml:space="preserve"> relativně nižší dostupnost finančních zdrojů </w:t>
            </w:r>
            <w:r w:rsidR="00CE6947" w:rsidRPr="00DD47DF">
              <w:rPr>
                <w:rFonts w:cs="Calibri"/>
                <w:bCs/>
              </w:rPr>
              <w:t>ve formě rizikového kapitálu</w:t>
            </w:r>
          </w:p>
          <w:p w14:paraId="4AA359AF" w14:textId="77777777" w:rsidR="00AD561F" w:rsidRPr="00DD47DF" w:rsidRDefault="00AD561F" w:rsidP="00AD561F">
            <w:pPr>
              <w:pStyle w:val="Tabulka"/>
              <w:jc w:val="left"/>
              <w:rPr>
                <w:rFonts w:cs="Calibri"/>
                <w:bCs/>
                <w:u w:val="single"/>
              </w:rPr>
            </w:pPr>
            <w:r w:rsidRPr="00DD47DF">
              <w:rPr>
                <w:rFonts w:cs="Calibri"/>
                <w:bCs/>
                <w:u w:val="single"/>
              </w:rPr>
              <w:t>Dohoda o partnerství:</w:t>
            </w:r>
          </w:p>
          <w:p w14:paraId="77B4620B" w14:textId="77777777" w:rsidR="00AD561F" w:rsidRPr="00DD47DF" w:rsidRDefault="00AD561F" w:rsidP="00AD561F">
            <w:pPr>
              <w:pStyle w:val="Tabulka"/>
              <w:jc w:val="left"/>
              <w:rPr>
                <w:rFonts w:cs="Calibri"/>
                <w:b/>
                <w:bCs/>
              </w:rPr>
            </w:pPr>
            <w:r w:rsidRPr="00DD47DF">
              <w:rPr>
                <w:rFonts w:cs="Calibri"/>
                <w:b/>
                <w:bCs/>
              </w:rPr>
              <w:t>Problémová oblast:</w:t>
            </w:r>
            <w:r w:rsidRPr="00DD47DF">
              <w:rPr>
                <w:rFonts w:cs="Calibri"/>
                <w:bCs/>
              </w:rPr>
              <w:t xml:space="preserve"> Konkurenceschopné podniky</w:t>
            </w:r>
          </w:p>
          <w:p w14:paraId="5E22272C" w14:textId="77777777" w:rsidR="00AD561F" w:rsidRPr="00DD47DF" w:rsidRDefault="00AD561F" w:rsidP="00AD561F">
            <w:pPr>
              <w:pStyle w:val="Tabulka"/>
              <w:jc w:val="left"/>
              <w:rPr>
                <w:rFonts w:cs="Calibri"/>
                <w:bCs/>
              </w:rPr>
            </w:pPr>
            <w:r w:rsidRPr="00DD47DF">
              <w:rPr>
                <w:rFonts w:cs="Calibri"/>
                <w:b/>
                <w:bCs/>
              </w:rPr>
              <w:t>Identifikované problémy relevantní pro OP PIK:</w:t>
            </w:r>
            <w:r w:rsidRPr="00DD47DF">
              <w:rPr>
                <w:rFonts w:cs="Calibri"/>
                <w:bCs/>
              </w:rPr>
              <w:t xml:space="preserve"> Slabý endogenní podnikatelský sektor</w:t>
            </w:r>
          </w:p>
          <w:p w14:paraId="5F45A178" w14:textId="77777777" w:rsidR="00AD561F" w:rsidRPr="00DD47DF" w:rsidRDefault="00AD561F" w:rsidP="00AD561F">
            <w:pPr>
              <w:pStyle w:val="Tabulka"/>
              <w:jc w:val="left"/>
              <w:rPr>
                <w:rFonts w:cs="Calibri"/>
                <w:bCs/>
              </w:rPr>
            </w:pPr>
            <w:r w:rsidRPr="00DD47DF">
              <w:rPr>
                <w:rFonts w:cs="Calibri"/>
                <w:b/>
                <w:bCs/>
              </w:rPr>
              <w:t xml:space="preserve">Priorita financování: </w:t>
            </w:r>
            <w:r w:rsidRPr="00DD47DF">
              <w:rPr>
                <w:szCs w:val="24"/>
              </w:rPr>
              <w:t>Podniky využívající výsledků VaV, konkurenceschopné na globálním trhu a přispívající</w:t>
            </w:r>
            <w:r w:rsidR="00CC45C6" w:rsidRPr="00DD47DF">
              <w:rPr>
                <w:szCs w:val="24"/>
              </w:rPr>
              <w:t xml:space="preserve"> k nízkouhlíkovému hospodářství</w:t>
            </w:r>
          </w:p>
        </w:tc>
      </w:tr>
      <w:tr w:rsidR="00A863BB" w:rsidRPr="00DD47DF" w14:paraId="2FE286FC" w14:textId="77777777">
        <w:trPr>
          <w:jc w:val="center"/>
        </w:trPr>
        <w:tc>
          <w:tcPr>
            <w:tcW w:w="567" w:type="pct"/>
            <w:vMerge/>
            <w:shd w:val="clear" w:color="auto" w:fill="B8CCE4"/>
            <w:vAlign w:val="center"/>
          </w:tcPr>
          <w:p w14:paraId="5DBF1AC3" w14:textId="77777777" w:rsidR="00A863BB" w:rsidRPr="00DD47DF" w:rsidRDefault="00A863BB" w:rsidP="0022028B">
            <w:pPr>
              <w:pStyle w:val="Tabulka"/>
              <w:jc w:val="left"/>
              <w:rPr>
                <w:rFonts w:cs="Calibri"/>
              </w:rPr>
            </w:pPr>
          </w:p>
        </w:tc>
        <w:tc>
          <w:tcPr>
            <w:tcW w:w="1441" w:type="pct"/>
            <w:shd w:val="clear" w:color="auto" w:fill="DBE5F1"/>
            <w:vAlign w:val="center"/>
          </w:tcPr>
          <w:p w14:paraId="0772904C" w14:textId="77777777" w:rsidR="00A863BB" w:rsidRPr="00DD47DF" w:rsidRDefault="00B54D2B" w:rsidP="0022028B">
            <w:pPr>
              <w:pStyle w:val="Tabulka"/>
              <w:jc w:val="left"/>
              <w:rPr>
                <w:rFonts w:cs="Calibri"/>
              </w:rPr>
            </w:pPr>
            <w:r w:rsidRPr="00DD47DF">
              <w:rPr>
                <w:rFonts w:cs="Calibri"/>
              </w:rPr>
              <w:t xml:space="preserve">3 b) </w:t>
            </w:r>
            <w:r w:rsidR="008C7D72" w:rsidRPr="00DD47DF">
              <w:rPr>
                <w:rFonts w:cs="Calibri"/>
              </w:rPr>
              <w:t>Vyvíjení a provádění nových obchodních modelů</w:t>
            </w:r>
            <w:r w:rsidR="00A863BB" w:rsidRPr="00DD47DF">
              <w:rPr>
                <w:rFonts w:cs="Calibri"/>
              </w:rPr>
              <w:t xml:space="preserve"> pro MSP, zejména pro oblast mezinárodního obchodu</w:t>
            </w:r>
          </w:p>
          <w:p w14:paraId="511664D6" w14:textId="77777777" w:rsidR="00A863BB" w:rsidRPr="00DD47DF" w:rsidRDefault="00A863BB" w:rsidP="0022028B">
            <w:pPr>
              <w:pStyle w:val="Tabulka"/>
              <w:jc w:val="left"/>
              <w:rPr>
                <w:rFonts w:cs="Calibri"/>
              </w:rPr>
            </w:pPr>
          </w:p>
        </w:tc>
        <w:tc>
          <w:tcPr>
            <w:tcW w:w="2992" w:type="pct"/>
            <w:shd w:val="clear" w:color="auto" w:fill="auto"/>
          </w:tcPr>
          <w:p w14:paraId="63274C8B" w14:textId="77777777" w:rsidR="00700EE6" w:rsidRPr="00DD47DF" w:rsidRDefault="00700EE6" w:rsidP="0022028B">
            <w:pPr>
              <w:pStyle w:val="Tabulka"/>
              <w:jc w:val="left"/>
              <w:rPr>
                <w:rFonts w:cs="Calibri"/>
                <w:bCs/>
                <w:u w:val="single"/>
              </w:rPr>
            </w:pPr>
            <w:r w:rsidRPr="00DD47DF">
              <w:rPr>
                <w:rFonts w:cs="Calibri"/>
                <w:bCs/>
                <w:u w:val="single"/>
              </w:rPr>
              <w:t>NPR 2014</w:t>
            </w:r>
            <w:r w:rsidRPr="00DD47DF">
              <w:rPr>
                <w:rFonts w:cs="Calibri"/>
                <w:bCs/>
              </w:rPr>
              <w:t>: Rozvoj malých a středních podniků, včetně rozvoje klíčových dovedností</w:t>
            </w:r>
          </w:p>
          <w:p w14:paraId="75B0526D" w14:textId="77777777" w:rsidR="003F6EA6" w:rsidRPr="00DD47DF" w:rsidRDefault="003F6EA6" w:rsidP="0022028B">
            <w:pPr>
              <w:pStyle w:val="Tabulka"/>
              <w:jc w:val="left"/>
              <w:rPr>
                <w:rFonts w:cs="Calibri"/>
                <w:bCs/>
              </w:rPr>
            </w:pPr>
            <w:r w:rsidRPr="00DD47DF">
              <w:rPr>
                <w:rFonts w:cs="Calibri"/>
                <w:bCs/>
                <w:u w:val="single"/>
              </w:rPr>
              <w:t>Poziční dokument</w:t>
            </w:r>
            <w:r w:rsidRPr="00DD47DF">
              <w:rPr>
                <w:rFonts w:cs="Calibri"/>
                <w:bCs/>
              </w:rPr>
              <w:t xml:space="preserve">: </w:t>
            </w:r>
            <w:r w:rsidR="004B2B4D" w:rsidRPr="00DD47DF">
              <w:rPr>
                <w:rFonts w:cs="Calibri"/>
                <w:bCs/>
              </w:rPr>
              <w:t xml:space="preserve">Rozvoj </w:t>
            </w:r>
            <w:r w:rsidR="005F1729" w:rsidRPr="00DD47DF">
              <w:rPr>
                <w:rFonts w:cs="Calibri"/>
                <w:bCs/>
              </w:rPr>
              <w:t xml:space="preserve">služeb poradenství při </w:t>
            </w:r>
            <w:r w:rsidR="004B2B4D" w:rsidRPr="00DD47DF">
              <w:rPr>
                <w:rFonts w:cs="Calibri"/>
                <w:bCs/>
              </w:rPr>
              <w:t xml:space="preserve">přístupu </w:t>
            </w:r>
            <w:r w:rsidR="005F1729" w:rsidRPr="00DD47DF">
              <w:rPr>
                <w:rFonts w:cs="Calibri"/>
                <w:bCs/>
              </w:rPr>
              <w:t xml:space="preserve">podniků </w:t>
            </w:r>
            <w:r w:rsidR="004B2B4D" w:rsidRPr="00DD47DF">
              <w:rPr>
                <w:rFonts w:cs="Calibri"/>
                <w:bCs/>
              </w:rPr>
              <w:t>k novým trhům</w:t>
            </w:r>
          </w:p>
          <w:p w14:paraId="085708F3" w14:textId="77777777" w:rsidR="00A863BB" w:rsidRPr="00DD47DF" w:rsidRDefault="00A863BB" w:rsidP="0022028B">
            <w:pPr>
              <w:pStyle w:val="Tabulka"/>
              <w:jc w:val="left"/>
              <w:rPr>
                <w:rFonts w:cs="Calibri"/>
                <w:bCs/>
              </w:rPr>
            </w:pPr>
            <w:r w:rsidRPr="00DD47DF">
              <w:rPr>
                <w:rFonts w:cs="Calibri"/>
                <w:bCs/>
                <w:u w:val="single"/>
              </w:rPr>
              <w:t>S</w:t>
            </w:r>
            <w:r w:rsidR="005F1729" w:rsidRPr="00DD47DF">
              <w:rPr>
                <w:rFonts w:cs="Calibri"/>
                <w:bCs/>
                <w:u w:val="single"/>
              </w:rPr>
              <w:t>MK</w:t>
            </w:r>
            <w:r w:rsidRPr="00DD47DF">
              <w:rPr>
                <w:rFonts w:cs="Calibri"/>
                <w:bCs/>
              </w:rPr>
              <w:t xml:space="preserve">: </w:t>
            </w:r>
            <w:r w:rsidR="005F1729" w:rsidRPr="00DD47DF">
              <w:rPr>
                <w:rFonts w:cs="Calibri"/>
                <w:bCs/>
              </w:rPr>
              <w:t>Z</w:t>
            </w:r>
            <w:r w:rsidR="00DF4A5B" w:rsidRPr="00DD47DF">
              <w:rPr>
                <w:rFonts w:cs="Calibri"/>
                <w:bCs/>
              </w:rPr>
              <w:t xml:space="preserve">výšení schopnosti producentů identifikovat koncové trhy a rozvoj netechnických kompetencí </w:t>
            </w:r>
            <w:r w:rsidR="005821F5" w:rsidRPr="00DD47DF">
              <w:rPr>
                <w:rFonts w:cs="Calibri"/>
                <w:bCs/>
              </w:rPr>
              <w:t>podniků</w:t>
            </w:r>
            <w:r w:rsidR="00DF4A5B" w:rsidRPr="00DD47DF">
              <w:rPr>
                <w:rFonts w:cs="Calibri"/>
                <w:bCs/>
              </w:rPr>
              <w:t xml:space="preserve"> souvisejících se získáváním nových trhů</w:t>
            </w:r>
          </w:p>
          <w:p w14:paraId="0DFF14BE" w14:textId="77777777" w:rsidR="00652335" w:rsidRPr="00DD47DF" w:rsidRDefault="00652335" w:rsidP="0022028B">
            <w:pPr>
              <w:pStyle w:val="Tabulka"/>
              <w:jc w:val="left"/>
              <w:rPr>
                <w:rFonts w:cs="Calibri"/>
                <w:bCs/>
              </w:rPr>
            </w:pPr>
            <w:r w:rsidRPr="00DD47DF">
              <w:rPr>
                <w:rFonts w:cs="Calibri"/>
                <w:bCs/>
                <w:u w:val="single"/>
              </w:rPr>
              <w:t>NIS</w:t>
            </w:r>
            <w:r w:rsidRPr="00DD47DF">
              <w:rPr>
                <w:rFonts w:cs="Calibri"/>
                <w:bCs/>
              </w:rPr>
              <w:t>: Rozvoj špičkových poradenských služeb jako je technolo</w:t>
            </w:r>
            <w:r w:rsidR="001F0603" w:rsidRPr="00DD47DF">
              <w:rPr>
                <w:rFonts w:cs="Calibri"/>
                <w:bCs/>
              </w:rPr>
              <w:t>gický foresight, mentoring, kouč</w:t>
            </w:r>
            <w:r w:rsidRPr="00DD47DF">
              <w:rPr>
                <w:rFonts w:cs="Calibri"/>
                <w:bCs/>
              </w:rPr>
              <w:t>ing, účast na zahraničních veletrzích</w:t>
            </w:r>
          </w:p>
          <w:p w14:paraId="0DCB74EC" w14:textId="77777777" w:rsidR="00A863BB" w:rsidRPr="00DD47DF" w:rsidRDefault="00A863BB" w:rsidP="005F1729">
            <w:pPr>
              <w:pStyle w:val="Tabulka"/>
              <w:jc w:val="left"/>
              <w:rPr>
                <w:rFonts w:cs="Calibri"/>
              </w:rPr>
            </w:pPr>
            <w:r w:rsidRPr="00DD47DF">
              <w:rPr>
                <w:rFonts w:cs="Calibri"/>
                <w:u w:val="single"/>
              </w:rPr>
              <w:t xml:space="preserve">Koncepce podpory </w:t>
            </w:r>
            <w:r w:rsidR="005F1729" w:rsidRPr="00DD47DF">
              <w:rPr>
                <w:rFonts w:cs="Calibri"/>
                <w:u w:val="single"/>
              </w:rPr>
              <w:t>MSP</w:t>
            </w:r>
            <w:r w:rsidRPr="00DD47DF">
              <w:rPr>
                <w:rFonts w:cs="Calibri"/>
              </w:rPr>
              <w:t>:</w:t>
            </w:r>
            <w:r w:rsidR="00E3355D" w:rsidRPr="00DD47DF">
              <w:rPr>
                <w:rFonts w:cs="Calibri"/>
              </w:rPr>
              <w:t xml:space="preserve"> </w:t>
            </w:r>
            <w:r w:rsidR="005F1729" w:rsidRPr="00DD47DF">
              <w:rPr>
                <w:rFonts w:cs="Calibri"/>
              </w:rPr>
              <w:t>N</w:t>
            </w:r>
            <w:r w:rsidR="00E3355D" w:rsidRPr="00DD47DF">
              <w:rPr>
                <w:rFonts w:cs="Calibri"/>
              </w:rPr>
              <w:t xml:space="preserve">abídnout </w:t>
            </w:r>
            <w:r w:rsidR="005F1729" w:rsidRPr="00DD47DF">
              <w:rPr>
                <w:rFonts w:cs="Calibri"/>
              </w:rPr>
              <w:t>MSP</w:t>
            </w:r>
            <w:r w:rsidR="00E3355D" w:rsidRPr="00DD47DF">
              <w:rPr>
                <w:rFonts w:cs="Calibri"/>
              </w:rPr>
              <w:t xml:space="preserve"> </w:t>
            </w:r>
            <w:r w:rsidR="005F1729" w:rsidRPr="00DD47DF">
              <w:rPr>
                <w:rFonts w:cs="Calibri"/>
              </w:rPr>
              <w:t>inovační</w:t>
            </w:r>
            <w:r w:rsidR="00E3355D" w:rsidRPr="00DD47DF">
              <w:rPr>
                <w:rFonts w:cs="Calibri"/>
              </w:rPr>
              <w:t xml:space="preserve"> typ poradenských služeb</w:t>
            </w:r>
            <w:r w:rsidR="005F1729" w:rsidRPr="00DD47DF">
              <w:rPr>
                <w:rFonts w:cs="Calibri"/>
              </w:rPr>
              <w:t xml:space="preserve">, který jim pomůže </w:t>
            </w:r>
            <w:r w:rsidR="00E3355D" w:rsidRPr="00DD47DF">
              <w:rPr>
                <w:rFonts w:cs="Calibri"/>
              </w:rPr>
              <w:t xml:space="preserve">efektivněji vytipovat oblasti, </w:t>
            </w:r>
            <w:r w:rsidR="005F1729" w:rsidRPr="00DD47DF">
              <w:rPr>
                <w:rFonts w:cs="Calibri"/>
              </w:rPr>
              <w:t>v nichž</w:t>
            </w:r>
            <w:r w:rsidR="00E3355D" w:rsidRPr="00DD47DF">
              <w:rPr>
                <w:rFonts w:cs="Calibri"/>
              </w:rPr>
              <w:t xml:space="preserve"> mají potenciál a schopnosti dlouhodob</w:t>
            </w:r>
            <w:bookmarkStart w:id="18" w:name="Temp"/>
            <w:bookmarkEnd w:id="18"/>
            <w:r w:rsidR="00E3355D" w:rsidRPr="00DD47DF">
              <w:rPr>
                <w:rFonts w:cs="Calibri"/>
              </w:rPr>
              <w:t>ě obstát v globální soutěži</w:t>
            </w:r>
            <w:r w:rsidR="005F1729" w:rsidRPr="00DD47DF">
              <w:rPr>
                <w:rFonts w:cs="Calibri"/>
              </w:rPr>
              <w:t>;</w:t>
            </w:r>
            <w:r w:rsidR="00DC5729" w:rsidRPr="00DD47DF">
              <w:rPr>
                <w:rFonts w:cs="Calibri"/>
              </w:rPr>
              <w:t xml:space="preserve"> podpora jejich účasti na specializovaných vele</w:t>
            </w:r>
            <w:r w:rsidR="005F1729" w:rsidRPr="00DD47DF">
              <w:rPr>
                <w:rFonts w:cs="Calibri"/>
              </w:rPr>
              <w:t>trzích a výstavách v zahraničí</w:t>
            </w:r>
          </w:p>
          <w:p w14:paraId="5151488A" w14:textId="77777777" w:rsidR="00AD561F" w:rsidRPr="00DD47DF" w:rsidRDefault="00AD561F" w:rsidP="00AD561F">
            <w:pPr>
              <w:pStyle w:val="Tabulka"/>
              <w:jc w:val="left"/>
              <w:rPr>
                <w:rFonts w:cs="Calibri"/>
                <w:bCs/>
                <w:u w:val="single"/>
              </w:rPr>
            </w:pPr>
            <w:r w:rsidRPr="00DD47DF">
              <w:rPr>
                <w:rFonts w:cs="Calibri"/>
                <w:bCs/>
                <w:u w:val="single"/>
              </w:rPr>
              <w:t>Dohoda o partnerství:</w:t>
            </w:r>
          </w:p>
          <w:p w14:paraId="3658C8ED" w14:textId="77777777" w:rsidR="00AD561F" w:rsidRPr="00DD47DF" w:rsidRDefault="00AD561F" w:rsidP="00AD561F">
            <w:pPr>
              <w:pStyle w:val="Tabulka"/>
              <w:jc w:val="left"/>
              <w:rPr>
                <w:rFonts w:cs="Calibri"/>
                <w:b/>
                <w:bCs/>
              </w:rPr>
            </w:pPr>
            <w:r w:rsidRPr="00DD47DF">
              <w:rPr>
                <w:rFonts w:cs="Calibri"/>
                <w:b/>
                <w:bCs/>
              </w:rPr>
              <w:t>Problémová oblast:</w:t>
            </w:r>
            <w:r w:rsidRPr="00DD47DF">
              <w:rPr>
                <w:rFonts w:cs="Calibri"/>
                <w:bCs/>
              </w:rPr>
              <w:t xml:space="preserve"> Konkurenceschopné podniky</w:t>
            </w:r>
          </w:p>
          <w:p w14:paraId="0720EA11" w14:textId="77777777" w:rsidR="00AD561F" w:rsidRPr="00DD47DF" w:rsidRDefault="00AD561F" w:rsidP="00AD561F">
            <w:pPr>
              <w:pStyle w:val="Tabulka"/>
              <w:jc w:val="left"/>
              <w:rPr>
                <w:rFonts w:cs="Calibri"/>
                <w:bCs/>
              </w:rPr>
            </w:pPr>
            <w:r w:rsidRPr="00DD47DF">
              <w:rPr>
                <w:rFonts w:cs="Calibri"/>
                <w:b/>
                <w:bCs/>
              </w:rPr>
              <w:t>Identifikované problémy relevantní pro OP PIK:</w:t>
            </w:r>
            <w:r w:rsidRPr="00DD47DF">
              <w:rPr>
                <w:rFonts w:cs="Calibri"/>
                <w:bCs/>
              </w:rPr>
              <w:t xml:space="preserve"> Slabý endogenní podnikatelský sektor</w:t>
            </w:r>
          </w:p>
          <w:p w14:paraId="14C049F9" w14:textId="77777777" w:rsidR="00AD561F" w:rsidRPr="00DD47DF" w:rsidRDefault="00AD561F" w:rsidP="00AD561F">
            <w:pPr>
              <w:pStyle w:val="Tabulka"/>
              <w:jc w:val="left"/>
              <w:rPr>
                <w:rFonts w:cs="Calibri"/>
              </w:rPr>
            </w:pPr>
            <w:r w:rsidRPr="00DD47DF">
              <w:rPr>
                <w:rFonts w:cs="Calibri"/>
                <w:b/>
                <w:bCs/>
              </w:rPr>
              <w:t xml:space="preserve">Priorita financování: </w:t>
            </w:r>
            <w:r w:rsidRPr="00DD47DF">
              <w:rPr>
                <w:szCs w:val="24"/>
              </w:rPr>
              <w:t>Podniky využívající výsledků VaV, konkurenceschopné na globálním trhu a přispívající k nízko</w:t>
            </w:r>
            <w:r w:rsidR="00CC45C6" w:rsidRPr="00DD47DF">
              <w:rPr>
                <w:szCs w:val="24"/>
              </w:rPr>
              <w:t>uhlíkovému hospodářství</w:t>
            </w:r>
          </w:p>
        </w:tc>
      </w:tr>
      <w:tr w:rsidR="00A863BB" w:rsidRPr="00DD47DF" w14:paraId="4464D3CE" w14:textId="77777777">
        <w:trPr>
          <w:jc w:val="center"/>
        </w:trPr>
        <w:tc>
          <w:tcPr>
            <w:tcW w:w="567" w:type="pct"/>
            <w:vMerge/>
            <w:shd w:val="clear" w:color="auto" w:fill="B8CCE4"/>
            <w:vAlign w:val="center"/>
          </w:tcPr>
          <w:p w14:paraId="20614DDC" w14:textId="77777777" w:rsidR="00A863BB" w:rsidRPr="00DD47DF" w:rsidRDefault="00A863BB" w:rsidP="0022028B">
            <w:pPr>
              <w:pStyle w:val="Tabulka"/>
              <w:jc w:val="left"/>
              <w:rPr>
                <w:rFonts w:cs="Calibri"/>
              </w:rPr>
            </w:pPr>
          </w:p>
        </w:tc>
        <w:tc>
          <w:tcPr>
            <w:tcW w:w="1441" w:type="pct"/>
            <w:shd w:val="clear" w:color="auto" w:fill="DBE5F1"/>
            <w:vAlign w:val="center"/>
          </w:tcPr>
          <w:p w14:paraId="4FF4C25E" w14:textId="77777777" w:rsidR="00A863BB" w:rsidRPr="00DD47DF" w:rsidRDefault="00B54D2B" w:rsidP="0022028B">
            <w:pPr>
              <w:pStyle w:val="Tabulka"/>
              <w:jc w:val="left"/>
              <w:rPr>
                <w:rFonts w:cs="Calibri"/>
              </w:rPr>
            </w:pPr>
            <w:r w:rsidRPr="00DD47DF">
              <w:rPr>
                <w:rFonts w:cs="Calibri"/>
              </w:rPr>
              <w:t xml:space="preserve">3 c) </w:t>
            </w:r>
            <w:r w:rsidR="002641C7" w:rsidRPr="00DD47DF">
              <w:rPr>
                <w:rFonts w:cs="Calibri"/>
              </w:rPr>
              <w:t>Podpora vytváření a rozšiřování vyspělých</w:t>
            </w:r>
            <w:r w:rsidR="00A863BB" w:rsidRPr="00DD47DF">
              <w:rPr>
                <w:rFonts w:cs="Calibri"/>
              </w:rPr>
              <w:t xml:space="preserve"> kapacit pro rozvoj produktů a služeb</w:t>
            </w:r>
          </w:p>
          <w:p w14:paraId="7BD17AFE" w14:textId="77777777" w:rsidR="00A863BB" w:rsidRPr="00DD47DF" w:rsidRDefault="00A863BB" w:rsidP="0022028B">
            <w:pPr>
              <w:pStyle w:val="Tabulka"/>
              <w:jc w:val="left"/>
              <w:rPr>
                <w:rFonts w:cs="Calibri"/>
              </w:rPr>
            </w:pPr>
          </w:p>
        </w:tc>
        <w:tc>
          <w:tcPr>
            <w:tcW w:w="2992" w:type="pct"/>
            <w:shd w:val="clear" w:color="auto" w:fill="auto"/>
          </w:tcPr>
          <w:p w14:paraId="2E68633A" w14:textId="77777777" w:rsidR="003F6EA6" w:rsidRPr="00DD47DF" w:rsidRDefault="003F6EA6" w:rsidP="0022028B">
            <w:pPr>
              <w:pStyle w:val="Tabulka"/>
              <w:jc w:val="left"/>
              <w:rPr>
                <w:rFonts w:cs="Calibri"/>
                <w:bCs/>
              </w:rPr>
            </w:pPr>
            <w:r w:rsidRPr="00DD47DF">
              <w:rPr>
                <w:rFonts w:cs="Calibri"/>
                <w:bCs/>
                <w:u w:val="single"/>
              </w:rPr>
              <w:t>Poziční dokument</w:t>
            </w:r>
            <w:r w:rsidRPr="00DD47DF">
              <w:rPr>
                <w:rFonts w:cs="Calibri"/>
                <w:bCs/>
              </w:rPr>
              <w:t xml:space="preserve">: </w:t>
            </w:r>
            <w:r w:rsidR="004B2B4D" w:rsidRPr="00DD47DF">
              <w:rPr>
                <w:rFonts w:cs="Calibri"/>
                <w:bCs/>
              </w:rPr>
              <w:t>Zlepšení celkového podnikatelského prostředí pro malé a střední podniky prostřednictvím poskytnutí příslušné infrastruktury, modernizace a vylepšení stávajících průmyslových areálů a renovace brownfield</w:t>
            </w:r>
            <w:r w:rsidR="00BF7E1C" w:rsidRPr="00DD47DF">
              <w:rPr>
                <w:rFonts w:cs="Calibri"/>
                <w:bCs/>
              </w:rPr>
              <w:t>ů</w:t>
            </w:r>
            <w:r w:rsidR="0022698D" w:rsidRPr="00DD47DF">
              <w:rPr>
                <w:rFonts w:cs="Calibri"/>
                <w:bCs/>
              </w:rPr>
              <w:t>;</w:t>
            </w:r>
            <w:r w:rsidR="004B2B4D" w:rsidRPr="00DD47DF">
              <w:rPr>
                <w:rFonts w:cs="Calibri"/>
                <w:bCs/>
              </w:rPr>
              <w:t xml:space="preserve"> </w:t>
            </w:r>
            <w:r w:rsidR="0022698D" w:rsidRPr="00DD47DF">
              <w:rPr>
                <w:rFonts w:cs="Calibri"/>
                <w:bCs/>
              </w:rPr>
              <w:t>r</w:t>
            </w:r>
            <w:r w:rsidR="00D63CF5" w:rsidRPr="00DD47DF">
              <w:rPr>
                <w:rFonts w:cs="Calibri"/>
                <w:bCs/>
              </w:rPr>
              <w:t>ozvoj odborného vzdělávání odpovídajícího požada</w:t>
            </w:r>
            <w:r w:rsidR="0022698D" w:rsidRPr="00DD47DF">
              <w:rPr>
                <w:rFonts w:cs="Calibri"/>
                <w:bCs/>
              </w:rPr>
              <w:t>vkům trhu</w:t>
            </w:r>
          </w:p>
          <w:p w14:paraId="75B372C5" w14:textId="77777777" w:rsidR="00F27EC3" w:rsidRPr="00DD47DF" w:rsidRDefault="00F27EC3" w:rsidP="0022028B">
            <w:pPr>
              <w:pStyle w:val="Tabulka"/>
              <w:jc w:val="left"/>
              <w:rPr>
                <w:rFonts w:cs="Calibri"/>
                <w:bCs/>
              </w:rPr>
            </w:pPr>
            <w:r w:rsidRPr="00DD47DF">
              <w:rPr>
                <w:rFonts w:cs="Calibri"/>
                <w:bCs/>
                <w:u w:val="single"/>
              </w:rPr>
              <w:t>SRR</w:t>
            </w:r>
            <w:r w:rsidRPr="00DD47DF">
              <w:rPr>
                <w:rFonts w:cs="Calibri"/>
                <w:bCs/>
              </w:rPr>
              <w:t>: Rozšíření a zkvalitnění různých typů podnikatelské infrastruktury,</w:t>
            </w:r>
            <w:r w:rsidRPr="00DD47DF">
              <w:rPr>
                <w:rFonts w:cs="Calibri"/>
              </w:rPr>
              <w:t xml:space="preserve"> </w:t>
            </w:r>
            <w:r w:rsidRPr="00DD47DF">
              <w:rPr>
                <w:rFonts w:cs="Calibri"/>
                <w:bCs/>
              </w:rPr>
              <w:t xml:space="preserve">revitalizace </w:t>
            </w:r>
            <w:r w:rsidRPr="00DD47DF">
              <w:rPr>
                <w:rFonts w:cs="Calibri"/>
                <w:bCs/>
              </w:rPr>
              <w:lastRenderedPageBreak/>
              <w:t>brow</w:t>
            </w:r>
            <w:r w:rsidR="00BF7E1C" w:rsidRPr="00DD47DF">
              <w:rPr>
                <w:rFonts w:cs="Calibri"/>
                <w:bCs/>
              </w:rPr>
              <w:t>nfieldů</w:t>
            </w:r>
            <w:r w:rsidRPr="00DD47DF">
              <w:rPr>
                <w:rFonts w:cs="Calibri"/>
                <w:bCs/>
              </w:rPr>
              <w:t xml:space="preserve"> pro výrobní aktivity, zapojení zaměstnavatelů do odborného vzdělávání</w:t>
            </w:r>
          </w:p>
          <w:p w14:paraId="0046F372" w14:textId="77777777" w:rsidR="00A863BB" w:rsidRPr="00DD47DF" w:rsidRDefault="0022698D" w:rsidP="0022028B">
            <w:pPr>
              <w:pStyle w:val="Tabulka"/>
              <w:jc w:val="left"/>
              <w:rPr>
                <w:rFonts w:cs="Calibri"/>
                <w:bCs/>
              </w:rPr>
            </w:pPr>
            <w:r w:rsidRPr="00DD47DF">
              <w:rPr>
                <w:rFonts w:cs="Calibri"/>
                <w:u w:val="single"/>
              </w:rPr>
              <w:t>Koncepce podpory MSP</w:t>
            </w:r>
            <w:r w:rsidRPr="00DD47DF">
              <w:rPr>
                <w:rFonts w:cs="Calibri"/>
              </w:rPr>
              <w:t xml:space="preserve">: </w:t>
            </w:r>
            <w:r w:rsidRPr="00DD47DF">
              <w:rPr>
                <w:rFonts w:cs="Calibri"/>
                <w:bCs/>
              </w:rPr>
              <w:t>Rozvoj dalšího profesního vzdělávání zaměstnavatelů a zaměstnanců v MSP; regenerace brownfield</w:t>
            </w:r>
            <w:r w:rsidR="00BF7E1C" w:rsidRPr="00DD47DF">
              <w:rPr>
                <w:rFonts w:cs="Calibri"/>
                <w:bCs/>
              </w:rPr>
              <w:t>ů</w:t>
            </w:r>
            <w:r w:rsidRPr="00DD47DF">
              <w:rPr>
                <w:rFonts w:cs="Calibri"/>
                <w:bCs/>
              </w:rPr>
              <w:t xml:space="preserve"> za účelem další podnikatelské činnosti</w:t>
            </w:r>
          </w:p>
          <w:p w14:paraId="3CF603E7" w14:textId="77777777" w:rsidR="00CC45C6" w:rsidRPr="00DD47DF" w:rsidRDefault="00CC45C6" w:rsidP="00CC45C6">
            <w:pPr>
              <w:pStyle w:val="Tabulka"/>
              <w:jc w:val="left"/>
              <w:rPr>
                <w:rFonts w:cs="Calibri"/>
                <w:bCs/>
                <w:u w:val="single"/>
              </w:rPr>
            </w:pPr>
            <w:r w:rsidRPr="00DD47DF">
              <w:rPr>
                <w:rFonts w:cs="Calibri"/>
                <w:bCs/>
                <w:u w:val="single"/>
              </w:rPr>
              <w:t>Dohoda o partnerství:</w:t>
            </w:r>
          </w:p>
          <w:p w14:paraId="45008432" w14:textId="77777777" w:rsidR="00CC45C6" w:rsidRPr="00DD47DF" w:rsidRDefault="00CC45C6" w:rsidP="00CC45C6">
            <w:pPr>
              <w:pStyle w:val="Tabulka"/>
              <w:jc w:val="left"/>
              <w:rPr>
                <w:rFonts w:cs="Calibri"/>
                <w:b/>
                <w:bCs/>
              </w:rPr>
            </w:pPr>
            <w:r w:rsidRPr="00DD47DF">
              <w:rPr>
                <w:rFonts w:cs="Calibri"/>
                <w:b/>
                <w:bCs/>
              </w:rPr>
              <w:t>Problémová oblast:</w:t>
            </w:r>
            <w:r w:rsidRPr="00DD47DF">
              <w:rPr>
                <w:rFonts w:cs="Calibri"/>
                <w:bCs/>
              </w:rPr>
              <w:t xml:space="preserve"> Konkurenceschopné podniky a částečně Ochrana životního prostředí</w:t>
            </w:r>
          </w:p>
          <w:p w14:paraId="3FDC3AC5" w14:textId="77777777" w:rsidR="00CC45C6" w:rsidRPr="00DD47DF" w:rsidRDefault="00CC45C6" w:rsidP="00CC45C6">
            <w:pPr>
              <w:pStyle w:val="Tabulka"/>
              <w:jc w:val="left"/>
              <w:rPr>
                <w:rFonts w:cs="Calibri"/>
                <w:bCs/>
              </w:rPr>
            </w:pPr>
            <w:r w:rsidRPr="00DD47DF">
              <w:rPr>
                <w:rFonts w:cs="Calibri"/>
                <w:b/>
                <w:bCs/>
              </w:rPr>
              <w:t>Identifikované problémy relevantní pro OP PIK:</w:t>
            </w:r>
            <w:r w:rsidRPr="00DD47DF">
              <w:rPr>
                <w:rFonts w:cs="Calibri"/>
                <w:bCs/>
              </w:rPr>
              <w:t xml:space="preserve"> Slabý endogenní podnikatelský sektor</w:t>
            </w:r>
          </w:p>
          <w:p w14:paraId="7EC771C7" w14:textId="77777777" w:rsidR="00CC45C6" w:rsidRPr="00DD47DF" w:rsidRDefault="00CC45C6" w:rsidP="00CC45C6">
            <w:pPr>
              <w:pStyle w:val="Tabulka"/>
              <w:jc w:val="left"/>
              <w:rPr>
                <w:rFonts w:cs="Calibri"/>
                <w:bCs/>
              </w:rPr>
            </w:pPr>
            <w:r w:rsidRPr="00DD47DF">
              <w:rPr>
                <w:rFonts w:cs="Calibri"/>
                <w:b/>
                <w:bCs/>
              </w:rPr>
              <w:t xml:space="preserve">Priorita financování: </w:t>
            </w:r>
            <w:r w:rsidRPr="00DD47DF">
              <w:rPr>
                <w:szCs w:val="24"/>
              </w:rPr>
              <w:t>Podniky využívající výsledků VaV, konkurenceschopné na globálním trhu a přispívající k nízkouhlíkovému hospodářství</w:t>
            </w:r>
          </w:p>
        </w:tc>
      </w:tr>
      <w:tr w:rsidR="00066396" w:rsidRPr="00DD47DF" w14:paraId="44B8208F" w14:textId="77777777">
        <w:trPr>
          <w:jc w:val="center"/>
        </w:trPr>
        <w:tc>
          <w:tcPr>
            <w:tcW w:w="567" w:type="pct"/>
            <w:vMerge w:val="restart"/>
            <w:shd w:val="clear" w:color="auto" w:fill="B8CCE4"/>
            <w:vAlign w:val="center"/>
          </w:tcPr>
          <w:p w14:paraId="6B1E710E" w14:textId="77777777" w:rsidR="00066396" w:rsidRPr="00DD47DF" w:rsidRDefault="00906900" w:rsidP="0022028B">
            <w:pPr>
              <w:pStyle w:val="Tabulka"/>
              <w:jc w:val="left"/>
              <w:rPr>
                <w:rFonts w:cs="Calibri"/>
              </w:rPr>
            </w:pPr>
            <w:r w:rsidRPr="00DD47DF">
              <w:rPr>
                <w:rFonts w:cs="Calibri"/>
              </w:rPr>
              <w:lastRenderedPageBreak/>
              <w:t>4</w:t>
            </w:r>
            <w:r w:rsidR="00CC5E04" w:rsidRPr="00DD47DF">
              <w:rPr>
                <w:rFonts w:cs="Calibri"/>
              </w:rPr>
              <w:t>)</w:t>
            </w:r>
            <w:r w:rsidRPr="00DD47DF">
              <w:rPr>
                <w:rFonts w:cs="Calibri"/>
              </w:rPr>
              <w:t xml:space="preserve"> </w:t>
            </w:r>
            <w:r w:rsidR="00066396" w:rsidRPr="00DD47DF">
              <w:rPr>
                <w:rFonts w:cs="Calibri"/>
              </w:rPr>
              <w:t>Podpora přechodu na nízkouhlíkové hospodářství ve všech odvětvích</w:t>
            </w:r>
          </w:p>
        </w:tc>
        <w:tc>
          <w:tcPr>
            <w:tcW w:w="1441" w:type="pct"/>
            <w:shd w:val="clear" w:color="auto" w:fill="DBE5F1"/>
            <w:vAlign w:val="center"/>
          </w:tcPr>
          <w:p w14:paraId="09E42385" w14:textId="77777777" w:rsidR="00066396" w:rsidRPr="00DD47DF" w:rsidRDefault="00B54D2B" w:rsidP="0022028B">
            <w:pPr>
              <w:pStyle w:val="Tabulka"/>
              <w:jc w:val="left"/>
              <w:rPr>
                <w:rFonts w:cs="Calibri"/>
              </w:rPr>
            </w:pPr>
            <w:r w:rsidRPr="00DD47DF">
              <w:rPr>
                <w:rFonts w:cs="Calibri"/>
              </w:rPr>
              <w:t xml:space="preserve">4 a) </w:t>
            </w:r>
            <w:r w:rsidR="00AA66A2" w:rsidRPr="00DD47DF">
              <w:rPr>
                <w:rFonts w:cs="Calibri"/>
              </w:rPr>
              <w:t>Podpora výroby a distribuce energie pocházející z obnovitelných zdrojů</w:t>
            </w:r>
          </w:p>
        </w:tc>
        <w:tc>
          <w:tcPr>
            <w:tcW w:w="2992" w:type="pct"/>
            <w:shd w:val="clear" w:color="auto" w:fill="auto"/>
          </w:tcPr>
          <w:p w14:paraId="10335B7E" w14:textId="77777777" w:rsidR="00066396" w:rsidRPr="00DD47DF" w:rsidRDefault="00CC7932" w:rsidP="0022028B">
            <w:pPr>
              <w:pStyle w:val="Tabulka"/>
              <w:jc w:val="left"/>
              <w:rPr>
                <w:rFonts w:cs="Calibri"/>
              </w:rPr>
            </w:pPr>
            <w:r w:rsidRPr="00DD47DF">
              <w:rPr>
                <w:rFonts w:cs="Calibri"/>
                <w:u w:val="single"/>
              </w:rPr>
              <w:t>EU</w:t>
            </w:r>
            <w:r w:rsidR="00066396" w:rsidRPr="00DD47DF">
              <w:rPr>
                <w:rFonts w:cs="Calibri"/>
                <w:u w:val="single"/>
              </w:rPr>
              <w:t xml:space="preserve"> 2020</w:t>
            </w:r>
            <w:r w:rsidR="00066396" w:rsidRPr="00DD47DF">
              <w:rPr>
                <w:rFonts w:cs="Calibri"/>
              </w:rPr>
              <w:t xml:space="preserve">: </w:t>
            </w:r>
            <w:r w:rsidR="0022698D" w:rsidRPr="00DD47DF">
              <w:rPr>
                <w:rFonts w:cs="Calibri"/>
              </w:rPr>
              <w:t>Z</w:t>
            </w:r>
            <w:r w:rsidR="00066396" w:rsidRPr="00DD47DF">
              <w:rPr>
                <w:rFonts w:cs="Calibri"/>
              </w:rPr>
              <w:t>výšit podíl OZE v celkové spotřebě v EU na 20 %</w:t>
            </w:r>
            <w:r w:rsidR="00EF27CE" w:rsidRPr="00DD47DF">
              <w:rPr>
                <w:rFonts w:cs="Calibri"/>
              </w:rPr>
              <w:t xml:space="preserve"> do roku 2020</w:t>
            </w:r>
            <w:r w:rsidR="00652335" w:rsidRPr="00DD47DF">
              <w:rPr>
                <w:rFonts w:cs="Calibri"/>
              </w:rPr>
              <w:t xml:space="preserve">, stěžejní iniciativa </w:t>
            </w:r>
            <w:r w:rsidR="00652335" w:rsidRPr="00DD47DF">
              <w:rPr>
                <w:rFonts w:cs="Calibri"/>
                <w:i/>
              </w:rPr>
              <w:t>Evropa méně náročná na zdroje</w:t>
            </w:r>
          </w:p>
          <w:p w14:paraId="1D49B0C4" w14:textId="77777777" w:rsidR="00066396" w:rsidRPr="00DD47DF" w:rsidRDefault="00CC7932" w:rsidP="0022028B">
            <w:pPr>
              <w:pStyle w:val="Tabulka"/>
              <w:jc w:val="left"/>
              <w:rPr>
                <w:rFonts w:cs="Calibri"/>
                <w:bCs/>
              </w:rPr>
            </w:pPr>
            <w:r w:rsidRPr="00DD47DF">
              <w:rPr>
                <w:rFonts w:cs="Calibri"/>
                <w:bCs/>
                <w:u w:val="single"/>
              </w:rPr>
              <w:t xml:space="preserve">NPR </w:t>
            </w:r>
            <w:r w:rsidR="009648EE" w:rsidRPr="00DD47DF">
              <w:rPr>
                <w:rFonts w:cs="Calibri"/>
                <w:bCs/>
                <w:u w:val="single"/>
              </w:rPr>
              <w:t>201</w:t>
            </w:r>
            <w:r w:rsidR="00C12521" w:rsidRPr="00DD47DF">
              <w:rPr>
                <w:rFonts w:cs="Calibri"/>
                <w:bCs/>
                <w:u w:val="single"/>
              </w:rPr>
              <w:t>4</w:t>
            </w:r>
            <w:r w:rsidR="009648EE" w:rsidRPr="00DD47DF">
              <w:rPr>
                <w:rFonts w:cs="Calibri"/>
                <w:bCs/>
                <w:u w:val="single"/>
              </w:rPr>
              <w:t>:</w:t>
            </w:r>
            <w:r w:rsidR="009648EE" w:rsidRPr="00DD47DF">
              <w:rPr>
                <w:rFonts w:cs="Calibri"/>
                <w:bCs/>
              </w:rPr>
              <w:t xml:space="preserve"> </w:t>
            </w:r>
            <w:r w:rsidR="00FE6CE5" w:rsidRPr="00DD47DF">
              <w:rPr>
                <w:rFonts w:cs="Calibri"/>
                <w:bCs/>
              </w:rPr>
              <w:t>Podpora rozvoje kapacit OZE, využití energetického potenciálu biomasy</w:t>
            </w:r>
          </w:p>
          <w:p w14:paraId="2F0F0753" w14:textId="77777777" w:rsidR="003F6EA6" w:rsidRPr="00DD47DF" w:rsidRDefault="003F6EA6" w:rsidP="0022028B">
            <w:pPr>
              <w:pStyle w:val="Tabulka"/>
              <w:jc w:val="left"/>
              <w:rPr>
                <w:rFonts w:cs="Calibri"/>
                <w:bCs/>
              </w:rPr>
            </w:pPr>
            <w:r w:rsidRPr="00DD47DF">
              <w:rPr>
                <w:rFonts w:cs="Calibri"/>
                <w:bCs/>
                <w:u w:val="single"/>
              </w:rPr>
              <w:t>Poziční dokument</w:t>
            </w:r>
            <w:r w:rsidRPr="00DD47DF">
              <w:rPr>
                <w:rFonts w:cs="Calibri"/>
                <w:bCs/>
              </w:rPr>
              <w:t xml:space="preserve">: </w:t>
            </w:r>
            <w:r w:rsidR="00CC7932" w:rsidRPr="00DD47DF">
              <w:rPr>
                <w:rFonts w:cs="Calibri"/>
                <w:bCs/>
              </w:rPr>
              <w:t>V</w:t>
            </w:r>
            <w:r w:rsidR="00260981" w:rsidRPr="00DD47DF">
              <w:rPr>
                <w:rFonts w:cs="Calibri"/>
                <w:bCs/>
              </w:rPr>
              <w:t xml:space="preserve">yužívání </w:t>
            </w:r>
            <w:r w:rsidR="00CC7932" w:rsidRPr="00DD47DF">
              <w:rPr>
                <w:rFonts w:cs="Calibri"/>
                <w:bCs/>
              </w:rPr>
              <w:t>OZE</w:t>
            </w:r>
            <w:r w:rsidR="00260981" w:rsidRPr="00DD47DF">
              <w:rPr>
                <w:rFonts w:cs="Calibri"/>
                <w:bCs/>
              </w:rPr>
              <w:t xml:space="preserve"> ve výrobě elektric</w:t>
            </w:r>
            <w:r w:rsidR="00CC7932" w:rsidRPr="00DD47DF">
              <w:rPr>
                <w:rFonts w:cs="Calibri"/>
                <w:bCs/>
              </w:rPr>
              <w:t>ké energie, vytápění a chlazení</w:t>
            </w:r>
          </w:p>
          <w:p w14:paraId="6E98D6DD" w14:textId="77777777" w:rsidR="00066396" w:rsidRPr="00DD47DF" w:rsidRDefault="00066396" w:rsidP="0022028B">
            <w:pPr>
              <w:pStyle w:val="Tabulka"/>
              <w:jc w:val="left"/>
              <w:rPr>
                <w:rFonts w:cs="Calibri"/>
                <w:bCs/>
              </w:rPr>
            </w:pPr>
            <w:r w:rsidRPr="00DD47DF">
              <w:rPr>
                <w:rFonts w:cs="Calibri"/>
                <w:bCs/>
                <w:u w:val="single"/>
              </w:rPr>
              <w:t>S</w:t>
            </w:r>
            <w:r w:rsidR="00EF27CE" w:rsidRPr="00DD47DF">
              <w:rPr>
                <w:rFonts w:cs="Calibri"/>
                <w:bCs/>
                <w:u w:val="single"/>
              </w:rPr>
              <w:t>MK</w:t>
            </w:r>
            <w:r w:rsidRPr="00DD47DF">
              <w:rPr>
                <w:rFonts w:cs="Calibri"/>
                <w:bCs/>
              </w:rPr>
              <w:t xml:space="preserve">: </w:t>
            </w:r>
            <w:r w:rsidR="00CC7932" w:rsidRPr="00DD47DF">
              <w:rPr>
                <w:rFonts w:cs="Calibri"/>
                <w:bCs/>
              </w:rPr>
              <w:t>D</w:t>
            </w:r>
            <w:r w:rsidR="005102BB" w:rsidRPr="00DD47DF">
              <w:rPr>
                <w:rFonts w:cs="Calibri"/>
              </w:rPr>
              <w:t xml:space="preserve">osažení vyváženého energetického mixu, zvýšení využívání </w:t>
            </w:r>
            <w:r w:rsidR="00CC7932" w:rsidRPr="00DD47DF">
              <w:rPr>
                <w:rFonts w:cs="Calibri"/>
              </w:rPr>
              <w:t>OZE</w:t>
            </w:r>
          </w:p>
          <w:p w14:paraId="7877C2B6" w14:textId="77777777" w:rsidR="00066396" w:rsidRPr="00DD47DF" w:rsidRDefault="00066396" w:rsidP="00EF27CE">
            <w:pPr>
              <w:pStyle w:val="Tabulka"/>
              <w:jc w:val="left"/>
              <w:rPr>
                <w:rFonts w:cs="Calibri"/>
              </w:rPr>
            </w:pPr>
            <w:r w:rsidRPr="00DD47DF">
              <w:rPr>
                <w:rFonts w:cs="Calibri"/>
                <w:bCs/>
                <w:u w:val="single"/>
              </w:rPr>
              <w:t xml:space="preserve">Aktualizace </w:t>
            </w:r>
            <w:r w:rsidR="00EF27CE" w:rsidRPr="00DD47DF">
              <w:rPr>
                <w:rFonts w:cs="Calibri"/>
                <w:bCs/>
                <w:u w:val="single"/>
              </w:rPr>
              <w:t>SEK</w:t>
            </w:r>
            <w:r w:rsidRPr="00DD47DF">
              <w:rPr>
                <w:rFonts w:cs="Calibri"/>
                <w:bCs/>
              </w:rPr>
              <w:t xml:space="preserve">: </w:t>
            </w:r>
            <w:r w:rsidR="00EF27CE" w:rsidRPr="00DD47DF">
              <w:rPr>
                <w:rFonts w:cs="Calibri"/>
                <w:bCs/>
              </w:rPr>
              <w:t>R</w:t>
            </w:r>
            <w:r w:rsidR="004611C2" w:rsidRPr="00DD47DF">
              <w:rPr>
                <w:rFonts w:cs="Calibri"/>
              </w:rPr>
              <w:t xml:space="preserve">ozvoj a efektivní využití </w:t>
            </w:r>
            <w:r w:rsidR="00EF27CE" w:rsidRPr="00DD47DF">
              <w:rPr>
                <w:rFonts w:cs="Calibri"/>
              </w:rPr>
              <w:t>OZE</w:t>
            </w:r>
            <w:r w:rsidR="004611C2" w:rsidRPr="00DD47DF">
              <w:rPr>
                <w:rFonts w:cs="Calibri"/>
              </w:rPr>
              <w:t xml:space="preserve"> v souladu s ekonomickými možnostm</w:t>
            </w:r>
            <w:r w:rsidR="00F1702B" w:rsidRPr="00DD47DF">
              <w:rPr>
                <w:rFonts w:cs="Calibri"/>
              </w:rPr>
              <w:t>i</w:t>
            </w:r>
            <w:r w:rsidR="00193331" w:rsidRPr="00DD47DF">
              <w:rPr>
                <w:rFonts w:cs="Calibri"/>
              </w:rPr>
              <w:t xml:space="preserve"> a přírodními geograficko-geologicko-klimatickými podmínkami ČR</w:t>
            </w:r>
            <w:r w:rsidR="00F1702B" w:rsidRPr="00DD47DF">
              <w:rPr>
                <w:rFonts w:cs="Calibri"/>
              </w:rPr>
              <w:t>;</w:t>
            </w:r>
            <w:r w:rsidR="004611C2" w:rsidRPr="00DD47DF">
              <w:rPr>
                <w:rFonts w:cs="Calibri"/>
              </w:rPr>
              <w:t xml:space="preserve"> využít potenciál biomasy</w:t>
            </w:r>
          </w:p>
          <w:p w14:paraId="2575A5A6" w14:textId="77777777" w:rsidR="00CC45C6" w:rsidRPr="00DD47DF" w:rsidRDefault="00CC45C6" w:rsidP="00CC45C6">
            <w:pPr>
              <w:pStyle w:val="Tabulka"/>
              <w:jc w:val="left"/>
              <w:rPr>
                <w:rFonts w:cs="Calibri"/>
                <w:bCs/>
                <w:u w:val="single"/>
              </w:rPr>
            </w:pPr>
            <w:r w:rsidRPr="00DD47DF">
              <w:rPr>
                <w:rFonts w:cs="Calibri"/>
                <w:bCs/>
                <w:u w:val="single"/>
              </w:rPr>
              <w:t>Dohoda o partnerství:</w:t>
            </w:r>
          </w:p>
          <w:p w14:paraId="2D608994" w14:textId="77777777" w:rsidR="00CC45C6" w:rsidRPr="00DD47DF" w:rsidRDefault="00CC45C6" w:rsidP="00CC45C6">
            <w:pPr>
              <w:pStyle w:val="Tabulka"/>
              <w:jc w:val="left"/>
              <w:rPr>
                <w:rFonts w:cs="Calibri"/>
                <w:b/>
                <w:bCs/>
              </w:rPr>
            </w:pPr>
            <w:r w:rsidRPr="00DD47DF">
              <w:rPr>
                <w:rFonts w:cs="Calibri"/>
                <w:b/>
                <w:bCs/>
              </w:rPr>
              <w:t>Problémová oblast:</w:t>
            </w:r>
            <w:r w:rsidRPr="00DD47DF">
              <w:rPr>
                <w:rFonts w:cs="Calibri"/>
                <w:bCs/>
              </w:rPr>
              <w:t xml:space="preserve"> Energetická infrastruktura</w:t>
            </w:r>
          </w:p>
          <w:p w14:paraId="6B8AB60D" w14:textId="77777777" w:rsidR="00CC45C6" w:rsidRPr="00DD47DF" w:rsidRDefault="00CC45C6" w:rsidP="00CC45C6">
            <w:pPr>
              <w:pStyle w:val="Tabulka"/>
              <w:jc w:val="left"/>
              <w:rPr>
                <w:rFonts w:cs="Calibri"/>
                <w:bCs/>
              </w:rPr>
            </w:pPr>
            <w:r w:rsidRPr="00DD47DF">
              <w:rPr>
                <w:rFonts w:cs="Calibri"/>
                <w:b/>
                <w:bCs/>
              </w:rPr>
              <w:t>Identifikované problémy relevantní pro OP PIK:</w:t>
            </w:r>
            <w:r w:rsidRPr="00DD47DF">
              <w:rPr>
                <w:rFonts w:cs="Calibri"/>
                <w:bCs/>
              </w:rPr>
              <w:t xml:space="preserve"> Závislost na neobnovitelných zdrojích energie, nízká orientace na využití obnovitelných zdrojů energie</w:t>
            </w:r>
          </w:p>
          <w:p w14:paraId="4376EEE8" w14:textId="77777777" w:rsidR="00CC45C6" w:rsidRPr="00DD47DF" w:rsidRDefault="00CC45C6" w:rsidP="00CC45C6">
            <w:pPr>
              <w:pStyle w:val="Tabulka"/>
              <w:jc w:val="left"/>
              <w:rPr>
                <w:rFonts w:cs="Calibri"/>
                <w:color w:val="000000"/>
              </w:rPr>
            </w:pPr>
            <w:r w:rsidRPr="00DD47DF">
              <w:rPr>
                <w:rFonts w:cs="Calibri"/>
                <w:b/>
                <w:bCs/>
              </w:rPr>
              <w:t xml:space="preserve">Priorita financování: </w:t>
            </w:r>
            <w:r w:rsidRPr="00DD47DF">
              <w:rPr>
                <w:szCs w:val="24"/>
              </w:rPr>
              <w:t>Udržitelná infrastruktura umožňující konkurenceschopnost ekonomiky a odpovídající obslužnost území</w:t>
            </w:r>
          </w:p>
        </w:tc>
      </w:tr>
      <w:tr w:rsidR="00066396" w:rsidRPr="00DD47DF" w14:paraId="1A2AE137" w14:textId="77777777">
        <w:trPr>
          <w:jc w:val="center"/>
        </w:trPr>
        <w:tc>
          <w:tcPr>
            <w:tcW w:w="567" w:type="pct"/>
            <w:vMerge/>
            <w:shd w:val="clear" w:color="auto" w:fill="B8CCE4"/>
            <w:vAlign w:val="center"/>
          </w:tcPr>
          <w:p w14:paraId="66C5E577" w14:textId="77777777" w:rsidR="00066396" w:rsidRPr="00DD47DF" w:rsidRDefault="00066396" w:rsidP="0022028B">
            <w:pPr>
              <w:pStyle w:val="Tabulka"/>
              <w:jc w:val="left"/>
              <w:rPr>
                <w:rFonts w:cs="Calibri"/>
              </w:rPr>
            </w:pPr>
          </w:p>
        </w:tc>
        <w:tc>
          <w:tcPr>
            <w:tcW w:w="1441" w:type="pct"/>
            <w:shd w:val="clear" w:color="auto" w:fill="DBE5F1"/>
            <w:vAlign w:val="center"/>
          </w:tcPr>
          <w:p w14:paraId="5100E610" w14:textId="77777777" w:rsidR="00066396" w:rsidRPr="00DD47DF" w:rsidRDefault="00B54D2B" w:rsidP="0022028B">
            <w:pPr>
              <w:pStyle w:val="Tabulka"/>
              <w:jc w:val="left"/>
              <w:rPr>
                <w:rFonts w:cs="Calibri"/>
              </w:rPr>
            </w:pPr>
            <w:r w:rsidRPr="00DD47DF">
              <w:rPr>
                <w:rFonts w:cs="Calibri"/>
              </w:rPr>
              <w:t xml:space="preserve">4 b) </w:t>
            </w:r>
            <w:r w:rsidR="00066396" w:rsidRPr="00DD47DF">
              <w:rPr>
                <w:rFonts w:cs="Calibri"/>
              </w:rPr>
              <w:t>Podpora energetické účinnosti a využívání energie z obnovitelných zdrojů v podnicích</w:t>
            </w:r>
          </w:p>
          <w:p w14:paraId="2A86D9DE" w14:textId="77777777" w:rsidR="00066396" w:rsidRPr="00DD47DF" w:rsidRDefault="00066396" w:rsidP="0022028B">
            <w:pPr>
              <w:pStyle w:val="Tabulka"/>
              <w:jc w:val="left"/>
              <w:rPr>
                <w:rFonts w:cs="Calibri"/>
              </w:rPr>
            </w:pPr>
          </w:p>
        </w:tc>
        <w:tc>
          <w:tcPr>
            <w:tcW w:w="2992" w:type="pct"/>
            <w:shd w:val="clear" w:color="auto" w:fill="auto"/>
          </w:tcPr>
          <w:p w14:paraId="1260DC43" w14:textId="77777777" w:rsidR="00066396" w:rsidRPr="00DD47DF" w:rsidRDefault="00EF27CE" w:rsidP="0022028B">
            <w:pPr>
              <w:pStyle w:val="Tabulka"/>
              <w:jc w:val="left"/>
              <w:rPr>
                <w:rFonts w:cs="Calibri"/>
                <w:bCs/>
              </w:rPr>
            </w:pPr>
            <w:r w:rsidRPr="00DD47DF">
              <w:rPr>
                <w:rFonts w:cs="Calibri"/>
                <w:bCs/>
                <w:u w:val="single"/>
              </w:rPr>
              <w:t>EU</w:t>
            </w:r>
            <w:r w:rsidR="00066396" w:rsidRPr="00DD47DF">
              <w:rPr>
                <w:rFonts w:cs="Calibri"/>
                <w:bCs/>
                <w:u w:val="single"/>
              </w:rPr>
              <w:t xml:space="preserve"> 2020</w:t>
            </w:r>
            <w:r w:rsidR="00066396" w:rsidRPr="00DD47DF">
              <w:rPr>
                <w:rFonts w:cs="Calibri"/>
                <w:bCs/>
              </w:rPr>
              <w:t xml:space="preserve">: </w:t>
            </w:r>
            <w:r w:rsidRPr="00DD47DF">
              <w:rPr>
                <w:rFonts w:cs="Calibri"/>
                <w:bCs/>
              </w:rPr>
              <w:t>Z</w:t>
            </w:r>
            <w:r w:rsidR="00066396" w:rsidRPr="00DD47DF">
              <w:rPr>
                <w:rFonts w:cs="Calibri"/>
                <w:bCs/>
              </w:rPr>
              <w:t>výšit energetickou účinnost v EU o 20 %</w:t>
            </w:r>
            <w:r w:rsidRPr="00DD47DF">
              <w:rPr>
                <w:rFonts w:cs="Calibri"/>
                <w:bCs/>
              </w:rPr>
              <w:t xml:space="preserve"> do roku 2020</w:t>
            </w:r>
            <w:r w:rsidR="001C4C18" w:rsidRPr="00DD47DF">
              <w:rPr>
                <w:rFonts w:cs="Calibri"/>
                <w:bCs/>
              </w:rPr>
              <w:t xml:space="preserve">, </w:t>
            </w:r>
            <w:r w:rsidR="001C4C18" w:rsidRPr="00DD47DF">
              <w:rPr>
                <w:rFonts w:cs="Calibri"/>
              </w:rPr>
              <w:t xml:space="preserve">stěžejní iniciativa </w:t>
            </w:r>
            <w:r w:rsidR="001C4C18" w:rsidRPr="00DD47DF">
              <w:rPr>
                <w:rFonts w:cs="Calibri"/>
                <w:i/>
              </w:rPr>
              <w:t>Evropa méně náročná na zdroje</w:t>
            </w:r>
          </w:p>
          <w:p w14:paraId="28EEBC2D" w14:textId="77777777" w:rsidR="00066396" w:rsidRPr="00DD47DF" w:rsidRDefault="009648EE" w:rsidP="0022028B">
            <w:pPr>
              <w:pStyle w:val="Tabulka"/>
              <w:jc w:val="left"/>
              <w:rPr>
                <w:rFonts w:cs="Calibri"/>
                <w:bCs/>
              </w:rPr>
            </w:pPr>
            <w:r w:rsidRPr="00DD47DF">
              <w:rPr>
                <w:rFonts w:cs="Calibri"/>
                <w:bCs/>
                <w:u w:val="single"/>
              </w:rPr>
              <w:t>N</w:t>
            </w:r>
            <w:r w:rsidR="009B50CC" w:rsidRPr="00DD47DF">
              <w:rPr>
                <w:rFonts w:cs="Calibri"/>
                <w:bCs/>
                <w:u w:val="single"/>
              </w:rPr>
              <w:t xml:space="preserve">PR </w:t>
            </w:r>
            <w:r w:rsidRPr="00DD47DF">
              <w:rPr>
                <w:rFonts w:cs="Calibri"/>
                <w:bCs/>
                <w:u w:val="single"/>
              </w:rPr>
              <w:t>2013</w:t>
            </w:r>
            <w:r w:rsidRPr="00DD47DF">
              <w:rPr>
                <w:rFonts w:cs="Calibri"/>
                <w:bCs/>
              </w:rPr>
              <w:t xml:space="preserve">: </w:t>
            </w:r>
            <w:r w:rsidR="009B50CC" w:rsidRPr="00DD47DF">
              <w:rPr>
                <w:rFonts w:cs="Calibri"/>
                <w:bCs/>
              </w:rPr>
              <w:t>Dosažení cíle vyplývajícího z i</w:t>
            </w:r>
            <w:r w:rsidRPr="00DD47DF">
              <w:rPr>
                <w:rFonts w:cs="Calibri"/>
                <w:bCs/>
              </w:rPr>
              <w:t>mplementace směrnice o energetické účinnosti</w:t>
            </w:r>
          </w:p>
          <w:p w14:paraId="69B5C8E9" w14:textId="77777777" w:rsidR="009B50CC" w:rsidRPr="00DD47DF" w:rsidRDefault="003F6EA6" w:rsidP="0022028B">
            <w:pPr>
              <w:pStyle w:val="Tabulka"/>
              <w:jc w:val="left"/>
              <w:rPr>
                <w:rFonts w:cs="Calibri"/>
                <w:bCs/>
              </w:rPr>
            </w:pPr>
            <w:r w:rsidRPr="00DD47DF">
              <w:rPr>
                <w:rFonts w:cs="Calibri"/>
                <w:bCs/>
                <w:u w:val="single"/>
              </w:rPr>
              <w:t>Poziční dokument</w:t>
            </w:r>
            <w:r w:rsidRPr="00DD47DF">
              <w:rPr>
                <w:rFonts w:cs="Calibri"/>
                <w:bCs/>
              </w:rPr>
              <w:t xml:space="preserve">: </w:t>
            </w:r>
            <w:r w:rsidR="00260981" w:rsidRPr="00DD47DF">
              <w:rPr>
                <w:rFonts w:cs="Calibri"/>
                <w:bCs/>
              </w:rPr>
              <w:t>Zlepšení energetické náročnosti budov zvýšením jejich energetické účinnosti a využívání</w:t>
            </w:r>
            <w:r w:rsidR="009B50CC" w:rsidRPr="00DD47DF">
              <w:rPr>
                <w:rFonts w:cs="Calibri"/>
                <w:bCs/>
              </w:rPr>
              <w:t>m OZE</w:t>
            </w:r>
          </w:p>
          <w:p w14:paraId="7DE9862E" w14:textId="77777777" w:rsidR="00066396" w:rsidRPr="00DD47DF" w:rsidRDefault="00066396" w:rsidP="009B50CC">
            <w:pPr>
              <w:pStyle w:val="Tabulka"/>
              <w:jc w:val="left"/>
              <w:rPr>
                <w:rFonts w:cs="Calibri"/>
                <w:bCs/>
              </w:rPr>
            </w:pPr>
            <w:r w:rsidRPr="00DD47DF">
              <w:rPr>
                <w:rFonts w:cs="Calibri"/>
                <w:bCs/>
                <w:u w:val="single"/>
              </w:rPr>
              <w:t>Aktualizace S</w:t>
            </w:r>
            <w:r w:rsidR="009B50CC" w:rsidRPr="00DD47DF">
              <w:rPr>
                <w:rFonts w:cs="Calibri"/>
                <w:bCs/>
                <w:u w:val="single"/>
              </w:rPr>
              <w:t>EK</w:t>
            </w:r>
            <w:r w:rsidRPr="00DD47DF">
              <w:rPr>
                <w:rFonts w:cs="Calibri"/>
                <w:bCs/>
              </w:rPr>
              <w:t>:</w:t>
            </w:r>
            <w:r w:rsidR="00BA4E72" w:rsidRPr="00DD47DF">
              <w:rPr>
                <w:rFonts w:cs="Calibri"/>
                <w:bCs/>
              </w:rPr>
              <w:t xml:space="preserve"> </w:t>
            </w:r>
            <w:r w:rsidR="00852093" w:rsidRPr="00DD47DF">
              <w:rPr>
                <w:rFonts w:cs="Calibri"/>
                <w:bCs/>
              </w:rPr>
              <w:t xml:space="preserve">Podporovat procesy vedoucí k energetickým úsporám a </w:t>
            </w:r>
            <w:r w:rsidR="0007268F" w:rsidRPr="00DD47DF">
              <w:rPr>
                <w:rFonts w:cs="Calibri"/>
                <w:bCs/>
              </w:rPr>
              <w:t>rekonstrukce zařízení a technologií za úč</w:t>
            </w:r>
            <w:r w:rsidR="009B50CC" w:rsidRPr="00DD47DF">
              <w:rPr>
                <w:rFonts w:cs="Calibri"/>
                <w:bCs/>
              </w:rPr>
              <w:t>elem zvýšení jejich efektivity; p</w:t>
            </w:r>
            <w:r w:rsidR="00852093" w:rsidRPr="00DD47DF">
              <w:rPr>
                <w:rFonts w:cs="Calibri"/>
                <w:bCs/>
              </w:rPr>
              <w:t xml:space="preserve">odporovat zavádění energetického </w:t>
            </w:r>
            <w:r w:rsidR="00852093" w:rsidRPr="00DD47DF">
              <w:rPr>
                <w:rFonts w:cs="Calibri"/>
                <w:bCs/>
              </w:rPr>
              <w:lastRenderedPageBreak/>
              <w:t>managementu a metody EPC ve veř</w:t>
            </w:r>
            <w:r w:rsidR="009B50CC" w:rsidRPr="00DD47DF">
              <w:rPr>
                <w:rFonts w:cs="Calibri"/>
                <w:bCs/>
              </w:rPr>
              <w:t>ejném a podnikatelském sektoru</w:t>
            </w:r>
          </w:p>
          <w:p w14:paraId="02CD965D" w14:textId="77777777" w:rsidR="00CC45C6" w:rsidRPr="00DD47DF" w:rsidRDefault="00CC45C6" w:rsidP="00CC45C6">
            <w:pPr>
              <w:pStyle w:val="Tabulka"/>
              <w:jc w:val="left"/>
              <w:rPr>
                <w:rFonts w:cs="Calibri"/>
                <w:bCs/>
                <w:u w:val="single"/>
              </w:rPr>
            </w:pPr>
            <w:r w:rsidRPr="00DD47DF">
              <w:rPr>
                <w:rFonts w:cs="Calibri"/>
                <w:bCs/>
                <w:u w:val="single"/>
              </w:rPr>
              <w:t>Dohoda o partnerství:</w:t>
            </w:r>
          </w:p>
          <w:p w14:paraId="240E26CF" w14:textId="77777777" w:rsidR="00CC45C6" w:rsidRPr="00DD47DF" w:rsidRDefault="00CC45C6" w:rsidP="00CC45C6">
            <w:pPr>
              <w:pStyle w:val="Tabulka"/>
              <w:jc w:val="left"/>
              <w:rPr>
                <w:rFonts w:cs="Calibri"/>
                <w:b/>
                <w:bCs/>
              </w:rPr>
            </w:pPr>
            <w:r w:rsidRPr="00DD47DF">
              <w:rPr>
                <w:rFonts w:cs="Calibri"/>
                <w:b/>
                <w:bCs/>
              </w:rPr>
              <w:t>Problémová oblast:</w:t>
            </w:r>
            <w:r w:rsidRPr="00DD47DF">
              <w:rPr>
                <w:rFonts w:cs="Calibri"/>
                <w:bCs/>
              </w:rPr>
              <w:t xml:space="preserve"> Konkurenceschopné podniky</w:t>
            </w:r>
          </w:p>
          <w:p w14:paraId="4DF38F72" w14:textId="77777777" w:rsidR="00CC45C6" w:rsidRPr="00DD47DF" w:rsidRDefault="00CC45C6" w:rsidP="00CC45C6">
            <w:pPr>
              <w:pStyle w:val="Tabulka"/>
              <w:jc w:val="left"/>
              <w:rPr>
                <w:rFonts w:cs="Calibri"/>
                <w:bCs/>
              </w:rPr>
            </w:pPr>
            <w:r w:rsidRPr="00DD47DF">
              <w:rPr>
                <w:rFonts w:cs="Calibri"/>
                <w:b/>
                <w:bCs/>
              </w:rPr>
              <w:t>Identifikované problémy relevantní pro OP PIK:</w:t>
            </w:r>
            <w:r w:rsidRPr="00DD47DF">
              <w:rPr>
                <w:rFonts w:cs="Calibri"/>
                <w:bCs/>
              </w:rPr>
              <w:t xml:space="preserve"> Vysoká energetická a surovinová náročnost hospodářství a rostoucí ceny energií</w:t>
            </w:r>
          </w:p>
          <w:p w14:paraId="13D2D465" w14:textId="77777777" w:rsidR="00CC45C6" w:rsidRPr="00DD47DF" w:rsidRDefault="00CC45C6" w:rsidP="00CC45C6">
            <w:pPr>
              <w:pStyle w:val="Tabulka"/>
              <w:jc w:val="left"/>
              <w:rPr>
                <w:rFonts w:cs="Calibri"/>
                <w:bCs/>
              </w:rPr>
            </w:pPr>
            <w:r w:rsidRPr="00DD47DF">
              <w:rPr>
                <w:rFonts w:cs="Calibri"/>
                <w:b/>
                <w:bCs/>
              </w:rPr>
              <w:t xml:space="preserve">Priorita financování: </w:t>
            </w:r>
            <w:r w:rsidRPr="00DD47DF">
              <w:rPr>
                <w:szCs w:val="24"/>
              </w:rPr>
              <w:t>Podniky využívající výsledků VaV, konkurenceschopné na globálním trhu a přispívající k nízkouhlíkovému hospodářství, Udržitelná infrastruktura umožňující konkurenceschopnost ekonomiky a odpovídající obslužnost území</w:t>
            </w:r>
          </w:p>
        </w:tc>
      </w:tr>
      <w:tr w:rsidR="00066396" w:rsidRPr="00DD47DF" w14:paraId="4DD91E30" w14:textId="77777777">
        <w:trPr>
          <w:jc w:val="center"/>
        </w:trPr>
        <w:tc>
          <w:tcPr>
            <w:tcW w:w="567" w:type="pct"/>
            <w:vMerge/>
            <w:shd w:val="clear" w:color="auto" w:fill="auto"/>
            <w:vAlign w:val="center"/>
          </w:tcPr>
          <w:p w14:paraId="7A0EA922" w14:textId="77777777" w:rsidR="00066396" w:rsidRPr="00DD47DF" w:rsidRDefault="00066396" w:rsidP="0022028B">
            <w:pPr>
              <w:pStyle w:val="Tabulka"/>
              <w:jc w:val="left"/>
              <w:rPr>
                <w:rFonts w:cs="Calibri"/>
              </w:rPr>
            </w:pPr>
          </w:p>
        </w:tc>
        <w:tc>
          <w:tcPr>
            <w:tcW w:w="1441" w:type="pct"/>
            <w:shd w:val="clear" w:color="auto" w:fill="DBE5F1"/>
            <w:vAlign w:val="center"/>
          </w:tcPr>
          <w:p w14:paraId="1F7B795C" w14:textId="77777777" w:rsidR="00066396" w:rsidRPr="00DD47DF" w:rsidRDefault="00B54D2B" w:rsidP="0022028B">
            <w:pPr>
              <w:pStyle w:val="Tabulka"/>
              <w:jc w:val="left"/>
              <w:rPr>
                <w:rFonts w:cs="Calibri"/>
              </w:rPr>
            </w:pPr>
            <w:r w:rsidRPr="00DD47DF">
              <w:rPr>
                <w:rFonts w:cs="Calibri"/>
              </w:rPr>
              <w:t xml:space="preserve">4 d) </w:t>
            </w:r>
            <w:r w:rsidR="00AA66A2" w:rsidRPr="00DD47DF">
              <w:rPr>
                <w:rFonts w:cs="Calibri"/>
              </w:rPr>
              <w:t>Rozvoj a zavádění inteligentních distribučních soustav, jež fungují na hladině nízkého a středního napětí</w:t>
            </w:r>
          </w:p>
          <w:p w14:paraId="5EEB8993" w14:textId="77777777" w:rsidR="00066396" w:rsidRPr="00DD47DF" w:rsidRDefault="00066396" w:rsidP="0022028B">
            <w:pPr>
              <w:pStyle w:val="Tabulka"/>
              <w:jc w:val="left"/>
              <w:rPr>
                <w:rFonts w:cs="Calibri"/>
              </w:rPr>
            </w:pPr>
          </w:p>
        </w:tc>
        <w:tc>
          <w:tcPr>
            <w:tcW w:w="2992" w:type="pct"/>
            <w:shd w:val="clear" w:color="auto" w:fill="auto"/>
          </w:tcPr>
          <w:p w14:paraId="0D09AD5D" w14:textId="77777777" w:rsidR="00CC256A" w:rsidRPr="00DD47DF" w:rsidRDefault="003F6EA6" w:rsidP="0022028B">
            <w:pPr>
              <w:pStyle w:val="Tabulka"/>
              <w:jc w:val="left"/>
              <w:rPr>
                <w:rFonts w:cs="Calibri"/>
                <w:bCs/>
              </w:rPr>
            </w:pPr>
            <w:r w:rsidRPr="00DD47DF">
              <w:rPr>
                <w:rFonts w:cs="Calibri"/>
                <w:bCs/>
                <w:u w:val="single"/>
              </w:rPr>
              <w:t>Poziční dokument</w:t>
            </w:r>
            <w:r w:rsidRPr="00DD47DF">
              <w:rPr>
                <w:rFonts w:cs="Calibri"/>
                <w:bCs/>
              </w:rPr>
              <w:t xml:space="preserve">: </w:t>
            </w:r>
            <w:r w:rsidR="00260981" w:rsidRPr="00DD47DF">
              <w:rPr>
                <w:rFonts w:cs="Calibri"/>
                <w:bCs/>
              </w:rPr>
              <w:t>Podpora dalšího rozvoje distribučních sítí nízkovoltaické elektrické energie, včetně uvedení inteligentních měřičů e</w:t>
            </w:r>
            <w:r w:rsidR="00CC256A" w:rsidRPr="00DD47DF">
              <w:rPr>
                <w:rFonts w:cs="Calibri"/>
                <w:bCs/>
              </w:rPr>
              <w:t>lektrické energie</w:t>
            </w:r>
          </w:p>
          <w:p w14:paraId="474C7DE9" w14:textId="77777777" w:rsidR="00CC256A" w:rsidRPr="00DD47DF" w:rsidRDefault="00CC256A" w:rsidP="0022028B">
            <w:pPr>
              <w:pStyle w:val="Tabulka"/>
              <w:jc w:val="left"/>
              <w:rPr>
                <w:rFonts w:cs="Calibri"/>
                <w:bCs/>
              </w:rPr>
            </w:pPr>
            <w:r w:rsidRPr="00DD47DF">
              <w:rPr>
                <w:rFonts w:cs="Calibri"/>
                <w:bCs/>
                <w:u w:val="single"/>
              </w:rPr>
              <w:t>SMK</w:t>
            </w:r>
            <w:r w:rsidRPr="00DD47DF">
              <w:rPr>
                <w:rFonts w:cs="Calibri"/>
                <w:bCs/>
              </w:rPr>
              <w:t xml:space="preserve">: </w:t>
            </w:r>
            <w:r w:rsidR="009636EC" w:rsidRPr="00DD47DF">
              <w:rPr>
                <w:rFonts w:cs="Calibri"/>
                <w:bCs/>
              </w:rPr>
              <w:t xml:space="preserve">Posílení </w:t>
            </w:r>
            <w:r w:rsidR="009636EC" w:rsidRPr="00DD47DF">
              <w:rPr>
                <w:rFonts w:cs="Calibri"/>
              </w:rPr>
              <w:t>energetické</w:t>
            </w:r>
            <w:r w:rsidR="00F26347" w:rsidRPr="00DD47DF">
              <w:rPr>
                <w:rFonts w:cs="Calibri"/>
              </w:rPr>
              <w:t xml:space="preserve"> bezpečnosti ČR prostřednictvím</w:t>
            </w:r>
            <w:r w:rsidRPr="00DD47DF">
              <w:rPr>
                <w:rFonts w:cs="Calibri"/>
              </w:rPr>
              <w:t xml:space="preserve"> posilování energetických sítí</w:t>
            </w:r>
          </w:p>
          <w:p w14:paraId="5C87252A" w14:textId="77777777" w:rsidR="00066396" w:rsidRPr="00DD47DF" w:rsidRDefault="00066396" w:rsidP="00CC256A">
            <w:pPr>
              <w:pStyle w:val="Tabulka"/>
              <w:jc w:val="left"/>
              <w:rPr>
                <w:rFonts w:cs="Calibri"/>
                <w:bCs/>
              </w:rPr>
            </w:pPr>
            <w:r w:rsidRPr="00DD47DF">
              <w:rPr>
                <w:rFonts w:cs="Calibri"/>
                <w:bCs/>
                <w:u w:val="single"/>
              </w:rPr>
              <w:t xml:space="preserve">Aktualizace </w:t>
            </w:r>
            <w:r w:rsidR="00CC256A" w:rsidRPr="00DD47DF">
              <w:rPr>
                <w:rFonts w:cs="Calibri"/>
                <w:bCs/>
                <w:u w:val="single"/>
              </w:rPr>
              <w:t>SEK</w:t>
            </w:r>
            <w:r w:rsidRPr="00DD47DF">
              <w:rPr>
                <w:rFonts w:cs="Calibri"/>
                <w:bCs/>
              </w:rPr>
              <w:t>:</w:t>
            </w:r>
            <w:r w:rsidR="00BA4E72" w:rsidRPr="00DD47DF">
              <w:rPr>
                <w:rFonts w:cs="Calibri"/>
                <w:bCs/>
              </w:rPr>
              <w:t xml:space="preserve"> </w:t>
            </w:r>
            <w:r w:rsidR="0007268F" w:rsidRPr="00DD47DF">
              <w:rPr>
                <w:rFonts w:cs="Calibri"/>
                <w:bCs/>
              </w:rPr>
              <w:t xml:space="preserve">Zajistit obnovu a rozvoj distribučních soustav včetně </w:t>
            </w:r>
            <w:r w:rsidR="00F26347" w:rsidRPr="00DD47DF">
              <w:rPr>
                <w:rFonts w:cs="Calibri"/>
                <w:bCs/>
              </w:rPr>
              <w:t>nasazení tzv. smart prvků</w:t>
            </w:r>
          </w:p>
          <w:p w14:paraId="47A9AE13" w14:textId="77777777" w:rsidR="00FA6499" w:rsidRPr="00DD47DF" w:rsidRDefault="00FA6499" w:rsidP="00CC45C6">
            <w:pPr>
              <w:pStyle w:val="Tabulka"/>
              <w:jc w:val="left"/>
              <w:rPr>
                <w:rFonts w:cs="Calibri"/>
                <w:b/>
                <w:bCs/>
              </w:rPr>
            </w:pPr>
            <w:r w:rsidRPr="00DD47DF">
              <w:rPr>
                <w:rFonts w:cs="Calibri"/>
                <w:bCs/>
                <w:u w:val="single"/>
              </w:rPr>
              <w:t>Dohoda o partnerství:</w:t>
            </w:r>
          </w:p>
          <w:p w14:paraId="5387E55E" w14:textId="77777777" w:rsidR="00CC45C6" w:rsidRPr="00DD47DF" w:rsidRDefault="00CC45C6" w:rsidP="00CC45C6">
            <w:pPr>
              <w:pStyle w:val="Tabulka"/>
              <w:jc w:val="left"/>
              <w:rPr>
                <w:rFonts w:cs="Calibri"/>
                <w:b/>
                <w:bCs/>
              </w:rPr>
            </w:pPr>
            <w:r w:rsidRPr="00DD47DF">
              <w:rPr>
                <w:rFonts w:cs="Calibri"/>
                <w:b/>
                <w:bCs/>
              </w:rPr>
              <w:t>Problémová oblast:</w:t>
            </w:r>
            <w:r w:rsidRPr="00DD47DF">
              <w:rPr>
                <w:rFonts w:cs="Calibri"/>
                <w:bCs/>
              </w:rPr>
              <w:t xml:space="preserve"> Energetická infrastruktura</w:t>
            </w:r>
          </w:p>
          <w:p w14:paraId="1F773884" w14:textId="77777777" w:rsidR="00CC45C6" w:rsidRPr="00DD47DF" w:rsidRDefault="00CC45C6" w:rsidP="00CC45C6">
            <w:pPr>
              <w:pStyle w:val="Tabulka"/>
              <w:jc w:val="left"/>
              <w:rPr>
                <w:rFonts w:cs="Calibri"/>
                <w:bCs/>
              </w:rPr>
            </w:pPr>
            <w:r w:rsidRPr="00DD47DF">
              <w:rPr>
                <w:rFonts w:cs="Calibri"/>
                <w:b/>
                <w:bCs/>
              </w:rPr>
              <w:t>Identifikované problémy relevantní pro OP PIK:</w:t>
            </w:r>
            <w:r w:rsidRPr="00DD47DF">
              <w:rPr>
                <w:rFonts w:cs="Calibri"/>
                <w:bCs/>
              </w:rPr>
              <w:t xml:space="preserve"> </w:t>
            </w:r>
            <w:r w:rsidR="00050A91" w:rsidRPr="00DD47DF">
              <w:rPr>
                <w:rFonts w:cs="Calibri"/>
                <w:bCs/>
              </w:rPr>
              <w:t>Nedostatečná modernost a kapacita distribučních soustav z pohledu připojení distribuovaných (včetně intermitentních) zdrojů energie, dálkové spotřeby, spolehlivosti provozu a akumulace energie</w:t>
            </w:r>
          </w:p>
          <w:p w14:paraId="3BBFF2F9" w14:textId="77777777" w:rsidR="00CC45C6" w:rsidRPr="00DD47DF" w:rsidRDefault="00CC45C6" w:rsidP="00CC45C6">
            <w:pPr>
              <w:pStyle w:val="Tabulka"/>
              <w:jc w:val="left"/>
              <w:rPr>
                <w:rFonts w:cs="Calibri"/>
              </w:rPr>
            </w:pPr>
            <w:r w:rsidRPr="00DD47DF">
              <w:rPr>
                <w:rFonts w:cs="Calibri"/>
                <w:b/>
                <w:bCs/>
              </w:rPr>
              <w:t>Priorita financování:</w:t>
            </w:r>
            <w:r w:rsidRPr="00DD47DF">
              <w:rPr>
                <w:szCs w:val="24"/>
              </w:rPr>
              <w:t xml:space="preserve"> Udržitelná infrastruktura umožňující konkurenceschopnost ekonomiky a odpovídající obslužnost území</w:t>
            </w:r>
          </w:p>
        </w:tc>
      </w:tr>
      <w:tr w:rsidR="00066396" w:rsidRPr="00DD47DF" w14:paraId="0D43545F" w14:textId="77777777">
        <w:trPr>
          <w:jc w:val="center"/>
        </w:trPr>
        <w:tc>
          <w:tcPr>
            <w:tcW w:w="567" w:type="pct"/>
            <w:vMerge/>
            <w:shd w:val="clear" w:color="auto" w:fill="auto"/>
            <w:vAlign w:val="center"/>
          </w:tcPr>
          <w:p w14:paraId="1D67E836" w14:textId="77777777" w:rsidR="00066396" w:rsidRPr="00DD47DF" w:rsidRDefault="00066396" w:rsidP="0022028B">
            <w:pPr>
              <w:pStyle w:val="Tabulka"/>
              <w:jc w:val="left"/>
              <w:rPr>
                <w:rFonts w:cs="Calibri"/>
              </w:rPr>
            </w:pPr>
          </w:p>
        </w:tc>
        <w:tc>
          <w:tcPr>
            <w:tcW w:w="1441" w:type="pct"/>
            <w:shd w:val="clear" w:color="auto" w:fill="DBE5F1"/>
            <w:vAlign w:val="center"/>
          </w:tcPr>
          <w:p w14:paraId="3644321D" w14:textId="77777777" w:rsidR="00066396" w:rsidRPr="00DD47DF" w:rsidRDefault="00B54D2B" w:rsidP="0022028B">
            <w:pPr>
              <w:pStyle w:val="Tabulka"/>
              <w:jc w:val="left"/>
              <w:rPr>
                <w:rFonts w:cs="Calibri"/>
              </w:rPr>
            </w:pPr>
            <w:r w:rsidRPr="00DD47DF">
              <w:rPr>
                <w:rFonts w:cs="Calibri"/>
              </w:rPr>
              <w:t xml:space="preserve">4 f) </w:t>
            </w:r>
            <w:r w:rsidR="002641C7" w:rsidRPr="00DD47DF">
              <w:rPr>
                <w:rFonts w:cs="Calibri"/>
              </w:rPr>
              <w:t>Podpora výzkumu a inovací a zavádění nízkouhlíkových technologií</w:t>
            </w:r>
          </w:p>
          <w:p w14:paraId="71435BD9" w14:textId="77777777" w:rsidR="00066396" w:rsidRPr="00DD47DF" w:rsidRDefault="00066396" w:rsidP="0022028B">
            <w:pPr>
              <w:pStyle w:val="Tabulka"/>
              <w:jc w:val="left"/>
              <w:rPr>
                <w:rFonts w:cs="Calibri"/>
              </w:rPr>
            </w:pPr>
          </w:p>
        </w:tc>
        <w:tc>
          <w:tcPr>
            <w:tcW w:w="2992" w:type="pct"/>
            <w:shd w:val="clear" w:color="auto" w:fill="auto"/>
          </w:tcPr>
          <w:p w14:paraId="40278174" w14:textId="77777777" w:rsidR="00BA292F" w:rsidRPr="00DD47DF" w:rsidRDefault="00511660" w:rsidP="0022028B">
            <w:pPr>
              <w:pStyle w:val="Tabulka"/>
              <w:jc w:val="left"/>
              <w:rPr>
                <w:rFonts w:cs="Calibri"/>
              </w:rPr>
            </w:pPr>
            <w:r w:rsidRPr="00DD47DF">
              <w:rPr>
                <w:rFonts w:cs="Calibri"/>
                <w:bCs/>
                <w:u w:val="single"/>
              </w:rPr>
              <w:t>N</w:t>
            </w:r>
            <w:r w:rsidR="00BA292F" w:rsidRPr="00DD47DF">
              <w:rPr>
                <w:rFonts w:cs="Calibri"/>
                <w:bCs/>
                <w:u w:val="single"/>
              </w:rPr>
              <w:t>PR</w:t>
            </w:r>
            <w:r w:rsidRPr="00DD47DF">
              <w:rPr>
                <w:rFonts w:cs="Calibri"/>
                <w:bCs/>
                <w:u w:val="single"/>
              </w:rPr>
              <w:t xml:space="preserve"> 201</w:t>
            </w:r>
            <w:r w:rsidR="00C12521" w:rsidRPr="00DD47DF">
              <w:rPr>
                <w:rFonts w:cs="Calibri"/>
                <w:bCs/>
                <w:u w:val="single"/>
              </w:rPr>
              <w:t>4</w:t>
            </w:r>
            <w:r w:rsidRPr="00DD47DF">
              <w:rPr>
                <w:rFonts w:cs="Calibri"/>
                <w:bCs/>
              </w:rPr>
              <w:t>:</w:t>
            </w:r>
            <w:r w:rsidR="008C3E51" w:rsidRPr="00DD47DF">
              <w:rPr>
                <w:rFonts w:cs="Calibri"/>
              </w:rPr>
              <w:t xml:space="preserve"> </w:t>
            </w:r>
            <w:r w:rsidR="00C12521" w:rsidRPr="00DD47DF">
              <w:rPr>
                <w:rFonts w:cs="Calibri"/>
              </w:rPr>
              <w:t>Podpora technologií umožňujících efektivní využívání druhotných surovin</w:t>
            </w:r>
          </w:p>
          <w:p w14:paraId="469E0F17" w14:textId="77777777" w:rsidR="00066396" w:rsidRPr="00DD47DF" w:rsidRDefault="00066396" w:rsidP="0022028B">
            <w:pPr>
              <w:pStyle w:val="Tabulka"/>
              <w:jc w:val="left"/>
              <w:rPr>
                <w:rFonts w:cs="Calibri"/>
                <w:bCs/>
              </w:rPr>
            </w:pPr>
            <w:r w:rsidRPr="00DD47DF">
              <w:rPr>
                <w:rFonts w:cs="Calibri"/>
                <w:bCs/>
                <w:u w:val="single"/>
              </w:rPr>
              <w:t xml:space="preserve">Koncepce podpory </w:t>
            </w:r>
            <w:r w:rsidR="00BA292F" w:rsidRPr="00DD47DF">
              <w:rPr>
                <w:rFonts w:cs="Calibri"/>
                <w:bCs/>
                <w:u w:val="single"/>
              </w:rPr>
              <w:t>MSP</w:t>
            </w:r>
            <w:r w:rsidRPr="00DD47DF">
              <w:rPr>
                <w:rFonts w:cs="Calibri"/>
                <w:bCs/>
              </w:rPr>
              <w:t xml:space="preserve">: </w:t>
            </w:r>
            <w:r w:rsidR="00BA292F" w:rsidRPr="00DD47DF">
              <w:rPr>
                <w:rFonts w:cs="Calibri"/>
                <w:bCs/>
              </w:rPr>
              <w:t>Z</w:t>
            </w:r>
            <w:r w:rsidR="00B33473" w:rsidRPr="00DD47DF">
              <w:rPr>
                <w:rFonts w:cs="Calibri"/>
                <w:bCs/>
              </w:rPr>
              <w:t>avádění inovací v hledán</w:t>
            </w:r>
            <w:r w:rsidR="00BA292F" w:rsidRPr="00DD47DF">
              <w:rPr>
                <w:rFonts w:cs="Calibri"/>
                <w:bCs/>
              </w:rPr>
              <w:t>í nových alternativních zdrojů,</w:t>
            </w:r>
            <w:r w:rsidR="00B33473" w:rsidRPr="00DD47DF">
              <w:rPr>
                <w:rFonts w:cs="Calibri"/>
                <w:bCs/>
              </w:rPr>
              <w:t xml:space="preserve"> v oblasti úspor energie a vyšší</w:t>
            </w:r>
            <w:r w:rsidR="00BA292F" w:rsidRPr="00DD47DF">
              <w:rPr>
                <w:rFonts w:cs="Calibri"/>
                <w:bCs/>
              </w:rPr>
              <w:t>ho využívání druhotných surovin</w:t>
            </w:r>
          </w:p>
          <w:p w14:paraId="38B5B7ED" w14:textId="77777777" w:rsidR="002356D6" w:rsidRPr="00DD47DF" w:rsidRDefault="002356D6" w:rsidP="0022028B">
            <w:pPr>
              <w:pStyle w:val="Tabulka"/>
              <w:jc w:val="left"/>
              <w:rPr>
                <w:rFonts w:cs="Calibri"/>
                <w:bCs/>
              </w:rPr>
            </w:pPr>
            <w:r w:rsidRPr="00DD47DF">
              <w:rPr>
                <w:rFonts w:cs="Calibri"/>
                <w:bCs/>
                <w:u w:val="single"/>
              </w:rPr>
              <w:t>Politika druhotných surovin ČR</w:t>
            </w:r>
            <w:r w:rsidRPr="00DD47DF">
              <w:rPr>
                <w:rFonts w:cs="Calibri"/>
                <w:bCs/>
              </w:rPr>
              <w:t>: Podpořit inovace zabezpečující získávání druhotných surovin v kvalitě vhodné pro další využití v průmyslu a podpořit využívání druhotných surovin jako nástroje pro snižování energetické a materiálové náročnosti průmyslové výroby</w:t>
            </w:r>
          </w:p>
          <w:p w14:paraId="2E5DDF62" w14:textId="77777777" w:rsidR="00CC45C6" w:rsidRPr="00DD47DF" w:rsidRDefault="00CC45C6" w:rsidP="00CC45C6">
            <w:pPr>
              <w:pStyle w:val="Tabulka"/>
              <w:jc w:val="left"/>
              <w:rPr>
                <w:rFonts w:cs="Calibri"/>
                <w:bCs/>
                <w:u w:val="single"/>
              </w:rPr>
            </w:pPr>
            <w:r w:rsidRPr="00DD47DF">
              <w:rPr>
                <w:rFonts w:cs="Calibri"/>
                <w:bCs/>
                <w:u w:val="single"/>
              </w:rPr>
              <w:t>Dohoda o partnerství:</w:t>
            </w:r>
          </w:p>
          <w:p w14:paraId="624F75BC" w14:textId="77777777" w:rsidR="00CC45C6" w:rsidRPr="00DD47DF" w:rsidRDefault="00CC45C6" w:rsidP="00CC45C6">
            <w:pPr>
              <w:pStyle w:val="Tabulka"/>
              <w:jc w:val="left"/>
              <w:rPr>
                <w:rFonts w:cs="Calibri"/>
                <w:b/>
                <w:bCs/>
              </w:rPr>
            </w:pPr>
            <w:r w:rsidRPr="00DD47DF">
              <w:rPr>
                <w:rFonts w:cs="Calibri"/>
                <w:b/>
                <w:bCs/>
              </w:rPr>
              <w:t>Problémová oblast:</w:t>
            </w:r>
            <w:r w:rsidRPr="00DD47DF">
              <w:rPr>
                <w:rFonts w:cs="Calibri"/>
                <w:bCs/>
              </w:rPr>
              <w:t xml:space="preserve"> Konkurenceschopné podniky a částečně Ochrana životního prostředí</w:t>
            </w:r>
          </w:p>
          <w:p w14:paraId="1D64A3E9" w14:textId="77777777" w:rsidR="00CC45C6" w:rsidRPr="00DD47DF" w:rsidRDefault="00CC45C6" w:rsidP="00CC45C6">
            <w:pPr>
              <w:pStyle w:val="Tabulka"/>
              <w:jc w:val="left"/>
              <w:rPr>
                <w:rFonts w:cs="Calibri"/>
                <w:bCs/>
              </w:rPr>
            </w:pPr>
            <w:r w:rsidRPr="00DD47DF">
              <w:rPr>
                <w:rFonts w:cs="Calibri"/>
                <w:b/>
                <w:bCs/>
              </w:rPr>
              <w:lastRenderedPageBreak/>
              <w:t>Identifikované problémy relevantní pro OP PIK:</w:t>
            </w:r>
            <w:r w:rsidRPr="00DD47DF">
              <w:rPr>
                <w:rFonts w:cs="Calibri"/>
                <w:bCs/>
              </w:rPr>
              <w:t xml:space="preserve"> Vysoká energetická a surovinová náročnost hospodářství a rostoucí ceny energií</w:t>
            </w:r>
          </w:p>
          <w:p w14:paraId="38F0E9BA" w14:textId="77777777" w:rsidR="00CC45C6" w:rsidRPr="00DD47DF" w:rsidRDefault="00CC45C6" w:rsidP="00CC45C6">
            <w:pPr>
              <w:pStyle w:val="Tabulka"/>
              <w:jc w:val="left"/>
              <w:rPr>
                <w:rFonts w:cs="Calibri"/>
                <w:color w:val="000000"/>
              </w:rPr>
            </w:pPr>
            <w:r w:rsidRPr="00DD47DF">
              <w:rPr>
                <w:rFonts w:cs="Calibri"/>
                <w:b/>
                <w:bCs/>
              </w:rPr>
              <w:t xml:space="preserve">Priorita financování: </w:t>
            </w:r>
            <w:r w:rsidRPr="00DD47DF">
              <w:rPr>
                <w:szCs w:val="24"/>
              </w:rPr>
              <w:t>Podniky využívající výsledků VaV, konkurenceschopné na globálním trhu a přispívající k nízkouhlíkovému hospodářství, Udržitelná infrastruktura umožňující konkurenceschopnost ekonomiky, Ochrana životního prostředí a krajiny a přizpůsobení se změně klimatu</w:t>
            </w:r>
          </w:p>
        </w:tc>
      </w:tr>
      <w:tr w:rsidR="00066396" w:rsidRPr="00DD47DF" w14:paraId="27760969" w14:textId="77777777">
        <w:trPr>
          <w:jc w:val="center"/>
        </w:trPr>
        <w:tc>
          <w:tcPr>
            <w:tcW w:w="567" w:type="pct"/>
            <w:vMerge/>
            <w:shd w:val="clear" w:color="auto" w:fill="auto"/>
            <w:vAlign w:val="center"/>
          </w:tcPr>
          <w:p w14:paraId="6B088525" w14:textId="77777777" w:rsidR="00066396" w:rsidRPr="00DD47DF" w:rsidRDefault="00066396" w:rsidP="0022028B">
            <w:pPr>
              <w:pStyle w:val="Tabulka"/>
              <w:jc w:val="left"/>
              <w:rPr>
                <w:rFonts w:cs="Calibri"/>
              </w:rPr>
            </w:pPr>
          </w:p>
        </w:tc>
        <w:tc>
          <w:tcPr>
            <w:tcW w:w="1441" w:type="pct"/>
            <w:shd w:val="clear" w:color="auto" w:fill="DBE5F1"/>
            <w:vAlign w:val="center"/>
          </w:tcPr>
          <w:p w14:paraId="40E8C4F7" w14:textId="77777777" w:rsidR="00066396" w:rsidRPr="00DD47DF" w:rsidRDefault="00B54D2B" w:rsidP="0022028B">
            <w:pPr>
              <w:pStyle w:val="Tabulka"/>
              <w:jc w:val="left"/>
              <w:rPr>
                <w:rFonts w:cs="Calibri"/>
              </w:rPr>
            </w:pPr>
            <w:r w:rsidRPr="00DD47DF">
              <w:rPr>
                <w:rFonts w:cs="Calibri"/>
              </w:rPr>
              <w:t xml:space="preserve">4 g) </w:t>
            </w:r>
            <w:r w:rsidR="00066396" w:rsidRPr="00DD47DF">
              <w:rPr>
                <w:rFonts w:cs="Calibri"/>
              </w:rPr>
              <w:t>Podpora využívání vysoce účinné kombinované výroby tepla a elektřiny na základě poptávky po užitečném teple</w:t>
            </w:r>
          </w:p>
          <w:p w14:paraId="3CD9208E" w14:textId="77777777" w:rsidR="00066396" w:rsidRPr="00DD47DF" w:rsidRDefault="00066396" w:rsidP="0022028B">
            <w:pPr>
              <w:pStyle w:val="Tabulka"/>
              <w:jc w:val="left"/>
              <w:rPr>
                <w:rFonts w:cs="Calibri"/>
              </w:rPr>
            </w:pPr>
          </w:p>
        </w:tc>
        <w:tc>
          <w:tcPr>
            <w:tcW w:w="2992" w:type="pct"/>
            <w:shd w:val="clear" w:color="auto" w:fill="auto"/>
          </w:tcPr>
          <w:p w14:paraId="70C2C5D8" w14:textId="77777777" w:rsidR="003F6EA6" w:rsidRPr="00DD47DF" w:rsidRDefault="003F6EA6" w:rsidP="0022028B">
            <w:pPr>
              <w:pStyle w:val="Tabulka"/>
              <w:jc w:val="left"/>
              <w:rPr>
                <w:rFonts w:cs="Calibri"/>
                <w:bCs/>
              </w:rPr>
            </w:pPr>
            <w:r w:rsidRPr="00DD47DF">
              <w:rPr>
                <w:rFonts w:cs="Calibri"/>
                <w:bCs/>
                <w:u w:val="single"/>
              </w:rPr>
              <w:t>Poziční dokument</w:t>
            </w:r>
            <w:r w:rsidRPr="00DD47DF">
              <w:rPr>
                <w:rFonts w:cs="Calibri"/>
                <w:bCs/>
              </w:rPr>
              <w:t xml:space="preserve">: </w:t>
            </w:r>
            <w:r w:rsidR="00FB134C" w:rsidRPr="00DD47DF">
              <w:rPr>
                <w:rFonts w:cs="Calibri"/>
                <w:bCs/>
              </w:rPr>
              <w:t>Zlepšení</w:t>
            </w:r>
            <w:r w:rsidR="00A1474A" w:rsidRPr="00DD47DF">
              <w:rPr>
                <w:rFonts w:cs="Calibri"/>
                <w:bCs/>
              </w:rPr>
              <w:t xml:space="preserve"> účinnosti místních zařízení pro dálkové vytápění a z</w:t>
            </w:r>
            <w:r w:rsidR="00260981" w:rsidRPr="00DD47DF">
              <w:rPr>
                <w:rFonts w:cs="Calibri"/>
                <w:bCs/>
              </w:rPr>
              <w:t>výšení účinnos</w:t>
            </w:r>
            <w:r w:rsidR="00FB134C" w:rsidRPr="00DD47DF">
              <w:rPr>
                <w:rFonts w:cs="Calibri"/>
                <w:bCs/>
              </w:rPr>
              <w:t>ti distribučních tepelných sítí</w:t>
            </w:r>
          </w:p>
          <w:p w14:paraId="7B2CDCA3" w14:textId="77777777" w:rsidR="00066396" w:rsidRPr="00DD47DF" w:rsidRDefault="00066396" w:rsidP="0022028B">
            <w:pPr>
              <w:pStyle w:val="Tabulka"/>
              <w:jc w:val="left"/>
              <w:rPr>
                <w:rFonts w:cs="Calibri"/>
                <w:bCs/>
              </w:rPr>
            </w:pPr>
            <w:r w:rsidRPr="00DD47DF">
              <w:rPr>
                <w:rFonts w:cs="Calibri"/>
                <w:bCs/>
                <w:u w:val="single"/>
              </w:rPr>
              <w:t xml:space="preserve">Koncepce podpory </w:t>
            </w:r>
            <w:r w:rsidR="00FB134C" w:rsidRPr="00DD47DF">
              <w:rPr>
                <w:rFonts w:cs="Calibri"/>
                <w:bCs/>
                <w:u w:val="single"/>
              </w:rPr>
              <w:t>MSP</w:t>
            </w:r>
            <w:r w:rsidRPr="00DD47DF">
              <w:rPr>
                <w:rFonts w:cs="Calibri"/>
                <w:bCs/>
              </w:rPr>
              <w:t xml:space="preserve">: </w:t>
            </w:r>
            <w:r w:rsidR="00D93658" w:rsidRPr="00DD47DF">
              <w:rPr>
                <w:rFonts w:cs="Calibri"/>
                <w:bCs/>
              </w:rPr>
              <w:t>Z</w:t>
            </w:r>
            <w:r w:rsidR="00B33473" w:rsidRPr="00DD47DF">
              <w:rPr>
                <w:rFonts w:cs="Calibri"/>
                <w:bCs/>
              </w:rPr>
              <w:t>vyšování energetické účinnosti zaváděním kombinované výroby elektřiny a tepla</w:t>
            </w:r>
            <w:r w:rsidR="00D93658" w:rsidRPr="00DD47DF">
              <w:rPr>
                <w:rFonts w:cs="Calibri"/>
                <w:bCs/>
              </w:rPr>
              <w:t>;</w:t>
            </w:r>
            <w:r w:rsidR="00B33473" w:rsidRPr="00DD47DF">
              <w:rPr>
                <w:rFonts w:cs="Calibri"/>
                <w:bCs/>
              </w:rPr>
              <w:t xml:space="preserve"> </w:t>
            </w:r>
            <w:r w:rsidR="00D846F4" w:rsidRPr="00DD47DF">
              <w:rPr>
                <w:rFonts w:cs="Calibri"/>
                <w:bCs/>
              </w:rPr>
              <w:t>modernizace, rekonstrukce a sn</w:t>
            </w:r>
            <w:r w:rsidR="00D93658" w:rsidRPr="00DD47DF">
              <w:rPr>
                <w:rFonts w:cs="Calibri"/>
                <w:bCs/>
              </w:rPr>
              <w:t>ižování ztrát v rozvodech tepla</w:t>
            </w:r>
          </w:p>
          <w:p w14:paraId="03194C15" w14:textId="77777777" w:rsidR="00066396" w:rsidRPr="00DD47DF" w:rsidRDefault="00066396" w:rsidP="00FB134C">
            <w:pPr>
              <w:pStyle w:val="Tabulka"/>
              <w:jc w:val="left"/>
              <w:rPr>
                <w:rFonts w:cs="Calibri"/>
                <w:bCs/>
              </w:rPr>
            </w:pPr>
            <w:r w:rsidRPr="00DD47DF">
              <w:rPr>
                <w:rFonts w:cs="Calibri"/>
                <w:bCs/>
                <w:u w:val="single"/>
              </w:rPr>
              <w:t xml:space="preserve">Aktualizace </w:t>
            </w:r>
            <w:r w:rsidR="00FB134C" w:rsidRPr="00DD47DF">
              <w:rPr>
                <w:rFonts w:cs="Calibri"/>
                <w:bCs/>
                <w:u w:val="single"/>
              </w:rPr>
              <w:t>SEK</w:t>
            </w:r>
            <w:r w:rsidRPr="00DD47DF">
              <w:rPr>
                <w:rFonts w:cs="Calibri"/>
                <w:bCs/>
              </w:rPr>
              <w:t>:</w:t>
            </w:r>
            <w:r w:rsidR="006A7841" w:rsidRPr="00DD47DF">
              <w:rPr>
                <w:rFonts w:cs="Calibri"/>
                <w:bCs/>
              </w:rPr>
              <w:t xml:space="preserve"> </w:t>
            </w:r>
            <w:r w:rsidR="00852093" w:rsidRPr="00DD47DF">
              <w:rPr>
                <w:rFonts w:cs="Calibri"/>
                <w:bCs/>
              </w:rPr>
              <w:t>Dlouhodobě udržet rozsah soustav zásobování teplem</w:t>
            </w:r>
            <w:r w:rsidR="00FB134C" w:rsidRPr="00DD47DF">
              <w:rPr>
                <w:rFonts w:cs="Calibri"/>
                <w:bCs/>
              </w:rPr>
              <w:t>; p</w:t>
            </w:r>
            <w:r w:rsidR="00852093" w:rsidRPr="00DD47DF">
              <w:rPr>
                <w:rFonts w:cs="Calibri"/>
                <w:bCs/>
              </w:rPr>
              <w:t xml:space="preserve">odporovat vysoce účinnou kogenerační výrobu </w:t>
            </w:r>
            <w:r w:rsidR="006A7841" w:rsidRPr="00DD47DF">
              <w:rPr>
                <w:rFonts w:cs="Calibri"/>
                <w:bCs/>
              </w:rPr>
              <w:t>s efektivním využitím tepelných čerpadel a související sn</w:t>
            </w:r>
            <w:r w:rsidR="00FB134C" w:rsidRPr="00DD47DF">
              <w:rPr>
                <w:rFonts w:cs="Calibri"/>
                <w:bCs/>
              </w:rPr>
              <w:t>ížení ztrát v distribuci tepla</w:t>
            </w:r>
          </w:p>
          <w:p w14:paraId="7C8886A2" w14:textId="77777777" w:rsidR="00CC45C6" w:rsidRPr="00DD47DF" w:rsidRDefault="00CC45C6" w:rsidP="00CC45C6">
            <w:pPr>
              <w:pStyle w:val="Tabulka"/>
              <w:jc w:val="left"/>
              <w:rPr>
                <w:rFonts w:cs="Calibri"/>
                <w:bCs/>
                <w:u w:val="single"/>
              </w:rPr>
            </w:pPr>
            <w:r w:rsidRPr="00DD47DF">
              <w:rPr>
                <w:rFonts w:cs="Calibri"/>
                <w:bCs/>
                <w:u w:val="single"/>
              </w:rPr>
              <w:t>Dohoda o partnerství:</w:t>
            </w:r>
          </w:p>
          <w:p w14:paraId="1CA20039" w14:textId="77777777" w:rsidR="00CC45C6" w:rsidRPr="00DD47DF" w:rsidRDefault="00CC45C6" w:rsidP="00CC45C6">
            <w:pPr>
              <w:pStyle w:val="Tabulka"/>
              <w:jc w:val="left"/>
              <w:rPr>
                <w:rFonts w:cs="Calibri"/>
                <w:b/>
                <w:bCs/>
              </w:rPr>
            </w:pPr>
            <w:r w:rsidRPr="00DD47DF">
              <w:rPr>
                <w:rFonts w:cs="Calibri"/>
                <w:b/>
                <w:bCs/>
              </w:rPr>
              <w:t>Problémová oblast:</w:t>
            </w:r>
            <w:r w:rsidRPr="00DD47DF">
              <w:rPr>
                <w:rFonts w:cs="Calibri"/>
                <w:bCs/>
              </w:rPr>
              <w:t xml:space="preserve"> Energetická infrastruktura</w:t>
            </w:r>
          </w:p>
          <w:p w14:paraId="0DEF4F92" w14:textId="77777777" w:rsidR="00CC45C6" w:rsidRPr="00DD47DF" w:rsidRDefault="00CC45C6" w:rsidP="00CC45C6">
            <w:pPr>
              <w:pStyle w:val="Tabulka"/>
              <w:jc w:val="left"/>
              <w:rPr>
                <w:rFonts w:cs="Calibri"/>
                <w:bCs/>
              </w:rPr>
            </w:pPr>
            <w:r w:rsidRPr="00DD47DF">
              <w:rPr>
                <w:rFonts w:cs="Calibri"/>
                <w:b/>
                <w:bCs/>
              </w:rPr>
              <w:t>Identifikované problémy relevantní pro OP PIK:</w:t>
            </w:r>
            <w:r w:rsidRPr="00DD47DF">
              <w:rPr>
                <w:rFonts w:cs="Calibri"/>
                <w:bCs/>
              </w:rPr>
              <w:t xml:space="preserve"> Vysoký podíl ztrát tepelné energie v tepelných rozvodných zařízeních a nevyužitý potenciál kombinované výroby elektřiny a tepla</w:t>
            </w:r>
          </w:p>
          <w:p w14:paraId="30CC44BE" w14:textId="77777777" w:rsidR="00CC45C6" w:rsidRPr="00DD47DF" w:rsidRDefault="00CC45C6" w:rsidP="00CC45C6">
            <w:pPr>
              <w:pStyle w:val="Tabulka"/>
              <w:jc w:val="left"/>
              <w:rPr>
                <w:rFonts w:cs="Calibri"/>
                <w:color w:val="000000"/>
              </w:rPr>
            </w:pPr>
            <w:r w:rsidRPr="00DD47DF">
              <w:rPr>
                <w:rFonts w:cs="Calibri"/>
                <w:b/>
                <w:bCs/>
              </w:rPr>
              <w:t>Priorita financování:</w:t>
            </w:r>
            <w:r w:rsidRPr="00DD47DF">
              <w:rPr>
                <w:szCs w:val="24"/>
              </w:rPr>
              <w:t xml:space="preserve"> Udržitelná infrastruktura umožňující konkurenceschopnost ekonomiky a odpovídající obslužnost území</w:t>
            </w:r>
          </w:p>
        </w:tc>
      </w:tr>
      <w:tr w:rsidR="00DB5E8B" w:rsidRPr="00DD47DF" w14:paraId="5A64AAE5" w14:textId="77777777">
        <w:trPr>
          <w:jc w:val="center"/>
        </w:trPr>
        <w:tc>
          <w:tcPr>
            <w:tcW w:w="567" w:type="pct"/>
            <w:shd w:val="clear" w:color="auto" w:fill="B8CCE4"/>
            <w:vAlign w:val="center"/>
          </w:tcPr>
          <w:p w14:paraId="7653D98F" w14:textId="77777777" w:rsidR="00DB5E8B" w:rsidRPr="00DD47DF" w:rsidRDefault="00DB5E8B" w:rsidP="0022028B">
            <w:pPr>
              <w:pStyle w:val="Tabulka"/>
              <w:jc w:val="left"/>
              <w:rPr>
                <w:rFonts w:cs="Calibri"/>
              </w:rPr>
            </w:pPr>
            <w:r w:rsidRPr="00DD47DF">
              <w:rPr>
                <w:rFonts w:cs="Calibri"/>
              </w:rPr>
              <w:t>7</w:t>
            </w:r>
            <w:r w:rsidR="00CC5E04" w:rsidRPr="00DD47DF">
              <w:rPr>
                <w:rFonts w:cs="Calibri"/>
              </w:rPr>
              <w:t>)</w:t>
            </w:r>
            <w:r w:rsidRPr="00DD47DF">
              <w:rPr>
                <w:rFonts w:cs="Calibri"/>
              </w:rPr>
              <w:t xml:space="preserve"> Podpora udržitelné dopravy a odstraňování překážek v klíčových síťových infrastrukturách</w:t>
            </w:r>
          </w:p>
        </w:tc>
        <w:tc>
          <w:tcPr>
            <w:tcW w:w="1441" w:type="pct"/>
            <w:shd w:val="clear" w:color="auto" w:fill="DBE5F1"/>
            <w:vAlign w:val="center"/>
          </w:tcPr>
          <w:p w14:paraId="09CE29AE" w14:textId="77777777" w:rsidR="00DB5E8B" w:rsidRPr="00DD47DF" w:rsidRDefault="00B54D2B" w:rsidP="0022028B">
            <w:pPr>
              <w:pStyle w:val="Tabulka"/>
              <w:jc w:val="left"/>
              <w:rPr>
                <w:rFonts w:cs="Calibri"/>
              </w:rPr>
            </w:pPr>
            <w:r w:rsidRPr="00DD47DF">
              <w:rPr>
                <w:rFonts w:cs="Calibri"/>
              </w:rPr>
              <w:t xml:space="preserve">7 e) </w:t>
            </w:r>
            <w:r w:rsidR="00DB5E8B" w:rsidRPr="00DD47DF">
              <w:rPr>
                <w:rFonts w:cs="Calibri"/>
              </w:rPr>
              <w:t>Zvyšování energetické účinnosti a zabezpečení dodávek prostřednictvím rozvoje inteligentních systémů pro distribuci, skladování a přenos energie a prostřednictvím integrace distribuované výroby z obnovitelných zdrojů</w:t>
            </w:r>
          </w:p>
        </w:tc>
        <w:tc>
          <w:tcPr>
            <w:tcW w:w="2992" w:type="pct"/>
            <w:shd w:val="clear" w:color="auto" w:fill="auto"/>
          </w:tcPr>
          <w:p w14:paraId="4521ACE3" w14:textId="77777777" w:rsidR="00DB5E8B" w:rsidRPr="00DD47DF" w:rsidRDefault="00DB5E8B" w:rsidP="00DB5E8B">
            <w:pPr>
              <w:pStyle w:val="Tabulka"/>
              <w:jc w:val="left"/>
              <w:rPr>
                <w:rFonts w:cs="Calibri"/>
                <w:bCs/>
              </w:rPr>
            </w:pPr>
            <w:r w:rsidRPr="00DD47DF">
              <w:rPr>
                <w:rFonts w:cs="Calibri"/>
                <w:bCs/>
                <w:u w:val="single"/>
              </w:rPr>
              <w:t>NPR 201</w:t>
            </w:r>
            <w:r w:rsidR="00C12521" w:rsidRPr="00DD47DF">
              <w:rPr>
                <w:rFonts w:cs="Calibri"/>
                <w:bCs/>
                <w:u w:val="single"/>
              </w:rPr>
              <w:t>4</w:t>
            </w:r>
            <w:r w:rsidRPr="00DD47DF">
              <w:rPr>
                <w:rFonts w:cs="Calibri"/>
                <w:bCs/>
              </w:rPr>
              <w:t>:</w:t>
            </w:r>
            <w:r w:rsidRPr="00DD47DF">
              <w:rPr>
                <w:rFonts w:cs="Calibri"/>
              </w:rPr>
              <w:t xml:space="preserve"> </w:t>
            </w:r>
            <w:r w:rsidR="00050A91" w:rsidRPr="00DD47DF">
              <w:rPr>
                <w:rFonts w:cs="Calibri"/>
              </w:rPr>
              <w:t>Posílení kapacity přenosových sítí</w:t>
            </w:r>
          </w:p>
          <w:p w14:paraId="37F24E8A" w14:textId="77777777" w:rsidR="00DB5E8B" w:rsidRPr="00DD47DF" w:rsidRDefault="00DB5E8B" w:rsidP="00DB5E8B">
            <w:pPr>
              <w:pStyle w:val="Tabulka"/>
              <w:jc w:val="left"/>
              <w:rPr>
                <w:rFonts w:cs="Calibri"/>
              </w:rPr>
            </w:pPr>
            <w:r w:rsidRPr="00DD47DF">
              <w:rPr>
                <w:rFonts w:cs="Calibri"/>
                <w:bCs/>
                <w:u w:val="single"/>
              </w:rPr>
              <w:t>SMK</w:t>
            </w:r>
            <w:r w:rsidRPr="00DD47DF">
              <w:rPr>
                <w:rFonts w:cs="Calibri"/>
                <w:bCs/>
              </w:rPr>
              <w:t xml:space="preserve">: Posílení </w:t>
            </w:r>
            <w:r w:rsidRPr="00DD47DF">
              <w:rPr>
                <w:rFonts w:cs="Calibri"/>
              </w:rPr>
              <w:t>energetické bezpečnosti ČR, opatření v oblasti výstavby zálohových zdrojů, posilování energetických sítí</w:t>
            </w:r>
          </w:p>
          <w:p w14:paraId="65BBE84F" w14:textId="77777777" w:rsidR="00F26347" w:rsidRPr="00DD47DF" w:rsidRDefault="00F26347" w:rsidP="00F26347">
            <w:pPr>
              <w:pStyle w:val="Tabulka"/>
              <w:jc w:val="left"/>
              <w:rPr>
                <w:rFonts w:cs="Calibri"/>
              </w:rPr>
            </w:pPr>
            <w:r w:rsidRPr="00DD47DF">
              <w:rPr>
                <w:rFonts w:cs="Calibri"/>
                <w:u w:val="single"/>
              </w:rPr>
              <w:t>SRR</w:t>
            </w:r>
            <w:r w:rsidRPr="00DD47DF">
              <w:rPr>
                <w:rFonts w:cs="Calibri"/>
              </w:rPr>
              <w:t xml:space="preserve">: </w:t>
            </w:r>
            <w:r w:rsidR="00FA6499" w:rsidRPr="00DD47DF">
              <w:rPr>
                <w:rFonts w:cs="Calibri"/>
              </w:rPr>
              <w:t>M</w:t>
            </w:r>
            <w:r w:rsidRPr="00DD47DF">
              <w:rPr>
                <w:rFonts w:cs="Calibri"/>
              </w:rPr>
              <w:t>odernizace energetických sítí a zajištění bezpečnosti dodávek energií vzhledem k </w:t>
            </w:r>
            <w:r w:rsidR="007419E7" w:rsidRPr="00DD47DF">
              <w:rPr>
                <w:rFonts w:cs="Calibri"/>
              </w:rPr>
              <w:t>nárůstu</w:t>
            </w:r>
            <w:r w:rsidRPr="00DD47DF">
              <w:rPr>
                <w:rFonts w:cs="Calibri"/>
              </w:rPr>
              <w:t xml:space="preserve"> nárok</w:t>
            </w:r>
            <w:r w:rsidR="007419E7" w:rsidRPr="00DD47DF">
              <w:rPr>
                <w:rFonts w:cs="Calibri"/>
              </w:rPr>
              <w:t>ů</w:t>
            </w:r>
            <w:r w:rsidRPr="00DD47DF">
              <w:rPr>
                <w:rFonts w:cs="Calibri"/>
              </w:rPr>
              <w:t xml:space="preserve"> na přenosovou soustavu v důsledku rozvoje OZE v </w:t>
            </w:r>
            <w:r w:rsidR="00FA6499" w:rsidRPr="00DD47DF">
              <w:rPr>
                <w:rFonts w:cs="Calibri"/>
              </w:rPr>
              <w:t>Německu</w:t>
            </w:r>
          </w:p>
          <w:p w14:paraId="74CC1947" w14:textId="77777777" w:rsidR="00DB5E8B" w:rsidRPr="00DD47DF" w:rsidRDefault="00DB5E8B" w:rsidP="00F26347">
            <w:pPr>
              <w:pStyle w:val="Tabulka"/>
              <w:jc w:val="left"/>
              <w:rPr>
                <w:rFonts w:cs="Calibri"/>
                <w:bCs/>
              </w:rPr>
            </w:pPr>
            <w:r w:rsidRPr="00DD47DF">
              <w:rPr>
                <w:rFonts w:cs="Calibri"/>
                <w:bCs/>
                <w:u w:val="single"/>
              </w:rPr>
              <w:t>Aktualizace SEK</w:t>
            </w:r>
            <w:r w:rsidRPr="00DD47DF">
              <w:rPr>
                <w:rFonts w:cs="Calibri"/>
                <w:bCs/>
              </w:rPr>
              <w:t>:</w:t>
            </w:r>
            <w:r w:rsidR="00BA4E72" w:rsidRPr="00DD47DF">
              <w:rPr>
                <w:rFonts w:cs="Calibri"/>
                <w:bCs/>
              </w:rPr>
              <w:t xml:space="preserve"> </w:t>
            </w:r>
            <w:r w:rsidR="00F26347" w:rsidRPr="00DD47DF">
              <w:rPr>
                <w:rFonts w:cs="Calibri"/>
                <w:bCs/>
              </w:rPr>
              <w:t>Obnova a modernizace přenosové soustavy a zvyšování její odolnosti při vzniku krizových situací, zajištění</w:t>
            </w:r>
            <w:r w:rsidRPr="00DD47DF">
              <w:rPr>
                <w:rFonts w:cs="Calibri"/>
                <w:bCs/>
              </w:rPr>
              <w:t xml:space="preserve"> připravenost</w:t>
            </w:r>
            <w:r w:rsidR="00F26347" w:rsidRPr="00DD47DF">
              <w:rPr>
                <w:rFonts w:cs="Calibri"/>
                <w:bCs/>
              </w:rPr>
              <w:t>i</w:t>
            </w:r>
            <w:r w:rsidRPr="00DD47DF">
              <w:rPr>
                <w:rFonts w:cs="Calibri"/>
                <w:bCs/>
              </w:rPr>
              <w:t xml:space="preserve"> přenosové soustavy k připojení nových výrobních kapacit</w:t>
            </w:r>
          </w:p>
          <w:p w14:paraId="54F2BF4A" w14:textId="77777777" w:rsidR="00FA6499" w:rsidRPr="00DD47DF" w:rsidRDefault="00FA6499" w:rsidP="00DB5E8B">
            <w:pPr>
              <w:pStyle w:val="Tabulka"/>
              <w:jc w:val="left"/>
              <w:rPr>
                <w:rFonts w:cs="Calibri"/>
                <w:b/>
                <w:bCs/>
              </w:rPr>
            </w:pPr>
            <w:r w:rsidRPr="00DD47DF">
              <w:rPr>
                <w:rFonts w:cs="Calibri"/>
                <w:bCs/>
                <w:u w:val="single"/>
              </w:rPr>
              <w:t>Dohoda o partnerství:</w:t>
            </w:r>
          </w:p>
          <w:p w14:paraId="7FA15584" w14:textId="77777777" w:rsidR="00DB5E8B" w:rsidRPr="00DD47DF" w:rsidRDefault="00DB5E8B" w:rsidP="00DB5E8B">
            <w:pPr>
              <w:pStyle w:val="Tabulka"/>
              <w:jc w:val="left"/>
              <w:rPr>
                <w:rFonts w:cs="Calibri"/>
                <w:b/>
                <w:bCs/>
              </w:rPr>
            </w:pPr>
            <w:r w:rsidRPr="00DD47DF">
              <w:rPr>
                <w:rFonts w:cs="Calibri"/>
                <w:b/>
                <w:bCs/>
              </w:rPr>
              <w:t>Problémová oblast:</w:t>
            </w:r>
            <w:r w:rsidRPr="00DD47DF">
              <w:rPr>
                <w:rFonts w:cs="Calibri"/>
                <w:bCs/>
              </w:rPr>
              <w:t xml:space="preserve"> Energetická infrastruktura</w:t>
            </w:r>
          </w:p>
          <w:p w14:paraId="6B5AAEC6" w14:textId="77777777" w:rsidR="00DB5E8B" w:rsidRPr="00DD47DF" w:rsidRDefault="00DB5E8B" w:rsidP="00DB5E8B">
            <w:pPr>
              <w:pStyle w:val="Tabulka"/>
              <w:jc w:val="left"/>
              <w:rPr>
                <w:rFonts w:cs="Calibri"/>
                <w:bCs/>
              </w:rPr>
            </w:pPr>
            <w:r w:rsidRPr="00DD47DF">
              <w:rPr>
                <w:rFonts w:cs="Calibri"/>
                <w:b/>
                <w:bCs/>
              </w:rPr>
              <w:lastRenderedPageBreak/>
              <w:t>Identifikované problémy relevantní pro OP PIK:</w:t>
            </w:r>
            <w:r w:rsidRPr="00DD47DF">
              <w:rPr>
                <w:rFonts w:cs="Calibri"/>
                <w:bCs/>
              </w:rPr>
              <w:t xml:space="preserve"> Nedostatečná modernost a kapacita přenosové soustavy </w:t>
            </w:r>
            <w:r w:rsidR="00050A91" w:rsidRPr="00DD47DF">
              <w:rPr>
                <w:rFonts w:cs="Calibri"/>
                <w:bCs/>
              </w:rPr>
              <w:t>zajišťující nárůst spotřeby, připojení nových zdrojů a tranzitní nároky na přenosovou soustavu v ČR ve směru sever – jih, garantující bezpečnost, odolnost a spolehlivost provozu na současné úrovni</w:t>
            </w:r>
          </w:p>
          <w:p w14:paraId="10EFCBA8" w14:textId="77777777" w:rsidR="00DB5E8B" w:rsidRPr="00DD47DF" w:rsidRDefault="00DB5E8B" w:rsidP="00DB5E8B">
            <w:pPr>
              <w:pStyle w:val="Tabulka"/>
              <w:jc w:val="left"/>
              <w:rPr>
                <w:rFonts w:cs="Calibri"/>
                <w:bCs/>
                <w:u w:val="single"/>
              </w:rPr>
            </w:pPr>
            <w:r w:rsidRPr="00DD47DF">
              <w:rPr>
                <w:rFonts w:cs="Calibri"/>
                <w:b/>
                <w:bCs/>
              </w:rPr>
              <w:t>Priorita financování:</w:t>
            </w:r>
            <w:r w:rsidRPr="00DD47DF">
              <w:rPr>
                <w:szCs w:val="24"/>
              </w:rPr>
              <w:t xml:space="preserve"> Udržitelná infrastruktura umožňující konkurenceschopnost ekonomiky a odpovídající obslužnost území</w:t>
            </w:r>
          </w:p>
        </w:tc>
      </w:tr>
    </w:tbl>
    <w:p w14:paraId="62FCFC3D" w14:textId="77777777" w:rsidR="00297A5A" w:rsidRPr="00DD47DF" w:rsidRDefault="00066396" w:rsidP="00906900">
      <w:pPr>
        <w:pStyle w:val="Standardntext"/>
        <w:spacing w:before="120"/>
        <w:sectPr w:rsidR="00297A5A" w:rsidRPr="00DD47DF" w:rsidSect="00E963F0">
          <w:headerReference w:type="default" r:id="rId23"/>
          <w:footerReference w:type="default" r:id="rId24"/>
          <w:pgSz w:w="16838" w:h="11906" w:orient="landscape" w:code="9"/>
          <w:pgMar w:top="1418" w:right="1418" w:bottom="1276" w:left="1276" w:header="709" w:footer="709" w:gutter="0"/>
          <w:cols w:space="708"/>
          <w:docGrid w:linePitch="272"/>
        </w:sectPr>
      </w:pPr>
      <w:r w:rsidRPr="00DD47DF">
        <w:rPr>
          <w:b/>
        </w:rPr>
        <w:lastRenderedPageBreak/>
        <w:t>Pozn.:</w:t>
      </w:r>
      <w:r w:rsidRPr="00DD47DF">
        <w:t xml:space="preserve"> </w:t>
      </w:r>
      <w:r w:rsidR="00981FDB" w:rsidRPr="00DD47DF">
        <w:t>Znění tematických cílů</w:t>
      </w:r>
      <w:r w:rsidRPr="00DD47DF">
        <w:t xml:space="preserve"> dle čl. 9 </w:t>
      </w:r>
      <w:r w:rsidR="00981FDB" w:rsidRPr="00DD47DF">
        <w:t>obecného nařízení a investičních priorit</w:t>
      </w:r>
      <w:r w:rsidRPr="00DD47DF">
        <w:t xml:space="preserve"> dle čl. 5 </w:t>
      </w:r>
      <w:r w:rsidR="00A30521" w:rsidRPr="00DD47DF">
        <w:t xml:space="preserve">nařízení </w:t>
      </w:r>
      <w:r w:rsidR="00BF360E" w:rsidRPr="00DD47DF">
        <w:t>o</w:t>
      </w:r>
      <w:r w:rsidR="0017188B" w:rsidRPr="00DD47DF">
        <w:t> </w:t>
      </w:r>
      <w:r w:rsidR="0059287E" w:rsidRPr="00DD47DF">
        <w:t>EFRR</w:t>
      </w:r>
      <w:r w:rsidRPr="00DD47DF">
        <w:t>.</w:t>
      </w:r>
    </w:p>
    <w:p w14:paraId="1E65A354" w14:textId="77777777" w:rsidR="00DD0FDA" w:rsidRPr="00DD47DF" w:rsidRDefault="006271CC" w:rsidP="009C7BE0">
      <w:pPr>
        <w:pStyle w:val="Nadpis2"/>
        <w:spacing w:line="240" w:lineRule="auto"/>
        <w:rPr>
          <w:rFonts w:cs="Calibri"/>
        </w:rPr>
      </w:pPr>
      <w:bookmarkStart w:id="19" w:name="_Toc351464354"/>
      <w:bookmarkStart w:id="20" w:name="_Toc520445241"/>
      <w:r w:rsidRPr="00DD47DF">
        <w:rPr>
          <w:rFonts w:cs="Calibri"/>
        </w:rPr>
        <w:lastRenderedPageBreak/>
        <w:t>O</w:t>
      </w:r>
      <w:r w:rsidR="001E2583" w:rsidRPr="00DD47DF">
        <w:rPr>
          <w:rFonts w:cs="Calibri"/>
        </w:rPr>
        <w:t xml:space="preserve">důvodnění </w:t>
      </w:r>
      <w:r w:rsidRPr="00DD47DF">
        <w:rPr>
          <w:rFonts w:cs="Calibri"/>
        </w:rPr>
        <w:t xml:space="preserve">přidělení </w:t>
      </w:r>
      <w:r w:rsidR="001E2583" w:rsidRPr="00DD47DF">
        <w:rPr>
          <w:rFonts w:cs="Calibri"/>
        </w:rPr>
        <w:t>finančních alokací</w:t>
      </w:r>
      <w:bookmarkEnd w:id="19"/>
      <w:bookmarkEnd w:id="20"/>
      <w:r w:rsidR="001E2583" w:rsidRPr="00DD47DF">
        <w:rPr>
          <w:rFonts w:cs="Calibri"/>
        </w:rPr>
        <w:t xml:space="preserve"> </w:t>
      </w:r>
    </w:p>
    <w:p w14:paraId="3C3787F6" w14:textId="77777777" w:rsidR="00BE7303" w:rsidRPr="00DD47DF" w:rsidRDefault="00BE7303" w:rsidP="00BE7303">
      <w:pPr>
        <w:pStyle w:val="Standardntext"/>
      </w:pPr>
      <w:r w:rsidRPr="00DD47DF">
        <w:t>OP PIK disponuje alokací 4 331 mil. EUR (EFRR) přidělené z národní obálky na základě:</w:t>
      </w:r>
    </w:p>
    <w:p w14:paraId="3967B5EB" w14:textId="77777777" w:rsidR="00BE7303" w:rsidRPr="00DD47DF" w:rsidRDefault="00BE7303" w:rsidP="00DA3512">
      <w:pPr>
        <w:pStyle w:val="Standardntext"/>
        <w:numPr>
          <w:ilvl w:val="0"/>
          <w:numId w:val="95"/>
        </w:numPr>
        <w:spacing w:after="0"/>
      </w:pPr>
      <w:r w:rsidRPr="00DD47DF">
        <w:t xml:space="preserve">analýzy disparit a rozvojových potřeb, v návaznosti na to stanovených priorit financování ČR v Dohodě o partnerství, </w:t>
      </w:r>
    </w:p>
    <w:p w14:paraId="5ABAD222" w14:textId="77777777" w:rsidR="00BE7303" w:rsidRPr="00DD47DF" w:rsidRDefault="00BE7303" w:rsidP="00DA3512">
      <w:pPr>
        <w:pStyle w:val="Standardntext"/>
        <w:numPr>
          <w:ilvl w:val="0"/>
          <w:numId w:val="95"/>
        </w:numPr>
        <w:spacing w:after="0"/>
      </w:pPr>
      <w:r w:rsidRPr="00DD47DF">
        <w:t>doporučení útvarů EK k prioritám financování ČR v období 2014-2020,</w:t>
      </w:r>
    </w:p>
    <w:p w14:paraId="4C1C536B" w14:textId="77777777" w:rsidR="00BE7303" w:rsidRPr="00DD47DF" w:rsidRDefault="00BE7303" w:rsidP="00DA3512">
      <w:pPr>
        <w:pStyle w:val="Standardntext"/>
        <w:numPr>
          <w:ilvl w:val="0"/>
          <w:numId w:val="95"/>
        </w:numPr>
        <w:ind w:left="714" w:hanging="357"/>
      </w:pPr>
      <w:r w:rsidRPr="00DD47DF">
        <w:t>věcného zaměření OP PIK, jeho úlohy jako programu přispívajícího k naplňování tematických cílů (TC) 1, 2, 3, 4 a 7, při respektování požadavků na tematickou koncentraci.</w:t>
      </w:r>
    </w:p>
    <w:p w14:paraId="75B90D61" w14:textId="77777777" w:rsidR="00BE7303" w:rsidRPr="00DD47DF" w:rsidRDefault="00BE7303" w:rsidP="00BE7303">
      <w:pPr>
        <w:pStyle w:val="Standardntext"/>
        <w:spacing w:after="0"/>
      </w:pPr>
      <w:r w:rsidRPr="00DD47DF">
        <w:t>Rozdělení alokace OP PIK mezi prioritní osy a investiční priority vychází ze:</w:t>
      </w:r>
    </w:p>
    <w:p w14:paraId="57433673" w14:textId="77777777" w:rsidR="00BE7303" w:rsidRPr="00DD47DF" w:rsidRDefault="00BE7303" w:rsidP="00DA3512">
      <w:pPr>
        <w:pStyle w:val="Standardntext"/>
        <w:numPr>
          <w:ilvl w:val="0"/>
          <w:numId w:val="96"/>
        </w:numPr>
        <w:spacing w:after="0"/>
      </w:pPr>
      <w:r w:rsidRPr="00DD47DF">
        <w:t>strategie programu a věcného zaměření prioritních os (PO) a specifických cílů,</w:t>
      </w:r>
    </w:p>
    <w:p w14:paraId="488CCF7D" w14:textId="77777777" w:rsidR="00BE7303" w:rsidRPr="00DD47DF" w:rsidRDefault="00BE7303" w:rsidP="00DA3512">
      <w:pPr>
        <w:pStyle w:val="Standardntext"/>
        <w:numPr>
          <w:ilvl w:val="0"/>
          <w:numId w:val="96"/>
        </w:numPr>
        <w:spacing w:after="0"/>
      </w:pPr>
      <w:r w:rsidRPr="00DD47DF">
        <w:t xml:space="preserve">analytických podkladů a strategických dokumentů ČR s vazbou na OP PIK, </w:t>
      </w:r>
    </w:p>
    <w:p w14:paraId="5D00D5F6" w14:textId="77777777" w:rsidR="00BE7303" w:rsidRPr="00DD47DF" w:rsidRDefault="00BE7303" w:rsidP="00DA3512">
      <w:pPr>
        <w:pStyle w:val="Standardntext"/>
        <w:numPr>
          <w:ilvl w:val="0"/>
          <w:numId w:val="96"/>
        </w:numPr>
        <w:spacing w:after="0"/>
      </w:pPr>
      <w:r w:rsidRPr="00DD47DF">
        <w:t>zkušeností z programového období 2007-2013,</w:t>
      </w:r>
    </w:p>
    <w:p w14:paraId="041D1942" w14:textId="77777777" w:rsidR="00BE7303" w:rsidRPr="00DD47DF" w:rsidRDefault="00BE7303" w:rsidP="00DA3512">
      <w:pPr>
        <w:pStyle w:val="Standardntext"/>
        <w:numPr>
          <w:ilvl w:val="0"/>
          <w:numId w:val="96"/>
        </w:numPr>
        <w:spacing w:after="0"/>
      </w:pPr>
      <w:r w:rsidRPr="00DD47DF">
        <w:t>diskusí s partnery,</w:t>
      </w:r>
    </w:p>
    <w:p w14:paraId="6B5EB91D" w14:textId="77777777" w:rsidR="00BE7303" w:rsidRPr="00DD47DF" w:rsidRDefault="00BE7303" w:rsidP="00DA3512">
      <w:pPr>
        <w:pStyle w:val="Standardntext"/>
        <w:numPr>
          <w:ilvl w:val="0"/>
          <w:numId w:val="96"/>
        </w:numPr>
      </w:pPr>
      <w:r w:rsidRPr="00DD47DF">
        <w:t>mapování absorpční kapacity na straně potencionálních příjemců</w:t>
      </w:r>
      <w:r w:rsidRPr="00DD47DF">
        <w:rPr>
          <w:rStyle w:val="Znakapoznpodarou"/>
        </w:rPr>
        <w:footnoteReference w:id="30"/>
      </w:r>
      <w:r w:rsidRPr="00DD47DF">
        <w:t xml:space="preserve">.    </w:t>
      </w:r>
    </w:p>
    <w:p w14:paraId="2BF079F5" w14:textId="77777777" w:rsidR="00BE7303" w:rsidRPr="00DD47DF" w:rsidRDefault="00BE7303" w:rsidP="00BE7303">
      <w:pPr>
        <w:spacing w:after="120"/>
        <w:jc w:val="both"/>
        <w:rPr>
          <w:sz w:val="24"/>
          <w:szCs w:val="24"/>
        </w:rPr>
      </w:pPr>
      <w:r w:rsidRPr="00DD47DF">
        <w:rPr>
          <w:sz w:val="24"/>
          <w:szCs w:val="24"/>
        </w:rPr>
        <w:t>Míra spolufinancování PO 1 – 4 se vztahuje na celkové způsobilé výdaje</w:t>
      </w:r>
      <w:r w:rsidRPr="00DD47DF">
        <w:rPr>
          <w:rStyle w:val="Znakapoznpodarou"/>
          <w:szCs w:val="24"/>
        </w:rPr>
        <w:footnoteReference w:id="31"/>
      </w:r>
      <w:r w:rsidRPr="00DD47DF">
        <w:rPr>
          <w:sz w:val="24"/>
          <w:szCs w:val="24"/>
        </w:rPr>
        <w:t>. Při stanovení národního spolufinancování se vychází z materiálu MF definujícího podíl národního spolufinancování dle příjemců podpory. Pro OP PIK je stanoveno nulové spolufinancování podnikatelských subjektů z veřejných zdrojů s tím, že v případě, že bude prokázána dostatečná absorpční kapacita OP PIK (tzn. zazávazkovaný podíl prostředků z EFRR bude k 31. 12. 2017 minimálně o 15 % vyšší než součet alokací na roky 2014-2017) a zároveň nebude v roce 2017 uplatněno automatické zrušení závazku, vláda ČR rozhodne o zvýšení příspěvku státního rozpočtu až do výše 15 % alokace programu (EFRR)</w:t>
      </w:r>
      <w:r w:rsidRPr="00DD47DF">
        <w:rPr>
          <w:sz w:val="24"/>
          <w:szCs w:val="24"/>
          <w:vertAlign w:val="superscript"/>
        </w:rPr>
        <w:footnoteReference w:id="32"/>
      </w:r>
      <w:r w:rsidRPr="00DD47DF">
        <w:rPr>
          <w:sz w:val="24"/>
          <w:szCs w:val="24"/>
        </w:rPr>
        <w:t xml:space="preserve">. Při splnění této podmínky bude tedy v letech 2018-2020 přiděleno OP PIK národní spolufinancování ze státního rozpočtu až do výše 761 658 109 EUR. </w:t>
      </w:r>
    </w:p>
    <w:p w14:paraId="43837F8D" w14:textId="77777777" w:rsidR="00BE7303" w:rsidRPr="00DD47DF" w:rsidRDefault="00BE7303" w:rsidP="00BE7303">
      <w:pPr>
        <w:pStyle w:val="Standardntext"/>
      </w:pPr>
      <w:r w:rsidRPr="00DD47DF">
        <w:t>Největší část finanční alokace OP PIK (</w:t>
      </w:r>
      <w:r w:rsidR="002756E7" w:rsidRPr="00DD47DF">
        <w:t>téměř</w:t>
      </w:r>
      <w:r w:rsidR="00CA2C89" w:rsidRPr="00DD47DF">
        <w:t xml:space="preserve"> </w:t>
      </w:r>
      <w:r w:rsidRPr="00DD47DF">
        <w:t xml:space="preserve">60 %) připadá na PO 1 a 3, které mají bezprostřední vazbu na plnění vybraných hlavních cílů strategie Evropa 2020. </w:t>
      </w:r>
    </w:p>
    <w:p w14:paraId="26C10C01" w14:textId="7209031A" w:rsidR="00BE7303" w:rsidRPr="00DD47DF" w:rsidRDefault="00BE7303" w:rsidP="00BE7303">
      <w:pPr>
        <w:spacing w:after="120"/>
        <w:jc w:val="both"/>
        <w:rPr>
          <w:sz w:val="24"/>
          <w:szCs w:val="24"/>
        </w:rPr>
      </w:pPr>
      <w:r w:rsidRPr="00DD47DF">
        <w:rPr>
          <w:sz w:val="24"/>
          <w:szCs w:val="24"/>
        </w:rPr>
        <w:t>Intervence v </w:t>
      </w:r>
      <w:r w:rsidRPr="00DD47DF">
        <w:rPr>
          <w:b/>
          <w:sz w:val="24"/>
          <w:szCs w:val="24"/>
        </w:rPr>
        <w:t>PO 1</w:t>
      </w:r>
      <w:r w:rsidRPr="00DD47DF">
        <w:rPr>
          <w:sz w:val="24"/>
          <w:szCs w:val="24"/>
        </w:rPr>
        <w:t xml:space="preserve"> (vazba na TC 1) cílí na zvýšení výdajů soukromého sektoru na výzkumné a inovační činnosti. V souladu s RIS3 je potřeba podpořit investice do zlepšení kvality infrastruktury pro výzkum a technologický rozvoj s prioritou modernizace a rozšíření výzkumného vybavení, dále finančně náročné investice do podnikového VaV a inovací, do vývoje produktů a služeb a obchodování s výsledky výzkumu. Problémem v ČR je nedostatečná spolupráce ve VaV mezi soukromou a veřejnou sférou, proto je zapotřebí podporovat projekty přenosu technologií, vytváření sítí, rozvoje klastrů a aplikovaných inovací prostřednictvím konceptu inteligentní specializace, projekty technologického a aplikovaného výzkumu, mezinárodní spolupráce a také ochrany duševního vlastnictví. Důraz je v OP PIK dáván na větší koncentraci veřejných zdrojů v souladu s RIS3. Výrazně menší objem prostředků než v období 2007-2013 bude směrován do rozvoje infrastruktury pro VaV, což </w:t>
      </w:r>
      <w:r w:rsidRPr="00DD47DF">
        <w:rPr>
          <w:sz w:val="24"/>
          <w:szCs w:val="24"/>
        </w:rPr>
        <w:lastRenderedPageBreak/>
        <w:t>souvisí se změnou zaměření od kvantity k vyšší kvalitě služeb již vybudované infrastruktury. Potenciál pro rozvoj inovačního systému v ČR je naopak spatřován v aplikovaném průmyslovém výzkumu / KETs, který je novou oblastí podpory v OP PIK, přičemž má přímou vazbu na hlavní cíl strategie Evropa 2020 zvýšit investice do VaV. Řádově nižší objemy finančních prostředků jsou směrovány na finančně méně náročné projekty partnerství a spolupráce a také na nové aktivity typu proof-of-concept. Dominantní podíl alokace v rámci PO-1 je předpokládán pro intervence na zvýšení inovační výkonnosti podniků (cca 22,5 % alokace programu), největší podíl půjde tedy na individuální projekty podniků, neboť inovační infrastruktura je již do značné míry vytvořena.</w:t>
      </w:r>
    </w:p>
    <w:p w14:paraId="56F65CA7" w14:textId="77777777" w:rsidR="00BE7303" w:rsidRPr="00DD47DF" w:rsidRDefault="00BE7303" w:rsidP="00BE7303">
      <w:pPr>
        <w:pStyle w:val="Standardntext"/>
      </w:pPr>
      <w:r w:rsidRPr="00DD47DF">
        <w:t>V </w:t>
      </w:r>
      <w:r w:rsidRPr="00DD47DF">
        <w:rPr>
          <w:b/>
        </w:rPr>
        <w:t>PO 2</w:t>
      </w:r>
      <w:r w:rsidRPr="00DD47DF">
        <w:t xml:space="preserve"> (vazba na TC 3) </w:t>
      </w:r>
      <w:r w:rsidR="00FD57C0" w:rsidRPr="00DD47DF">
        <w:t xml:space="preserve">dojde </w:t>
      </w:r>
      <w:r w:rsidRPr="00DD47DF">
        <w:t xml:space="preserve">oproti období 2007-2013 k posunu ve formě podpory poskytované začínajícím a rozvojovým MSP od dotací směrem k finančním nástrojům (FN); </w:t>
      </w:r>
      <w:r w:rsidR="00FD57C0" w:rsidRPr="00DD47DF">
        <w:t>které v této prioritní ose zamýšlí řídící orgán uplatnit. Konkrétní podobu finančních nástrojů stanoví předběžné posouzení podle čl. 37 odst. 2 obecného nařízení.</w:t>
      </w:r>
      <w:r w:rsidRPr="00DD47DF">
        <w:t xml:space="preserve">. Alokace na podporu poradenských služeb a internacionalizaci MSP byly oproti období 2007-2013 mírně redukovány, což mj. souvisí i se snahou o jejich větší koncentraci na specializované, cílené služby. Hlavní důraz by měl být kladen na systémové projekty (nové i pokračování stávajících úspěšných), namísto individuálních podpor. Menšími alokacemi ve srovnání s obdobím 2007-2013 disponuje OP PIK pro modernizaci stávajících průmyslových areálů a brownfieldů a na rozvoj infrastruktury pro odborné vzdělávání v podnicích. Namísto extenzivní podpory těchto projektů by se mělo jednat o cílené intervence reagující na specifické potřeby v regionech ČR.      </w:t>
      </w:r>
    </w:p>
    <w:p w14:paraId="444D47C9" w14:textId="77777777" w:rsidR="00BE7303" w:rsidRPr="00DD47DF" w:rsidRDefault="00BE7303" w:rsidP="00BE7303">
      <w:pPr>
        <w:spacing w:after="120"/>
        <w:jc w:val="both"/>
        <w:rPr>
          <w:sz w:val="24"/>
          <w:szCs w:val="24"/>
        </w:rPr>
      </w:pPr>
      <w:r w:rsidRPr="00DD47DF">
        <w:rPr>
          <w:b/>
          <w:sz w:val="24"/>
          <w:szCs w:val="24"/>
        </w:rPr>
        <w:t xml:space="preserve">PO 3 </w:t>
      </w:r>
      <w:r w:rsidRPr="00DD47DF">
        <w:rPr>
          <w:sz w:val="24"/>
          <w:szCs w:val="24"/>
        </w:rPr>
        <w:t xml:space="preserve">(vazba na TC 4) představuje nástroj pro dosažení nákladově efektivního, nízkouhlíkového hospodářství. PO 3 přímo přispívá k naplňování hlavního cíle strategie Evropa 2020 zaměřeného na nárůst energetické účinnosti (pro PO 3 přidělena druhá nejvyšší alokace OP PIK). Strategické dokumenty ČR i doporučení EK identifikují v oblasti energetiky řadu investičně náročných potřeb spočívajících mj. v modernizaci zařízení na výrobu elektrické energie, distribuce a transformace za účelem zvýšení energetické účinnosti průmyslu, zvýšení účinnosti distribučních tepelných sítí, dále v oblasti úspor energie, kdy je důležité zlepšit energetickou náročnost budov a průmyslových odvětví, a také v oblasti využívání OZE ve výrobě elektrické energie, včetně příslušných investic do energetické infrastruktury a technologií. Potřeby byly identifikovány v oblasti uplatňování ekoinovací a ekologických technologií v MSP. Významných energetických úspor v průmyslu již bylo dosaženo díky podpoře z OPPI, nicméně v procesu zvyšování energetické účinnosti je nutné pokračovat, což potvrzují i podkladové analýzy, které potvrdily stále značný přetrvávající potenciál v této oblasti. Nově budou v OP PIK podpořena klíčová modernizační opatření v přenosové síti (ve vazbě na TC 7) a v distribučních sítích, neboť ČR musí reagovat na významné změny v energetickém mixu, které ohrožují bezpečnost dodávek elektrické energie. </w:t>
      </w:r>
    </w:p>
    <w:p w14:paraId="63C7D10B" w14:textId="77777777" w:rsidR="00BE7303" w:rsidRPr="00DD47DF" w:rsidRDefault="00BE7303" w:rsidP="00BE7303">
      <w:pPr>
        <w:pStyle w:val="Standardntext"/>
      </w:pPr>
      <w:r w:rsidRPr="00DD47DF">
        <w:rPr>
          <w:b/>
        </w:rPr>
        <w:t>PO 4</w:t>
      </w:r>
      <w:r w:rsidRPr="00DD47DF">
        <w:t xml:space="preserve"> (vazba na TC 2) přispěje zvýšením pokrytí vysokorychlostním přístupem k internetu ke zlepšení přístupu k ICT, zejména v méně rozvinutých regionech. Jde o nový typ intervencí, které nebyly dosud z fondů EU v ČR podporovány. Přidělená alokace reflektuje možnosti OP PIK. Intervence budou směřovat do lokalit, ve kterých neexistuje žádný provozovatel sítě pro vysokorychlostní přístup k internetu umožňující zajišťování služby reálnou rychlostí alespoň 30 Mbit/s a není pravděpodobné, že by v ní do tří let nějaký poskytovatel vybudoval infrastrukturu pro poskytování této služby. Očekávané výsledky OP PIK jsou založené na propočtech finanční náročnosti těchto typů investic. Zhruba srovnatelná alokace jako v období 2007-2013 bude přidělena na rozvoj vysoce sofistikovaných ICT řešení, sdílených služeb a datových center.    </w:t>
      </w:r>
    </w:p>
    <w:p w14:paraId="03AB89D6" w14:textId="77777777" w:rsidR="00BE7303" w:rsidRPr="00DD47DF" w:rsidRDefault="00BE7303" w:rsidP="00BE7303">
      <w:pPr>
        <w:pStyle w:val="Standardntext"/>
      </w:pPr>
      <w:r w:rsidRPr="00DD47DF">
        <w:lastRenderedPageBreak/>
        <w:t>Pro</w:t>
      </w:r>
      <w:r w:rsidRPr="00DD47DF">
        <w:rPr>
          <w:b/>
        </w:rPr>
        <w:t xml:space="preserve"> PO 5 </w:t>
      </w:r>
      <w:r w:rsidRPr="00DD47DF">
        <w:t>je předpokládána alokace ve výši 2,9 % z celkové alokace programu. Její rozdělení na specifické cíle vychází ze zkušeností s realizací technické pomoci v OPPI a ve vazbě na alokaci a aktivity OPTP.</w:t>
      </w:r>
    </w:p>
    <w:p w14:paraId="66D38D5D" w14:textId="77777777" w:rsidR="004A17B3" w:rsidRPr="00DD47DF" w:rsidRDefault="004A17B3" w:rsidP="0094785C">
      <w:pPr>
        <w:pStyle w:val="Standardntext"/>
      </w:pPr>
    </w:p>
    <w:p w14:paraId="5CE31295" w14:textId="77777777" w:rsidR="000733A8" w:rsidRPr="00DD47DF" w:rsidRDefault="000733A8" w:rsidP="001D1607">
      <w:pPr>
        <w:pStyle w:val="Standardntext"/>
        <w:rPr>
          <w:bCs/>
          <w:color w:val="FF0000"/>
        </w:rPr>
        <w:sectPr w:rsidR="000733A8" w:rsidRPr="00DD47DF" w:rsidSect="00297A5A">
          <w:headerReference w:type="default" r:id="rId25"/>
          <w:footerReference w:type="default" r:id="rId26"/>
          <w:type w:val="continuous"/>
          <w:pgSz w:w="11906" w:h="16838"/>
          <w:pgMar w:top="1418" w:right="1276" w:bottom="1276" w:left="1418" w:header="709" w:footer="709" w:gutter="0"/>
          <w:cols w:space="708"/>
          <w:docGrid w:linePitch="272"/>
        </w:sectPr>
      </w:pPr>
    </w:p>
    <w:p w14:paraId="0E4CCA41" w14:textId="77777777" w:rsidR="00676C59" w:rsidRPr="00DD47DF" w:rsidRDefault="004C54D5" w:rsidP="001D1607">
      <w:pPr>
        <w:pStyle w:val="Titulek"/>
        <w:keepNext/>
        <w:keepLines/>
      </w:pPr>
      <w:r w:rsidRPr="00DD47DF">
        <w:lastRenderedPageBreak/>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2</w:t>
      </w:r>
      <w:r w:rsidR="002756E7" w:rsidRPr="00DD47DF">
        <w:rPr>
          <w:noProof/>
        </w:rPr>
        <w:fldChar w:fldCharType="end"/>
      </w:r>
      <w:r w:rsidR="00676C59" w:rsidRPr="00DD47DF">
        <w:t xml:space="preserve">: Přehled investiční strategie </w:t>
      </w:r>
      <w:r w:rsidR="00C277A8" w:rsidRPr="00DD47DF">
        <w:t xml:space="preserve">operačního </w:t>
      </w:r>
      <w:r w:rsidR="00676C59" w:rsidRPr="00DD47DF">
        <w:t>programu</w:t>
      </w:r>
      <w:r w:rsidR="00811581" w:rsidRPr="00DD47DF">
        <w:rPr>
          <w:rStyle w:val="Znakapoznpodarou"/>
        </w:rPr>
        <w:footnoteReference w:id="33"/>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900"/>
        <w:gridCol w:w="709"/>
        <w:gridCol w:w="1445"/>
        <w:gridCol w:w="1330"/>
        <w:gridCol w:w="1619"/>
        <w:gridCol w:w="3119"/>
        <w:gridCol w:w="2254"/>
        <w:gridCol w:w="1882"/>
      </w:tblGrid>
      <w:tr w:rsidR="001366EB" w:rsidRPr="00DD47DF" w14:paraId="3BEAE05E" w14:textId="77777777">
        <w:trPr>
          <w:jc w:val="center"/>
        </w:trPr>
        <w:tc>
          <w:tcPr>
            <w:tcW w:w="1900" w:type="dxa"/>
            <w:shd w:val="clear" w:color="auto" w:fill="B8CCE4"/>
          </w:tcPr>
          <w:p w14:paraId="32F7D736" w14:textId="77777777" w:rsidR="001366EB" w:rsidRPr="00DD47DF" w:rsidRDefault="001366EB" w:rsidP="00B91AC2">
            <w:pPr>
              <w:pStyle w:val="Tabulka"/>
              <w:keepNext/>
              <w:keepLines/>
              <w:rPr>
                <w:rFonts w:cs="Calibri"/>
                <w:b/>
              </w:rPr>
            </w:pPr>
            <w:r w:rsidRPr="00DD47DF">
              <w:rPr>
                <w:rFonts w:cs="Calibri"/>
                <w:b/>
              </w:rPr>
              <w:t>Prioritní osa</w:t>
            </w:r>
          </w:p>
        </w:tc>
        <w:tc>
          <w:tcPr>
            <w:tcW w:w="709" w:type="dxa"/>
            <w:shd w:val="clear" w:color="auto" w:fill="B8CCE4"/>
          </w:tcPr>
          <w:p w14:paraId="690803EA" w14:textId="77777777" w:rsidR="00B91AC2" w:rsidRPr="00DD47DF" w:rsidRDefault="001366EB" w:rsidP="00703630">
            <w:pPr>
              <w:pStyle w:val="Tabulka"/>
              <w:keepNext/>
              <w:keepLines/>
              <w:rPr>
                <w:rFonts w:cs="Calibri"/>
                <w:b/>
              </w:rPr>
            </w:pPr>
            <w:r w:rsidRPr="00DD47DF">
              <w:rPr>
                <w:rFonts w:cs="Calibri"/>
                <w:b/>
              </w:rPr>
              <w:t>Fond</w:t>
            </w:r>
          </w:p>
        </w:tc>
        <w:tc>
          <w:tcPr>
            <w:tcW w:w="1445" w:type="dxa"/>
            <w:shd w:val="clear" w:color="auto" w:fill="B8CCE4"/>
          </w:tcPr>
          <w:p w14:paraId="738B04EB" w14:textId="77777777" w:rsidR="00B91AC2" w:rsidRPr="00DD47DF" w:rsidRDefault="00C277A8" w:rsidP="00703630">
            <w:pPr>
              <w:pStyle w:val="Tabulka"/>
              <w:keepNext/>
              <w:keepLines/>
              <w:rPr>
                <w:rFonts w:cs="Calibri"/>
                <w:b/>
              </w:rPr>
            </w:pPr>
            <w:r w:rsidRPr="00DD47DF">
              <w:rPr>
                <w:rFonts w:cs="Calibri"/>
                <w:b/>
              </w:rPr>
              <w:t>Podpora</w:t>
            </w:r>
            <w:r w:rsidR="00B91AC2" w:rsidRPr="00DD47DF">
              <w:rPr>
                <w:rFonts w:cs="Calibri"/>
                <w:b/>
              </w:rPr>
              <w:t xml:space="preserve"> </w:t>
            </w:r>
            <w:r w:rsidR="001366EB" w:rsidRPr="00DD47DF">
              <w:rPr>
                <w:rFonts w:cs="Calibri"/>
                <w:b/>
              </w:rPr>
              <w:t>U</w:t>
            </w:r>
            <w:r w:rsidR="00B91AC2" w:rsidRPr="00DD47DF">
              <w:rPr>
                <w:rFonts w:cs="Calibri"/>
                <w:b/>
              </w:rPr>
              <w:t>nie</w:t>
            </w:r>
            <w:r w:rsidR="00ED2F09" w:rsidRPr="00DD47DF">
              <w:rPr>
                <w:rFonts w:cs="Calibri"/>
                <w:b/>
              </w:rPr>
              <w:t xml:space="preserve"> </w:t>
            </w:r>
            <w:r w:rsidR="00A74A51" w:rsidRPr="00DD47DF">
              <w:rPr>
                <w:rFonts w:cs="Calibri"/>
                <w:b/>
              </w:rPr>
              <w:t>(</w:t>
            </w:r>
            <w:r w:rsidR="00ED2F09" w:rsidRPr="00DD47DF">
              <w:rPr>
                <w:rFonts w:cs="Calibri"/>
                <w:b/>
              </w:rPr>
              <w:t>EUR</w:t>
            </w:r>
            <w:r w:rsidR="00A74A51" w:rsidRPr="00DD47DF">
              <w:rPr>
                <w:rFonts w:cs="Calibri"/>
                <w:b/>
              </w:rPr>
              <w:t>)</w:t>
            </w:r>
          </w:p>
        </w:tc>
        <w:tc>
          <w:tcPr>
            <w:tcW w:w="1330" w:type="dxa"/>
            <w:shd w:val="clear" w:color="auto" w:fill="B8CCE4"/>
          </w:tcPr>
          <w:p w14:paraId="37488E34" w14:textId="77777777" w:rsidR="00B91AC2" w:rsidRPr="00DD47DF" w:rsidRDefault="00846C82" w:rsidP="00703630">
            <w:pPr>
              <w:pStyle w:val="Tabulka"/>
              <w:keepNext/>
              <w:keepLines/>
              <w:rPr>
                <w:rFonts w:cs="Calibri"/>
                <w:b/>
              </w:rPr>
            </w:pPr>
            <w:r w:rsidRPr="00DD47DF">
              <w:rPr>
                <w:rFonts w:cs="Calibri"/>
                <w:b/>
              </w:rPr>
              <w:t>P</w:t>
            </w:r>
            <w:r w:rsidR="00C277A8" w:rsidRPr="00DD47DF">
              <w:rPr>
                <w:rFonts w:cs="Calibri"/>
                <w:b/>
              </w:rPr>
              <w:t>odíl celkové</w:t>
            </w:r>
            <w:r w:rsidRPr="00DD47DF">
              <w:rPr>
                <w:rFonts w:cs="Calibri"/>
                <w:b/>
              </w:rPr>
              <w:t xml:space="preserve"> </w:t>
            </w:r>
            <w:r w:rsidR="00C277A8" w:rsidRPr="00DD47DF">
              <w:rPr>
                <w:rFonts w:cs="Calibri"/>
                <w:b/>
              </w:rPr>
              <w:t>podpory</w:t>
            </w:r>
            <w:r w:rsidRPr="00DD47DF">
              <w:rPr>
                <w:rFonts w:cs="Calibri"/>
                <w:b/>
              </w:rPr>
              <w:t xml:space="preserve"> Unie operační</w:t>
            </w:r>
            <w:r w:rsidR="00C277A8" w:rsidRPr="00DD47DF">
              <w:rPr>
                <w:rFonts w:cs="Calibri"/>
                <w:b/>
              </w:rPr>
              <w:t>mu</w:t>
            </w:r>
            <w:r w:rsidRPr="00DD47DF">
              <w:rPr>
                <w:rFonts w:cs="Calibri"/>
                <w:b/>
              </w:rPr>
              <w:t xml:space="preserve"> program</w:t>
            </w:r>
            <w:r w:rsidR="00C277A8" w:rsidRPr="00DD47DF">
              <w:rPr>
                <w:rFonts w:cs="Calibri"/>
                <w:b/>
              </w:rPr>
              <w:t>u</w:t>
            </w:r>
          </w:p>
        </w:tc>
        <w:tc>
          <w:tcPr>
            <w:tcW w:w="1619" w:type="dxa"/>
            <w:shd w:val="clear" w:color="auto" w:fill="B8CCE4"/>
          </w:tcPr>
          <w:p w14:paraId="75842AD8" w14:textId="77777777" w:rsidR="001366EB" w:rsidRPr="00DD47DF" w:rsidRDefault="001366EB" w:rsidP="00B91AC2">
            <w:pPr>
              <w:pStyle w:val="Tabulka"/>
              <w:keepNext/>
              <w:keepLines/>
              <w:rPr>
                <w:rFonts w:cs="Calibri"/>
                <w:b/>
              </w:rPr>
            </w:pPr>
            <w:r w:rsidRPr="00DD47DF">
              <w:rPr>
                <w:rFonts w:cs="Calibri"/>
                <w:b/>
              </w:rPr>
              <w:t>Tematický cíl</w:t>
            </w:r>
          </w:p>
          <w:p w14:paraId="6A6C8505" w14:textId="77777777" w:rsidR="00B91AC2" w:rsidRPr="00DD47DF" w:rsidRDefault="00B91AC2" w:rsidP="00703630">
            <w:pPr>
              <w:pStyle w:val="Tabulka"/>
              <w:keepNext/>
              <w:keepLines/>
              <w:jc w:val="left"/>
              <w:rPr>
                <w:rFonts w:cs="Calibri"/>
              </w:rPr>
            </w:pPr>
          </w:p>
        </w:tc>
        <w:tc>
          <w:tcPr>
            <w:tcW w:w="3119" w:type="dxa"/>
            <w:shd w:val="clear" w:color="auto" w:fill="B8CCE4"/>
          </w:tcPr>
          <w:p w14:paraId="60380807" w14:textId="77777777" w:rsidR="00846C82" w:rsidRPr="00DD47DF" w:rsidRDefault="001366EB" w:rsidP="00703630">
            <w:pPr>
              <w:pStyle w:val="Tabulka"/>
              <w:keepNext/>
              <w:keepLines/>
              <w:rPr>
                <w:rFonts w:cs="Calibri"/>
                <w:b/>
              </w:rPr>
            </w:pPr>
            <w:r w:rsidRPr="00DD47DF">
              <w:rPr>
                <w:rFonts w:cs="Calibri"/>
                <w:b/>
              </w:rPr>
              <w:t>Investiční priority</w:t>
            </w:r>
          </w:p>
        </w:tc>
        <w:tc>
          <w:tcPr>
            <w:tcW w:w="2254" w:type="dxa"/>
            <w:shd w:val="clear" w:color="auto" w:fill="B8CCE4"/>
          </w:tcPr>
          <w:p w14:paraId="6098CE01" w14:textId="77777777" w:rsidR="00846C82" w:rsidRPr="00DD47DF" w:rsidRDefault="001366EB" w:rsidP="00703630">
            <w:pPr>
              <w:pStyle w:val="Tabulka"/>
              <w:keepNext/>
              <w:keepLines/>
              <w:rPr>
                <w:rFonts w:cs="Calibri"/>
                <w:b/>
              </w:rPr>
            </w:pPr>
            <w:r w:rsidRPr="00DD47DF">
              <w:rPr>
                <w:rFonts w:cs="Calibri"/>
                <w:b/>
              </w:rPr>
              <w:t>Specifické cíle odpovídající investiční prioritě</w:t>
            </w:r>
          </w:p>
        </w:tc>
        <w:tc>
          <w:tcPr>
            <w:tcW w:w="1882" w:type="dxa"/>
            <w:shd w:val="clear" w:color="auto" w:fill="B8CCE4"/>
            <w:vAlign w:val="center"/>
          </w:tcPr>
          <w:p w14:paraId="6123F7EB" w14:textId="77777777" w:rsidR="001366EB" w:rsidRPr="00DD47DF" w:rsidRDefault="00846C82" w:rsidP="00BA1E1C">
            <w:pPr>
              <w:pStyle w:val="Tabulka"/>
              <w:keepNext/>
              <w:keepLines/>
              <w:rPr>
                <w:rFonts w:cs="Calibri"/>
                <w:b/>
              </w:rPr>
            </w:pPr>
            <w:r w:rsidRPr="00DD47DF">
              <w:rPr>
                <w:rFonts w:cs="Calibri"/>
                <w:b/>
              </w:rPr>
              <w:t xml:space="preserve">Společné a specifické </w:t>
            </w:r>
            <w:r w:rsidR="00703630" w:rsidRPr="00DD47DF">
              <w:rPr>
                <w:rFonts w:cs="Calibri"/>
                <w:b/>
              </w:rPr>
              <w:t xml:space="preserve">programové </w:t>
            </w:r>
            <w:r w:rsidR="00C277A8" w:rsidRPr="00DD47DF">
              <w:rPr>
                <w:rFonts w:cs="Calibri"/>
                <w:b/>
              </w:rPr>
              <w:t>ukazatele výsledků, pro které byl stanoven cíl</w:t>
            </w:r>
          </w:p>
        </w:tc>
      </w:tr>
      <w:tr w:rsidR="00BD619A" w:rsidRPr="00DD47DF" w14:paraId="7F2CABA6" w14:textId="77777777">
        <w:trPr>
          <w:jc w:val="center"/>
        </w:trPr>
        <w:tc>
          <w:tcPr>
            <w:tcW w:w="1900" w:type="dxa"/>
            <w:vMerge w:val="restart"/>
            <w:shd w:val="clear" w:color="auto" w:fill="DBE5F1"/>
            <w:vAlign w:val="center"/>
          </w:tcPr>
          <w:p w14:paraId="3CAE4280" w14:textId="77777777" w:rsidR="00BD619A" w:rsidRPr="00DD47DF" w:rsidRDefault="00BD619A" w:rsidP="001D1607">
            <w:pPr>
              <w:pStyle w:val="Tabulka"/>
              <w:keepNext/>
              <w:keepLines/>
              <w:jc w:val="left"/>
              <w:rPr>
                <w:rFonts w:cs="Calibri"/>
              </w:rPr>
            </w:pPr>
            <w:r w:rsidRPr="00DD47DF">
              <w:rPr>
                <w:rFonts w:cs="Calibri"/>
              </w:rPr>
              <w:t>PO 1: Rozvoj výzkumu a vývoje pro inovace</w:t>
            </w:r>
          </w:p>
          <w:p w14:paraId="043A05DD" w14:textId="77777777" w:rsidR="00BD619A" w:rsidRPr="00DD47DF" w:rsidRDefault="00BD619A" w:rsidP="001D1607">
            <w:pPr>
              <w:pStyle w:val="Tabulka"/>
              <w:keepNext/>
              <w:keepLines/>
              <w:rPr>
                <w:rFonts w:cs="Calibri"/>
              </w:rPr>
            </w:pPr>
          </w:p>
        </w:tc>
        <w:tc>
          <w:tcPr>
            <w:tcW w:w="709" w:type="dxa"/>
            <w:vMerge w:val="restart"/>
            <w:vAlign w:val="center"/>
          </w:tcPr>
          <w:p w14:paraId="40FFAF33" w14:textId="77777777" w:rsidR="00BD619A" w:rsidRPr="00DD47DF" w:rsidRDefault="00BD619A" w:rsidP="00D40246">
            <w:pPr>
              <w:pStyle w:val="Tabulka"/>
              <w:keepNext/>
              <w:keepLines/>
              <w:rPr>
                <w:rFonts w:cs="Calibri"/>
              </w:rPr>
            </w:pPr>
            <w:r w:rsidRPr="00DD47DF">
              <w:rPr>
                <w:rFonts w:cs="Calibri"/>
              </w:rPr>
              <w:t>EFRR</w:t>
            </w:r>
          </w:p>
        </w:tc>
        <w:tc>
          <w:tcPr>
            <w:tcW w:w="1445" w:type="dxa"/>
            <w:vMerge w:val="restart"/>
            <w:vAlign w:val="center"/>
          </w:tcPr>
          <w:p w14:paraId="2BF10F0C" w14:textId="77777777" w:rsidR="00BD619A" w:rsidRPr="00DD47DF" w:rsidRDefault="008E5470" w:rsidP="00D40246">
            <w:pPr>
              <w:pStyle w:val="Tabulka"/>
              <w:keepNext/>
              <w:keepLines/>
              <w:rPr>
                <w:rFonts w:cs="Calibri"/>
              </w:rPr>
            </w:pPr>
            <w:r w:rsidRPr="00DD47DF">
              <w:rPr>
                <w:rFonts w:cs="Calibri"/>
              </w:rPr>
              <w:t>1 352 544 411</w:t>
            </w:r>
          </w:p>
        </w:tc>
        <w:tc>
          <w:tcPr>
            <w:tcW w:w="1330" w:type="dxa"/>
            <w:vMerge w:val="restart"/>
            <w:vAlign w:val="center"/>
          </w:tcPr>
          <w:p w14:paraId="59DAF8D4" w14:textId="77777777" w:rsidR="00BD619A" w:rsidRPr="00DD47DF" w:rsidRDefault="00847395" w:rsidP="008E5470">
            <w:pPr>
              <w:pStyle w:val="Tabulka"/>
              <w:keepNext/>
              <w:keepLines/>
              <w:rPr>
                <w:rFonts w:cs="Calibri"/>
              </w:rPr>
            </w:pPr>
            <w:r w:rsidRPr="00DD47DF">
              <w:rPr>
                <w:rFonts w:cs="Calibri"/>
              </w:rPr>
              <w:t>31</w:t>
            </w:r>
            <w:r w:rsidR="00BD619A" w:rsidRPr="00DD47DF">
              <w:rPr>
                <w:rFonts w:cs="Calibri"/>
              </w:rPr>
              <w:t>,</w:t>
            </w:r>
            <w:r w:rsidR="008E5470" w:rsidRPr="00DD47DF">
              <w:rPr>
                <w:rFonts w:cs="Calibri"/>
              </w:rPr>
              <w:t>23</w:t>
            </w:r>
            <w:r w:rsidR="00A74A51" w:rsidRPr="00DD47DF">
              <w:rPr>
                <w:rFonts w:cs="Calibri"/>
              </w:rPr>
              <w:t xml:space="preserve"> %</w:t>
            </w:r>
          </w:p>
        </w:tc>
        <w:tc>
          <w:tcPr>
            <w:tcW w:w="1619" w:type="dxa"/>
            <w:vMerge w:val="restart"/>
            <w:vAlign w:val="center"/>
          </w:tcPr>
          <w:p w14:paraId="4088C311" w14:textId="77777777" w:rsidR="00BD619A" w:rsidRPr="00DD47DF" w:rsidRDefault="00BD619A" w:rsidP="00D40246">
            <w:pPr>
              <w:pStyle w:val="Tabulka"/>
              <w:keepNext/>
              <w:keepLines/>
              <w:rPr>
                <w:rFonts w:cs="Calibri"/>
              </w:rPr>
            </w:pPr>
            <w:r w:rsidRPr="00DD47DF">
              <w:rPr>
                <w:rFonts w:cs="Calibri"/>
              </w:rPr>
              <w:t>1</w:t>
            </w:r>
            <w:r w:rsidR="00CC5E04" w:rsidRPr="00DD47DF">
              <w:rPr>
                <w:rFonts w:cs="Calibri"/>
              </w:rPr>
              <w:t>)</w:t>
            </w:r>
            <w:r w:rsidRPr="00DD47DF">
              <w:rPr>
                <w:rFonts w:cs="Calibri"/>
              </w:rPr>
              <w:t xml:space="preserve"> Posílení výzkumu, technologického rozvoje a inovací</w:t>
            </w:r>
          </w:p>
        </w:tc>
        <w:tc>
          <w:tcPr>
            <w:tcW w:w="3119" w:type="dxa"/>
            <w:vMerge w:val="restart"/>
            <w:shd w:val="clear" w:color="auto" w:fill="auto"/>
            <w:vAlign w:val="center"/>
          </w:tcPr>
          <w:p w14:paraId="59B04C26" w14:textId="77777777" w:rsidR="00BD619A" w:rsidRPr="00DD47DF" w:rsidRDefault="00B54D2B" w:rsidP="00BE6D25">
            <w:pPr>
              <w:pStyle w:val="Tabulka"/>
              <w:widowControl w:val="0"/>
              <w:rPr>
                <w:rFonts w:cs="Calibri"/>
              </w:rPr>
            </w:pPr>
            <w:r w:rsidRPr="00DD47DF">
              <w:rPr>
                <w:rFonts w:cs="Calibri"/>
              </w:rPr>
              <w:t xml:space="preserve">1 b) </w:t>
            </w:r>
            <w:r w:rsidR="002641C7" w:rsidRPr="00DD47DF">
              <w:rPr>
                <w:rFonts w:cs="Calibri"/>
              </w:rPr>
              <w:t>Podpora podnikových investic do výzkumu a inovací a vytváření</w:t>
            </w:r>
            <w:r w:rsidR="000534DA" w:rsidRPr="00DD47DF">
              <w:rPr>
                <w:rFonts w:cs="Calibri"/>
              </w:rPr>
              <w:t xml:space="preserve"> vazeb a součinnosti mezi podniky, středisky výzkumu a vývoje a odvětvím vysokoškolského vzdělávání, zejména podpora investic v oblasti vývoje produktů a služeb, přenosu technologií, sociálních inovací, ekologických inovací, aplikací veřejných služeb, stimulace poptávky, vytváření sítí, klastrů a otevřených inovací prostřednictvím inteligentní specializace a podpora technického a aplikovaného výzkumu, pilotních linek, opatření k včasnému ověřování produktů, schopností vyspělé výroby a prvovýroby, zejména v </w:t>
            </w:r>
            <w:r w:rsidR="000534DA" w:rsidRPr="00DD47DF">
              <w:rPr>
                <w:rFonts w:cs="Calibri"/>
              </w:rPr>
              <w:lastRenderedPageBreak/>
              <w:t>oblasti klíčových technologií a šíření technologií pro všeobecné použití</w:t>
            </w:r>
          </w:p>
        </w:tc>
        <w:tc>
          <w:tcPr>
            <w:tcW w:w="2254" w:type="dxa"/>
            <w:shd w:val="clear" w:color="auto" w:fill="auto"/>
            <w:vAlign w:val="center"/>
          </w:tcPr>
          <w:p w14:paraId="5B663A00" w14:textId="77777777" w:rsidR="00BD619A" w:rsidRPr="00DD47DF" w:rsidRDefault="00BD619A" w:rsidP="001D1607">
            <w:pPr>
              <w:pStyle w:val="Tabulka"/>
              <w:keepNext/>
              <w:keepLines/>
              <w:rPr>
                <w:rFonts w:cs="Calibri"/>
              </w:rPr>
            </w:pPr>
            <w:r w:rsidRPr="00DD47DF">
              <w:rPr>
                <w:rFonts w:cs="Calibri"/>
              </w:rPr>
              <w:lastRenderedPageBreak/>
              <w:t>1.1 - Zvýšit inovační výkonnost podniků</w:t>
            </w:r>
          </w:p>
        </w:tc>
        <w:tc>
          <w:tcPr>
            <w:tcW w:w="1882" w:type="dxa"/>
            <w:vAlign w:val="center"/>
          </w:tcPr>
          <w:p w14:paraId="7BCBF6ED" w14:textId="77777777" w:rsidR="005873D6" w:rsidRDefault="00A15054" w:rsidP="00BA1E1C">
            <w:pPr>
              <w:pStyle w:val="Tabulka"/>
              <w:keepNext/>
              <w:keepLines/>
              <w:rPr>
                <w:rFonts w:cs="Calibri"/>
              </w:rPr>
            </w:pPr>
            <w:r w:rsidRPr="00DD47DF">
              <w:t xml:space="preserve"> </w:t>
            </w:r>
            <w:r w:rsidRPr="00DD47DF">
              <w:rPr>
                <w:rFonts w:cs="Calibri"/>
              </w:rPr>
              <w:t>Podnikové výdaje na VaV v podnikatelském sektoru jako % HDP - regiony ČR (mimo hl. m. Praha)</w:t>
            </w:r>
          </w:p>
          <w:p w14:paraId="5ACCD5A3" w14:textId="77777777" w:rsidR="00BD619A" w:rsidRPr="00DD47DF" w:rsidRDefault="008E48D1" w:rsidP="00BA1E1C">
            <w:pPr>
              <w:pStyle w:val="Tabulka"/>
              <w:keepNext/>
              <w:keepLines/>
              <w:rPr>
                <w:rFonts w:cs="Calibri"/>
              </w:rPr>
            </w:pPr>
            <w:r w:rsidRPr="00DD47DF">
              <w:rPr>
                <w:rFonts w:cs="Calibri"/>
              </w:rPr>
              <w:t>Tržby z inovované produkce jako % celkových tržeb podniků s produktovou inovací</w:t>
            </w:r>
          </w:p>
        </w:tc>
      </w:tr>
      <w:tr w:rsidR="00BD619A" w:rsidRPr="00DD47DF" w14:paraId="45403E9C" w14:textId="77777777">
        <w:trPr>
          <w:jc w:val="center"/>
        </w:trPr>
        <w:tc>
          <w:tcPr>
            <w:tcW w:w="1900" w:type="dxa"/>
            <w:vMerge/>
            <w:shd w:val="clear" w:color="auto" w:fill="DBE5F1"/>
            <w:vAlign w:val="center"/>
          </w:tcPr>
          <w:p w14:paraId="6FC1EC8C" w14:textId="77777777" w:rsidR="00BD619A" w:rsidRPr="00DD47DF" w:rsidRDefault="00BD619A" w:rsidP="001D1607">
            <w:pPr>
              <w:pStyle w:val="Tabulka"/>
              <w:keepNext/>
              <w:keepLines/>
              <w:rPr>
                <w:rFonts w:cs="Calibri"/>
              </w:rPr>
            </w:pPr>
          </w:p>
        </w:tc>
        <w:tc>
          <w:tcPr>
            <w:tcW w:w="709" w:type="dxa"/>
            <w:vMerge/>
            <w:vAlign w:val="center"/>
          </w:tcPr>
          <w:p w14:paraId="7D9CB0C4" w14:textId="77777777" w:rsidR="00BD619A" w:rsidRPr="00DD47DF" w:rsidRDefault="00BD619A" w:rsidP="00D40246">
            <w:pPr>
              <w:pStyle w:val="Tabulka"/>
              <w:keepNext/>
              <w:keepLines/>
              <w:rPr>
                <w:rFonts w:cs="Calibri"/>
              </w:rPr>
            </w:pPr>
          </w:p>
        </w:tc>
        <w:tc>
          <w:tcPr>
            <w:tcW w:w="1445" w:type="dxa"/>
            <w:vMerge/>
            <w:vAlign w:val="center"/>
          </w:tcPr>
          <w:p w14:paraId="7F363D6B" w14:textId="77777777" w:rsidR="00BD619A" w:rsidRPr="00DD47DF" w:rsidRDefault="00BD619A" w:rsidP="00D40246">
            <w:pPr>
              <w:pStyle w:val="Tabulka"/>
              <w:keepNext/>
              <w:keepLines/>
              <w:rPr>
                <w:rFonts w:cs="Calibri"/>
              </w:rPr>
            </w:pPr>
          </w:p>
        </w:tc>
        <w:tc>
          <w:tcPr>
            <w:tcW w:w="1330" w:type="dxa"/>
            <w:vMerge/>
            <w:vAlign w:val="center"/>
          </w:tcPr>
          <w:p w14:paraId="5EDF3991" w14:textId="77777777" w:rsidR="00BD619A" w:rsidRPr="00DD47DF" w:rsidRDefault="00BD619A" w:rsidP="00D40246">
            <w:pPr>
              <w:pStyle w:val="Tabulka"/>
              <w:keepNext/>
              <w:keepLines/>
              <w:rPr>
                <w:rFonts w:cs="Calibri"/>
              </w:rPr>
            </w:pPr>
          </w:p>
        </w:tc>
        <w:tc>
          <w:tcPr>
            <w:tcW w:w="1619" w:type="dxa"/>
            <w:vMerge/>
            <w:vAlign w:val="center"/>
          </w:tcPr>
          <w:p w14:paraId="34B047B8" w14:textId="77777777" w:rsidR="00BD619A" w:rsidRPr="00DD47DF" w:rsidRDefault="00BD619A" w:rsidP="00D40246">
            <w:pPr>
              <w:pStyle w:val="Tabulka"/>
              <w:keepNext/>
              <w:keepLines/>
              <w:rPr>
                <w:rFonts w:cs="Calibri"/>
              </w:rPr>
            </w:pPr>
          </w:p>
        </w:tc>
        <w:tc>
          <w:tcPr>
            <w:tcW w:w="3119" w:type="dxa"/>
            <w:vMerge/>
            <w:shd w:val="clear" w:color="auto" w:fill="auto"/>
            <w:vAlign w:val="center"/>
          </w:tcPr>
          <w:p w14:paraId="69BC21BA" w14:textId="77777777" w:rsidR="00BD619A" w:rsidRPr="00DD47DF" w:rsidRDefault="00BD619A" w:rsidP="001D1607">
            <w:pPr>
              <w:pStyle w:val="Tabulka"/>
              <w:keepNext/>
              <w:keepLines/>
              <w:rPr>
                <w:rFonts w:cs="Calibri"/>
              </w:rPr>
            </w:pPr>
          </w:p>
        </w:tc>
        <w:tc>
          <w:tcPr>
            <w:tcW w:w="2254" w:type="dxa"/>
            <w:shd w:val="clear" w:color="auto" w:fill="auto"/>
            <w:vAlign w:val="center"/>
          </w:tcPr>
          <w:p w14:paraId="7166CC23" w14:textId="77777777" w:rsidR="00BD619A" w:rsidRPr="00DD47DF" w:rsidRDefault="00BD619A" w:rsidP="00771951">
            <w:pPr>
              <w:pStyle w:val="Tabulka"/>
              <w:keepNext/>
              <w:keepLines/>
              <w:rPr>
                <w:rFonts w:cs="Calibri"/>
              </w:rPr>
            </w:pPr>
            <w:r w:rsidRPr="00DD47DF">
              <w:rPr>
                <w:rFonts w:cs="Calibri"/>
              </w:rPr>
              <w:t>1.2 – Zvýšit intenzitu a účinnost spolupráce ve výzkumu, vývoji a inovacích</w:t>
            </w:r>
          </w:p>
        </w:tc>
        <w:tc>
          <w:tcPr>
            <w:tcW w:w="1882" w:type="dxa"/>
            <w:vAlign w:val="center"/>
          </w:tcPr>
          <w:p w14:paraId="0FB24651" w14:textId="77777777" w:rsidR="00BD619A" w:rsidRPr="00DD47DF" w:rsidRDefault="008E48D1" w:rsidP="00BA1E1C">
            <w:pPr>
              <w:pStyle w:val="Tabulka"/>
              <w:keepNext/>
              <w:keepLines/>
              <w:rPr>
                <w:rFonts w:cs="Calibri"/>
              </w:rPr>
            </w:pPr>
            <w:r w:rsidRPr="00DD47DF">
              <w:rPr>
                <w:rFonts w:cs="Calibri"/>
              </w:rPr>
              <w:t xml:space="preserve">Výdaje podnikatelského sektoru na provádění VaV ve vládním a vysokoškolském </w:t>
            </w:r>
            <w:r w:rsidRPr="00DD47DF">
              <w:rPr>
                <w:rFonts w:cs="Calibri"/>
              </w:rPr>
              <w:lastRenderedPageBreak/>
              <w:t>sektoru jako % celkových výdajů na provádění VaV v těchto sektorech</w:t>
            </w:r>
          </w:p>
        </w:tc>
      </w:tr>
      <w:tr w:rsidR="00BE6D25" w:rsidRPr="00DD47DF" w14:paraId="3B1BE0F9" w14:textId="77777777">
        <w:trPr>
          <w:trHeight w:val="364"/>
          <w:jc w:val="center"/>
        </w:trPr>
        <w:tc>
          <w:tcPr>
            <w:tcW w:w="1900" w:type="dxa"/>
            <w:vMerge w:val="restart"/>
            <w:shd w:val="clear" w:color="auto" w:fill="DBE5F1"/>
            <w:vAlign w:val="center"/>
          </w:tcPr>
          <w:p w14:paraId="4CAEAE74" w14:textId="77777777" w:rsidR="00BE6D25" w:rsidRPr="00DD47DF" w:rsidRDefault="00BE6D25" w:rsidP="005821F5">
            <w:pPr>
              <w:pStyle w:val="Tabulka"/>
              <w:jc w:val="left"/>
              <w:rPr>
                <w:rFonts w:cs="Calibri"/>
              </w:rPr>
            </w:pPr>
            <w:r w:rsidRPr="00DD47DF">
              <w:rPr>
                <w:rFonts w:cs="Calibri"/>
              </w:rPr>
              <w:lastRenderedPageBreak/>
              <w:t xml:space="preserve">PO 2: Rozvoj podnikání a konkurenceschopnosti malých a středních </w:t>
            </w:r>
            <w:r w:rsidR="005821F5" w:rsidRPr="00DD47DF">
              <w:rPr>
                <w:rFonts w:cs="Calibri"/>
              </w:rPr>
              <w:t>podniků</w:t>
            </w:r>
            <w:r w:rsidRPr="00DD47DF">
              <w:rPr>
                <w:rFonts w:cs="Calibri"/>
              </w:rPr>
              <w:t xml:space="preserve"> </w:t>
            </w:r>
          </w:p>
        </w:tc>
        <w:tc>
          <w:tcPr>
            <w:tcW w:w="709" w:type="dxa"/>
            <w:vAlign w:val="center"/>
          </w:tcPr>
          <w:p w14:paraId="6467726D" w14:textId="77777777" w:rsidR="00BE6D25" w:rsidRPr="00DD47DF" w:rsidRDefault="00BE6D25" w:rsidP="00D40246">
            <w:pPr>
              <w:pStyle w:val="Tabulka"/>
              <w:rPr>
                <w:rFonts w:cs="Calibri"/>
              </w:rPr>
            </w:pPr>
            <w:r w:rsidRPr="00DD47DF">
              <w:rPr>
                <w:rFonts w:cs="Calibri"/>
              </w:rPr>
              <w:t>EFRR</w:t>
            </w:r>
          </w:p>
        </w:tc>
        <w:tc>
          <w:tcPr>
            <w:tcW w:w="1445" w:type="dxa"/>
            <w:vAlign w:val="center"/>
          </w:tcPr>
          <w:p w14:paraId="6F9DBB14" w14:textId="77777777" w:rsidR="00BE6D25" w:rsidRPr="00DD47DF" w:rsidRDefault="00537B82" w:rsidP="00D40246">
            <w:pPr>
              <w:pStyle w:val="Tabulka"/>
              <w:rPr>
                <w:rFonts w:cs="Calibri"/>
              </w:rPr>
            </w:pPr>
            <w:r w:rsidRPr="00DD47DF">
              <w:rPr>
                <w:rFonts w:cs="Calibri"/>
              </w:rPr>
              <w:t>609 428 042</w:t>
            </w:r>
          </w:p>
        </w:tc>
        <w:tc>
          <w:tcPr>
            <w:tcW w:w="1330" w:type="dxa"/>
            <w:vAlign w:val="center"/>
          </w:tcPr>
          <w:p w14:paraId="111ED54C" w14:textId="77777777" w:rsidR="00BE6D25" w:rsidRPr="00DD47DF" w:rsidRDefault="00BD619A" w:rsidP="008E5470">
            <w:pPr>
              <w:pStyle w:val="Tabulka"/>
              <w:rPr>
                <w:rFonts w:cs="Calibri"/>
              </w:rPr>
            </w:pPr>
            <w:r w:rsidRPr="00DD47DF">
              <w:rPr>
                <w:rFonts w:cs="Calibri"/>
              </w:rPr>
              <w:t>1</w:t>
            </w:r>
            <w:r w:rsidR="00847395" w:rsidRPr="00DD47DF">
              <w:rPr>
                <w:rFonts w:cs="Calibri"/>
              </w:rPr>
              <w:t>4</w:t>
            </w:r>
            <w:r w:rsidRPr="00DD47DF">
              <w:rPr>
                <w:rFonts w:cs="Calibri"/>
              </w:rPr>
              <w:t>,</w:t>
            </w:r>
            <w:r w:rsidR="008E5470" w:rsidRPr="00DD47DF">
              <w:rPr>
                <w:rFonts w:cs="Calibri"/>
              </w:rPr>
              <w:t>07</w:t>
            </w:r>
            <w:r w:rsidR="00A74A51" w:rsidRPr="00DD47DF">
              <w:rPr>
                <w:rFonts w:cs="Calibri"/>
              </w:rPr>
              <w:t xml:space="preserve"> %</w:t>
            </w:r>
          </w:p>
        </w:tc>
        <w:tc>
          <w:tcPr>
            <w:tcW w:w="1619" w:type="dxa"/>
            <w:vMerge w:val="restart"/>
            <w:vAlign w:val="center"/>
          </w:tcPr>
          <w:p w14:paraId="66E96ECB" w14:textId="77777777" w:rsidR="00BE6D25" w:rsidRPr="00DD47DF" w:rsidRDefault="00BE6D25" w:rsidP="00D40246">
            <w:pPr>
              <w:pStyle w:val="Tabulka"/>
              <w:rPr>
                <w:rFonts w:cs="Calibri"/>
              </w:rPr>
            </w:pPr>
            <w:r w:rsidRPr="00DD47DF">
              <w:rPr>
                <w:rFonts w:cs="Calibri"/>
              </w:rPr>
              <w:t>3</w:t>
            </w:r>
            <w:r w:rsidR="00CC5E04" w:rsidRPr="00DD47DF">
              <w:rPr>
                <w:rFonts w:cs="Calibri"/>
              </w:rPr>
              <w:t>)</w:t>
            </w:r>
            <w:r w:rsidRPr="00DD47DF">
              <w:rPr>
                <w:rFonts w:cs="Calibri"/>
              </w:rPr>
              <w:t xml:space="preserve"> Zvýšení konkurenceschopnosti malých a středních podniků, odvětví zemědělství (v případě EZFRV) a rybářství a akvakultury (v případě </w:t>
            </w:r>
            <w:r w:rsidR="001B1FD9" w:rsidRPr="00DD47DF">
              <w:rPr>
                <w:rFonts w:cs="Calibri"/>
              </w:rPr>
              <w:t>EMFF</w:t>
            </w:r>
            <w:r w:rsidRPr="00DD47DF">
              <w:rPr>
                <w:rFonts w:cs="Calibri"/>
              </w:rPr>
              <w:t>)</w:t>
            </w:r>
          </w:p>
        </w:tc>
        <w:tc>
          <w:tcPr>
            <w:tcW w:w="3119" w:type="dxa"/>
            <w:shd w:val="clear" w:color="auto" w:fill="auto"/>
            <w:vAlign w:val="center"/>
          </w:tcPr>
          <w:p w14:paraId="244C45B4" w14:textId="77777777" w:rsidR="00BE6D25" w:rsidRPr="00DD47DF" w:rsidRDefault="00B54D2B" w:rsidP="00BE6D25">
            <w:pPr>
              <w:pStyle w:val="Tabulka"/>
              <w:widowControl w:val="0"/>
              <w:rPr>
                <w:rFonts w:cs="Calibri"/>
              </w:rPr>
            </w:pPr>
            <w:r w:rsidRPr="00DD47DF">
              <w:rPr>
                <w:rFonts w:cs="Calibri"/>
              </w:rPr>
              <w:t xml:space="preserve">3 a) </w:t>
            </w:r>
            <w:r w:rsidR="00F27EC3" w:rsidRPr="00DD47DF">
              <w:rPr>
                <w:rFonts w:cs="Calibri"/>
              </w:rPr>
              <w:t>Podpora podnikání, zejména usnadněním hospodářského využívání nových myšlenek a podporou zakládání nových firem</w:t>
            </w:r>
            <w:r w:rsidR="00BE6D25" w:rsidRPr="00DD47DF">
              <w:rPr>
                <w:rFonts w:cs="Calibri"/>
              </w:rPr>
              <w:t>, mimo jiné prostřednictvím podnikatelských inkubátorů</w:t>
            </w:r>
          </w:p>
        </w:tc>
        <w:tc>
          <w:tcPr>
            <w:tcW w:w="2254" w:type="dxa"/>
            <w:shd w:val="clear" w:color="auto" w:fill="auto"/>
            <w:vAlign w:val="center"/>
          </w:tcPr>
          <w:p w14:paraId="1D1AC9B5" w14:textId="77777777" w:rsidR="00BE6D25" w:rsidRPr="00DD47DF" w:rsidRDefault="00BE6D25" w:rsidP="00CE3F25">
            <w:pPr>
              <w:pStyle w:val="Tabulka"/>
              <w:rPr>
                <w:rFonts w:cs="Calibri"/>
              </w:rPr>
            </w:pPr>
            <w:r w:rsidRPr="00DD47DF">
              <w:rPr>
                <w:rFonts w:cs="Calibri"/>
              </w:rPr>
              <w:t xml:space="preserve">2.1 – </w:t>
            </w:r>
            <w:r w:rsidR="00CE3F25" w:rsidRPr="00DD47DF">
              <w:rPr>
                <w:rFonts w:cs="Calibri"/>
              </w:rPr>
              <w:t>Zvýšit konkurenceschopnost začínajících a rozvojových MSP</w:t>
            </w:r>
          </w:p>
        </w:tc>
        <w:tc>
          <w:tcPr>
            <w:tcW w:w="1882" w:type="dxa"/>
            <w:vAlign w:val="center"/>
          </w:tcPr>
          <w:p w14:paraId="27B8EAE3" w14:textId="77777777" w:rsidR="00BE6D25" w:rsidRPr="00DD47DF" w:rsidRDefault="008E48D1" w:rsidP="00BA1E1C">
            <w:pPr>
              <w:pStyle w:val="Tabulka"/>
              <w:rPr>
                <w:rFonts w:cs="Calibri"/>
              </w:rPr>
            </w:pPr>
            <w:r w:rsidRPr="00DD47DF">
              <w:rPr>
                <w:rFonts w:cs="Calibri"/>
              </w:rPr>
              <w:t>Přidaná hodnota MSP jako % přidané hodnoty ČR</w:t>
            </w:r>
          </w:p>
          <w:p w14:paraId="7C17E0E6" w14:textId="77777777" w:rsidR="00282822" w:rsidRPr="00DD47DF" w:rsidRDefault="00282822" w:rsidP="00BA1E1C">
            <w:pPr>
              <w:pStyle w:val="Tabulka"/>
              <w:rPr>
                <w:rFonts w:cs="Calibri"/>
              </w:rPr>
            </w:pPr>
            <w:r w:rsidRPr="00DD47DF">
              <w:rPr>
                <w:rFonts w:cs="Calibri"/>
              </w:rPr>
              <w:t>Míra přežití vzniklých podniků</w:t>
            </w:r>
          </w:p>
        </w:tc>
      </w:tr>
      <w:tr w:rsidR="00BE6D25" w:rsidRPr="00DD47DF" w14:paraId="46FFC858" w14:textId="77777777">
        <w:trPr>
          <w:trHeight w:val="599"/>
          <w:jc w:val="center"/>
        </w:trPr>
        <w:tc>
          <w:tcPr>
            <w:tcW w:w="1900" w:type="dxa"/>
            <w:vMerge/>
            <w:shd w:val="clear" w:color="auto" w:fill="DBE5F1"/>
            <w:vAlign w:val="center"/>
          </w:tcPr>
          <w:p w14:paraId="37928F64" w14:textId="77777777" w:rsidR="00BE6D25" w:rsidRPr="00DD47DF" w:rsidRDefault="00BE6D25" w:rsidP="000E0E9B">
            <w:pPr>
              <w:pStyle w:val="Tabulka"/>
              <w:rPr>
                <w:rFonts w:cs="Calibri"/>
              </w:rPr>
            </w:pPr>
          </w:p>
        </w:tc>
        <w:tc>
          <w:tcPr>
            <w:tcW w:w="709" w:type="dxa"/>
            <w:vAlign w:val="center"/>
          </w:tcPr>
          <w:p w14:paraId="0C93CE7E" w14:textId="77777777" w:rsidR="00BE6D25" w:rsidRPr="00DD47DF" w:rsidRDefault="00BE6D25" w:rsidP="00D40246">
            <w:pPr>
              <w:pStyle w:val="Tabulka"/>
              <w:rPr>
                <w:rFonts w:cs="Calibri"/>
              </w:rPr>
            </w:pPr>
            <w:r w:rsidRPr="00DD47DF">
              <w:rPr>
                <w:rFonts w:cs="Calibri"/>
              </w:rPr>
              <w:t>EFRR</w:t>
            </w:r>
          </w:p>
        </w:tc>
        <w:tc>
          <w:tcPr>
            <w:tcW w:w="1445" w:type="dxa"/>
            <w:vAlign w:val="center"/>
          </w:tcPr>
          <w:p w14:paraId="1D655F1D" w14:textId="77777777" w:rsidR="00BE6D25" w:rsidRPr="00DD47DF" w:rsidRDefault="00537B82" w:rsidP="00D40246">
            <w:pPr>
              <w:pStyle w:val="Tabulka"/>
              <w:rPr>
                <w:rFonts w:cs="Calibri"/>
              </w:rPr>
            </w:pPr>
            <w:r w:rsidRPr="00DD47DF">
              <w:rPr>
                <w:rFonts w:cs="Calibri"/>
              </w:rPr>
              <w:t>56 540 420</w:t>
            </w:r>
          </w:p>
        </w:tc>
        <w:tc>
          <w:tcPr>
            <w:tcW w:w="1330" w:type="dxa"/>
            <w:vAlign w:val="center"/>
          </w:tcPr>
          <w:p w14:paraId="54FE9CDF" w14:textId="77777777" w:rsidR="00BE6D25" w:rsidRPr="00DD47DF" w:rsidRDefault="00847395" w:rsidP="00D40246">
            <w:pPr>
              <w:pStyle w:val="Tabulka"/>
              <w:rPr>
                <w:rFonts w:cs="Calibri"/>
              </w:rPr>
            </w:pPr>
            <w:r w:rsidRPr="00DD47DF">
              <w:rPr>
                <w:rFonts w:cs="Calibri"/>
              </w:rPr>
              <w:t>1,31</w:t>
            </w:r>
            <w:r w:rsidR="00A74A51" w:rsidRPr="00DD47DF">
              <w:rPr>
                <w:rFonts w:cs="Calibri"/>
              </w:rPr>
              <w:t xml:space="preserve"> %</w:t>
            </w:r>
          </w:p>
        </w:tc>
        <w:tc>
          <w:tcPr>
            <w:tcW w:w="1619" w:type="dxa"/>
            <w:vMerge/>
            <w:vAlign w:val="center"/>
          </w:tcPr>
          <w:p w14:paraId="46D4FFD6" w14:textId="77777777" w:rsidR="00BE6D25" w:rsidRPr="00DD47DF" w:rsidRDefault="00BE6D25" w:rsidP="00D40246">
            <w:pPr>
              <w:pStyle w:val="Tabulka"/>
              <w:rPr>
                <w:rFonts w:cs="Calibri"/>
              </w:rPr>
            </w:pPr>
          </w:p>
        </w:tc>
        <w:tc>
          <w:tcPr>
            <w:tcW w:w="3119" w:type="dxa"/>
            <w:shd w:val="clear" w:color="auto" w:fill="auto"/>
            <w:vAlign w:val="center"/>
          </w:tcPr>
          <w:p w14:paraId="74679300" w14:textId="77777777" w:rsidR="00BE6D25" w:rsidRPr="00DD47DF" w:rsidRDefault="00B54D2B" w:rsidP="00BE6D25">
            <w:pPr>
              <w:pStyle w:val="Tabulka"/>
              <w:widowControl w:val="0"/>
              <w:rPr>
                <w:rFonts w:cs="Calibri"/>
              </w:rPr>
            </w:pPr>
            <w:r w:rsidRPr="00DD47DF">
              <w:rPr>
                <w:rFonts w:cs="Calibri"/>
              </w:rPr>
              <w:t xml:space="preserve">3 b) </w:t>
            </w:r>
            <w:r w:rsidR="008C7D72" w:rsidRPr="00DD47DF">
              <w:rPr>
                <w:rFonts w:cs="Calibri"/>
              </w:rPr>
              <w:t>Vyvíjení a provádění nových obchodních modelů</w:t>
            </w:r>
            <w:r w:rsidR="00BE6D25" w:rsidRPr="00DD47DF">
              <w:rPr>
                <w:rFonts w:cs="Calibri"/>
              </w:rPr>
              <w:t xml:space="preserve"> pro MSP, zejména pro oblast mezinárodního obchodu</w:t>
            </w:r>
          </w:p>
        </w:tc>
        <w:tc>
          <w:tcPr>
            <w:tcW w:w="2254" w:type="dxa"/>
            <w:shd w:val="clear" w:color="auto" w:fill="auto"/>
            <w:vAlign w:val="center"/>
          </w:tcPr>
          <w:p w14:paraId="447F542C" w14:textId="77777777" w:rsidR="00BE6D25" w:rsidRPr="00DD47DF" w:rsidRDefault="00BE6D25" w:rsidP="000E0E9B">
            <w:pPr>
              <w:pStyle w:val="Tabulka"/>
              <w:rPr>
                <w:rFonts w:cs="Calibri"/>
              </w:rPr>
            </w:pPr>
            <w:r w:rsidRPr="00DD47DF">
              <w:rPr>
                <w:rFonts w:cs="Calibri"/>
              </w:rPr>
              <w:t xml:space="preserve">2.2 - </w:t>
            </w:r>
            <w:r w:rsidR="00FF3A47" w:rsidRPr="00DD47DF">
              <w:rPr>
                <w:rFonts w:cs="Calibri"/>
              </w:rPr>
              <w:t>Zvýšit internacionalizaci malých a středních podniků</w:t>
            </w:r>
          </w:p>
        </w:tc>
        <w:tc>
          <w:tcPr>
            <w:tcW w:w="1882" w:type="dxa"/>
            <w:vAlign w:val="center"/>
          </w:tcPr>
          <w:p w14:paraId="63CCE87C" w14:textId="77777777" w:rsidR="00BE6D25" w:rsidRPr="00DD47DF" w:rsidRDefault="008E48D1" w:rsidP="00BA1E1C">
            <w:pPr>
              <w:pStyle w:val="Tabulka"/>
              <w:rPr>
                <w:rFonts w:cs="Calibri"/>
              </w:rPr>
            </w:pPr>
            <w:r w:rsidRPr="00DD47DF">
              <w:rPr>
                <w:rFonts w:cs="Calibri"/>
              </w:rPr>
              <w:t>Podíl exportu MSP/celkovým výkonům MSP</w:t>
            </w:r>
          </w:p>
        </w:tc>
      </w:tr>
      <w:tr w:rsidR="00BD619A" w:rsidRPr="00DD47DF" w14:paraId="619F8449" w14:textId="77777777">
        <w:trPr>
          <w:jc w:val="center"/>
        </w:trPr>
        <w:tc>
          <w:tcPr>
            <w:tcW w:w="1900" w:type="dxa"/>
            <w:vMerge/>
            <w:shd w:val="clear" w:color="auto" w:fill="DBE5F1"/>
            <w:vAlign w:val="center"/>
          </w:tcPr>
          <w:p w14:paraId="5DB5B601" w14:textId="77777777" w:rsidR="00BD619A" w:rsidRPr="00DD47DF" w:rsidRDefault="00BD619A" w:rsidP="000E0E9B">
            <w:pPr>
              <w:pStyle w:val="Tabulka"/>
              <w:rPr>
                <w:rFonts w:cs="Calibri"/>
              </w:rPr>
            </w:pPr>
          </w:p>
        </w:tc>
        <w:tc>
          <w:tcPr>
            <w:tcW w:w="709" w:type="dxa"/>
            <w:vMerge w:val="restart"/>
            <w:vAlign w:val="center"/>
          </w:tcPr>
          <w:p w14:paraId="1F141CA2" w14:textId="77777777" w:rsidR="00BD619A" w:rsidRPr="00DD47DF" w:rsidRDefault="00BD619A" w:rsidP="00D40246">
            <w:pPr>
              <w:pStyle w:val="Tabulka"/>
              <w:rPr>
                <w:rFonts w:cs="Calibri"/>
              </w:rPr>
            </w:pPr>
            <w:r w:rsidRPr="00DD47DF">
              <w:rPr>
                <w:rFonts w:cs="Calibri"/>
              </w:rPr>
              <w:t>EFRR</w:t>
            </w:r>
          </w:p>
        </w:tc>
        <w:tc>
          <w:tcPr>
            <w:tcW w:w="1445" w:type="dxa"/>
            <w:vMerge w:val="restart"/>
            <w:vAlign w:val="center"/>
          </w:tcPr>
          <w:p w14:paraId="619B2547" w14:textId="77777777" w:rsidR="00BD619A" w:rsidRPr="00DD47DF" w:rsidRDefault="00537B82" w:rsidP="00D40246">
            <w:pPr>
              <w:pStyle w:val="Tabulka"/>
              <w:rPr>
                <w:rFonts w:cs="Calibri"/>
              </w:rPr>
            </w:pPr>
            <w:r w:rsidRPr="00DD47DF">
              <w:rPr>
                <w:rFonts w:cs="Calibri"/>
              </w:rPr>
              <w:t>226 161 681</w:t>
            </w:r>
          </w:p>
        </w:tc>
        <w:tc>
          <w:tcPr>
            <w:tcW w:w="1330" w:type="dxa"/>
            <w:vMerge w:val="restart"/>
            <w:vAlign w:val="center"/>
          </w:tcPr>
          <w:p w14:paraId="17F1F800" w14:textId="77777777" w:rsidR="00BD619A" w:rsidRPr="00DD47DF" w:rsidRDefault="008E5470" w:rsidP="00D40246">
            <w:pPr>
              <w:pStyle w:val="Tabulka"/>
              <w:rPr>
                <w:rFonts w:cs="Calibri"/>
              </w:rPr>
            </w:pPr>
            <w:r w:rsidRPr="00DD47DF">
              <w:rPr>
                <w:rFonts w:cs="Calibri"/>
              </w:rPr>
              <w:t xml:space="preserve">5,22 </w:t>
            </w:r>
            <w:r w:rsidR="00A74A51" w:rsidRPr="00DD47DF">
              <w:rPr>
                <w:rFonts w:cs="Calibri"/>
              </w:rPr>
              <w:t>%</w:t>
            </w:r>
          </w:p>
        </w:tc>
        <w:tc>
          <w:tcPr>
            <w:tcW w:w="1619" w:type="dxa"/>
            <w:vMerge/>
            <w:vAlign w:val="center"/>
          </w:tcPr>
          <w:p w14:paraId="38C3DE5C" w14:textId="77777777" w:rsidR="00BD619A" w:rsidRPr="00DD47DF" w:rsidRDefault="00BD619A" w:rsidP="00D40246">
            <w:pPr>
              <w:pStyle w:val="Tabulka"/>
              <w:rPr>
                <w:rFonts w:cs="Calibri"/>
              </w:rPr>
            </w:pPr>
          </w:p>
        </w:tc>
        <w:tc>
          <w:tcPr>
            <w:tcW w:w="3119" w:type="dxa"/>
            <w:vMerge w:val="restart"/>
            <w:shd w:val="clear" w:color="auto" w:fill="auto"/>
            <w:vAlign w:val="center"/>
          </w:tcPr>
          <w:p w14:paraId="4D363867" w14:textId="77777777" w:rsidR="00BD619A" w:rsidRPr="00DD47DF" w:rsidRDefault="00B54D2B" w:rsidP="00BE6D25">
            <w:pPr>
              <w:pStyle w:val="Tabulka"/>
              <w:widowControl w:val="0"/>
              <w:rPr>
                <w:rFonts w:cs="Calibri"/>
              </w:rPr>
            </w:pPr>
            <w:r w:rsidRPr="00DD47DF">
              <w:rPr>
                <w:rFonts w:cs="Calibri"/>
              </w:rPr>
              <w:t xml:space="preserve">3 c) </w:t>
            </w:r>
            <w:r w:rsidR="002641C7" w:rsidRPr="00DD47DF">
              <w:rPr>
                <w:rFonts w:cs="Calibri"/>
              </w:rPr>
              <w:t>Podpora vytváření a rozšiřování vyspělých</w:t>
            </w:r>
            <w:r w:rsidR="00BD619A" w:rsidRPr="00DD47DF">
              <w:rPr>
                <w:rFonts w:cs="Calibri"/>
              </w:rPr>
              <w:t xml:space="preserve"> kapacit pro rozvoj produktů a služeb</w:t>
            </w:r>
          </w:p>
        </w:tc>
        <w:tc>
          <w:tcPr>
            <w:tcW w:w="2254" w:type="dxa"/>
            <w:shd w:val="clear" w:color="auto" w:fill="auto"/>
            <w:vAlign w:val="center"/>
          </w:tcPr>
          <w:p w14:paraId="341E9E1C" w14:textId="77777777" w:rsidR="00BD619A" w:rsidRPr="00DD47DF" w:rsidRDefault="00BD619A" w:rsidP="00771951">
            <w:pPr>
              <w:pStyle w:val="Tabulka"/>
              <w:rPr>
                <w:rFonts w:cs="Calibri"/>
              </w:rPr>
            </w:pPr>
            <w:r w:rsidRPr="00DD47DF">
              <w:rPr>
                <w:rFonts w:cs="Calibri"/>
              </w:rPr>
              <w:t>2.3 – Zvýšit využitelnost infrastruktury pro podnikání</w:t>
            </w:r>
          </w:p>
        </w:tc>
        <w:tc>
          <w:tcPr>
            <w:tcW w:w="1882" w:type="dxa"/>
            <w:vAlign w:val="center"/>
          </w:tcPr>
          <w:p w14:paraId="15A47815" w14:textId="77777777" w:rsidR="00BD619A" w:rsidRPr="00DD47DF" w:rsidRDefault="00831F28" w:rsidP="00BA1E1C">
            <w:pPr>
              <w:pStyle w:val="Tabulka"/>
              <w:rPr>
                <w:rFonts w:cs="Calibri"/>
              </w:rPr>
            </w:pPr>
            <w:r w:rsidRPr="00DD47DF">
              <w:rPr>
                <w:rFonts w:cs="Calibri"/>
              </w:rPr>
              <w:t>Celková rozloha regenerovaných lokalit v Národní databázi brownfieldů pro ekonomické využití MSP</w:t>
            </w:r>
          </w:p>
        </w:tc>
      </w:tr>
      <w:tr w:rsidR="00BD619A" w:rsidRPr="00DD47DF" w14:paraId="6B12AF52" w14:textId="77777777">
        <w:trPr>
          <w:jc w:val="center"/>
        </w:trPr>
        <w:tc>
          <w:tcPr>
            <w:tcW w:w="1900" w:type="dxa"/>
            <w:vMerge/>
            <w:shd w:val="clear" w:color="auto" w:fill="DBE5F1"/>
            <w:vAlign w:val="center"/>
          </w:tcPr>
          <w:p w14:paraId="3FA2C960" w14:textId="77777777" w:rsidR="00BD619A" w:rsidRPr="00DD47DF" w:rsidRDefault="00BD619A" w:rsidP="000E0E9B">
            <w:pPr>
              <w:pStyle w:val="Tabulka"/>
              <w:rPr>
                <w:rFonts w:cs="Calibri"/>
              </w:rPr>
            </w:pPr>
          </w:p>
        </w:tc>
        <w:tc>
          <w:tcPr>
            <w:tcW w:w="709" w:type="dxa"/>
            <w:vMerge/>
            <w:vAlign w:val="center"/>
          </w:tcPr>
          <w:p w14:paraId="63142E15" w14:textId="77777777" w:rsidR="00BD619A" w:rsidRPr="00DD47DF" w:rsidRDefault="00BD619A" w:rsidP="00D40246">
            <w:pPr>
              <w:pStyle w:val="Tabulka"/>
              <w:rPr>
                <w:rFonts w:cs="Calibri"/>
              </w:rPr>
            </w:pPr>
          </w:p>
        </w:tc>
        <w:tc>
          <w:tcPr>
            <w:tcW w:w="1445" w:type="dxa"/>
            <w:vMerge/>
            <w:vAlign w:val="center"/>
          </w:tcPr>
          <w:p w14:paraId="1838BD0A" w14:textId="77777777" w:rsidR="00BD619A" w:rsidRPr="00DD47DF" w:rsidRDefault="00BD619A" w:rsidP="00D40246">
            <w:pPr>
              <w:pStyle w:val="Tabulka"/>
              <w:rPr>
                <w:rFonts w:cs="Calibri"/>
              </w:rPr>
            </w:pPr>
          </w:p>
        </w:tc>
        <w:tc>
          <w:tcPr>
            <w:tcW w:w="1330" w:type="dxa"/>
            <w:vMerge/>
            <w:vAlign w:val="center"/>
          </w:tcPr>
          <w:p w14:paraId="53B8E134" w14:textId="77777777" w:rsidR="00BD619A" w:rsidRPr="00DD47DF" w:rsidRDefault="00BD619A" w:rsidP="00D40246">
            <w:pPr>
              <w:pStyle w:val="Tabulka"/>
              <w:rPr>
                <w:rFonts w:cs="Calibri"/>
              </w:rPr>
            </w:pPr>
          </w:p>
        </w:tc>
        <w:tc>
          <w:tcPr>
            <w:tcW w:w="1619" w:type="dxa"/>
            <w:vMerge/>
            <w:vAlign w:val="center"/>
          </w:tcPr>
          <w:p w14:paraId="76A4670C" w14:textId="77777777" w:rsidR="00BD619A" w:rsidRPr="00DD47DF" w:rsidRDefault="00BD619A" w:rsidP="00D40246">
            <w:pPr>
              <w:pStyle w:val="Tabulka"/>
              <w:rPr>
                <w:rFonts w:cs="Calibri"/>
              </w:rPr>
            </w:pPr>
          </w:p>
        </w:tc>
        <w:tc>
          <w:tcPr>
            <w:tcW w:w="3119" w:type="dxa"/>
            <w:vMerge/>
            <w:shd w:val="clear" w:color="auto" w:fill="auto"/>
            <w:vAlign w:val="center"/>
          </w:tcPr>
          <w:p w14:paraId="1C122B6D" w14:textId="77777777" w:rsidR="00BD619A" w:rsidRPr="00DD47DF" w:rsidRDefault="00BD619A" w:rsidP="000E0E9B">
            <w:pPr>
              <w:pStyle w:val="Tabulka"/>
              <w:rPr>
                <w:rFonts w:cs="Calibri"/>
              </w:rPr>
            </w:pPr>
          </w:p>
        </w:tc>
        <w:tc>
          <w:tcPr>
            <w:tcW w:w="2254" w:type="dxa"/>
            <w:shd w:val="clear" w:color="auto" w:fill="auto"/>
            <w:vAlign w:val="center"/>
          </w:tcPr>
          <w:p w14:paraId="0018B604" w14:textId="77777777" w:rsidR="00BD619A" w:rsidRPr="00DD47DF" w:rsidRDefault="00BD619A" w:rsidP="00AC3ECC">
            <w:pPr>
              <w:pStyle w:val="Tabulka"/>
              <w:rPr>
                <w:rFonts w:cs="Calibri"/>
              </w:rPr>
            </w:pPr>
            <w:r w:rsidRPr="00DD47DF">
              <w:rPr>
                <w:rFonts w:cs="Calibri"/>
              </w:rPr>
              <w:t xml:space="preserve">2.4 - </w:t>
            </w:r>
            <w:r w:rsidR="00AC3ECC" w:rsidRPr="00DD47DF">
              <w:rPr>
                <w:rFonts w:cs="Calibri"/>
              </w:rPr>
              <w:t>Zvýšit kapacitu pro odborné vzdělávání v MSP</w:t>
            </w:r>
          </w:p>
        </w:tc>
        <w:tc>
          <w:tcPr>
            <w:tcW w:w="1882" w:type="dxa"/>
            <w:vAlign w:val="center"/>
          </w:tcPr>
          <w:p w14:paraId="4F0B5A85" w14:textId="77777777" w:rsidR="00BD619A" w:rsidRPr="00DD47DF" w:rsidRDefault="00CD4307" w:rsidP="00CD4307">
            <w:pPr>
              <w:pStyle w:val="Tabulka"/>
              <w:rPr>
                <w:rFonts w:cs="Calibri"/>
              </w:rPr>
            </w:pPr>
            <w:r w:rsidRPr="00DD47DF">
              <w:t xml:space="preserve"> </w:t>
            </w:r>
            <w:r w:rsidRPr="00DD47DF">
              <w:rPr>
                <w:rFonts w:cs="Calibri"/>
              </w:rPr>
              <w:t>Podíl účastníků</w:t>
            </w:r>
            <w:r w:rsidR="00CB650E" w:rsidRPr="00DD47DF">
              <w:rPr>
                <w:rFonts w:cs="Calibri"/>
              </w:rPr>
              <w:t xml:space="preserve"> </w:t>
            </w:r>
            <w:r w:rsidRPr="00DD47DF">
              <w:rPr>
                <w:rFonts w:cs="Calibri"/>
              </w:rPr>
              <w:t>kurzů dalšího odborného vzdělávání na celkovém počtu</w:t>
            </w:r>
            <w:r w:rsidR="00CB650E" w:rsidRPr="00DD47DF">
              <w:rPr>
                <w:rFonts w:cs="Calibri"/>
              </w:rPr>
              <w:t xml:space="preserve"> </w:t>
            </w:r>
            <w:r w:rsidRPr="00DD47DF">
              <w:rPr>
                <w:rFonts w:cs="Calibri"/>
              </w:rPr>
              <w:t>zaměstnaných osob u malých podniků</w:t>
            </w:r>
          </w:p>
          <w:p w14:paraId="019C7A76" w14:textId="77777777" w:rsidR="00CD4307" w:rsidRPr="00DD47DF" w:rsidRDefault="00CD4307" w:rsidP="00DA11F9">
            <w:pPr>
              <w:pStyle w:val="Tabulka"/>
              <w:rPr>
                <w:rFonts w:cs="Calibri"/>
              </w:rPr>
            </w:pPr>
            <w:r w:rsidRPr="00DD47DF">
              <w:rPr>
                <w:rFonts w:cs="Calibri"/>
              </w:rPr>
              <w:t>Podíl účastníků</w:t>
            </w:r>
            <w:r w:rsidR="00DA11F9" w:rsidRPr="00DD47DF">
              <w:rPr>
                <w:rFonts w:cs="Calibri"/>
              </w:rPr>
              <w:t xml:space="preserve"> </w:t>
            </w:r>
            <w:r w:rsidRPr="00DD47DF">
              <w:rPr>
                <w:rFonts w:cs="Calibri"/>
              </w:rPr>
              <w:t xml:space="preserve">kurzů dalšího </w:t>
            </w:r>
            <w:r w:rsidRPr="00DD47DF">
              <w:rPr>
                <w:rFonts w:cs="Calibri"/>
              </w:rPr>
              <w:lastRenderedPageBreak/>
              <w:t>odborného vzdělávání na celkovém počtu</w:t>
            </w:r>
            <w:r w:rsidR="00CB650E" w:rsidRPr="00DD47DF">
              <w:rPr>
                <w:rFonts w:cs="Calibri"/>
              </w:rPr>
              <w:t xml:space="preserve"> </w:t>
            </w:r>
            <w:r w:rsidRPr="00DD47DF">
              <w:rPr>
                <w:rFonts w:cs="Calibri"/>
              </w:rPr>
              <w:t>zaměstnaných osob u středních podniků</w:t>
            </w:r>
          </w:p>
        </w:tc>
      </w:tr>
      <w:tr w:rsidR="00DB5E8B" w:rsidRPr="00DD47DF" w14:paraId="393A4EFB" w14:textId="77777777">
        <w:trPr>
          <w:jc w:val="center"/>
        </w:trPr>
        <w:tc>
          <w:tcPr>
            <w:tcW w:w="1900" w:type="dxa"/>
            <w:vMerge w:val="restart"/>
            <w:shd w:val="clear" w:color="auto" w:fill="DBE5F1"/>
            <w:vAlign w:val="center"/>
          </w:tcPr>
          <w:p w14:paraId="46DCCE4E" w14:textId="77777777" w:rsidR="00DB5E8B" w:rsidRPr="00DD47DF" w:rsidRDefault="00DB5E8B" w:rsidP="009670FD">
            <w:pPr>
              <w:pStyle w:val="Tabulka"/>
              <w:jc w:val="left"/>
              <w:rPr>
                <w:rFonts w:cs="Calibri"/>
              </w:rPr>
            </w:pPr>
            <w:r w:rsidRPr="00DD47DF">
              <w:rPr>
                <w:rFonts w:cs="Calibri"/>
              </w:rPr>
              <w:lastRenderedPageBreak/>
              <w:t xml:space="preserve">PO 3: Účinné nakládání energií, rozvoj energetické infrastruktury a obnovitelných zdrojů energie, podpora zavádění nových technologií v oblasti nakládání energií a druhotných surovin </w:t>
            </w:r>
          </w:p>
          <w:p w14:paraId="1FE372E9" w14:textId="77777777" w:rsidR="00DB5E8B" w:rsidRPr="00DD47DF" w:rsidRDefault="00DB5E8B" w:rsidP="000E0E9B">
            <w:pPr>
              <w:pStyle w:val="Tabulka"/>
              <w:rPr>
                <w:rFonts w:cs="Calibri"/>
              </w:rPr>
            </w:pPr>
          </w:p>
        </w:tc>
        <w:tc>
          <w:tcPr>
            <w:tcW w:w="709" w:type="dxa"/>
            <w:vAlign w:val="center"/>
          </w:tcPr>
          <w:p w14:paraId="73BC0FAF" w14:textId="77777777" w:rsidR="00DB5E8B" w:rsidRPr="00DD47DF" w:rsidRDefault="00DB5E8B" w:rsidP="00D40246">
            <w:pPr>
              <w:pStyle w:val="Tabulka"/>
              <w:rPr>
                <w:rFonts w:cs="Calibri"/>
              </w:rPr>
            </w:pPr>
            <w:r w:rsidRPr="00DD47DF">
              <w:rPr>
                <w:rFonts w:cs="Calibri"/>
              </w:rPr>
              <w:t>EFRR</w:t>
            </w:r>
          </w:p>
        </w:tc>
        <w:tc>
          <w:tcPr>
            <w:tcW w:w="1445" w:type="dxa"/>
            <w:vAlign w:val="center"/>
          </w:tcPr>
          <w:p w14:paraId="10B2B1E0" w14:textId="77777777" w:rsidR="00DB5E8B" w:rsidRPr="00DD47DF" w:rsidRDefault="00537B82" w:rsidP="00D40246">
            <w:pPr>
              <w:pStyle w:val="Tabulka"/>
              <w:rPr>
                <w:rFonts w:cs="Calibri"/>
              </w:rPr>
            </w:pPr>
            <w:r w:rsidRPr="00DD47DF">
              <w:rPr>
                <w:rFonts w:cs="Calibri"/>
              </w:rPr>
              <w:t>53 519 176</w:t>
            </w:r>
          </w:p>
        </w:tc>
        <w:tc>
          <w:tcPr>
            <w:tcW w:w="1330" w:type="dxa"/>
            <w:vAlign w:val="center"/>
          </w:tcPr>
          <w:p w14:paraId="325E973F" w14:textId="77777777" w:rsidR="00DB5E8B" w:rsidRPr="00DD47DF" w:rsidRDefault="00DB5E8B" w:rsidP="00847395">
            <w:pPr>
              <w:pStyle w:val="Tabulka"/>
              <w:rPr>
                <w:rFonts w:cs="Calibri"/>
              </w:rPr>
            </w:pPr>
            <w:r w:rsidRPr="00DD47DF">
              <w:rPr>
                <w:rFonts w:cs="Calibri"/>
              </w:rPr>
              <w:t>1,2</w:t>
            </w:r>
            <w:r w:rsidR="008E5470" w:rsidRPr="00DD47DF">
              <w:rPr>
                <w:rFonts w:cs="Calibri"/>
              </w:rPr>
              <w:t>3</w:t>
            </w:r>
            <w:r w:rsidRPr="00DD47DF">
              <w:rPr>
                <w:rFonts w:cs="Calibri"/>
              </w:rPr>
              <w:t xml:space="preserve"> %</w:t>
            </w:r>
          </w:p>
        </w:tc>
        <w:tc>
          <w:tcPr>
            <w:tcW w:w="1619" w:type="dxa"/>
            <w:vMerge w:val="restart"/>
            <w:vAlign w:val="center"/>
          </w:tcPr>
          <w:p w14:paraId="71DD208E" w14:textId="77777777" w:rsidR="00DB5E8B" w:rsidRPr="00DD47DF" w:rsidRDefault="00DB5E8B" w:rsidP="00D40246">
            <w:pPr>
              <w:pStyle w:val="Tabulka"/>
              <w:rPr>
                <w:rFonts w:cs="Calibri"/>
              </w:rPr>
            </w:pPr>
            <w:r w:rsidRPr="00DD47DF">
              <w:rPr>
                <w:rFonts w:cs="Calibri"/>
              </w:rPr>
              <w:t>4</w:t>
            </w:r>
            <w:r w:rsidR="00CC5E04" w:rsidRPr="00DD47DF">
              <w:rPr>
                <w:rFonts w:cs="Calibri"/>
              </w:rPr>
              <w:t>)</w:t>
            </w:r>
            <w:r w:rsidRPr="00DD47DF">
              <w:rPr>
                <w:rFonts w:cs="Calibri"/>
              </w:rPr>
              <w:t xml:space="preserve"> Podpora přechodu na nízkouhlíkové hospodářství ve všech odvětvích</w:t>
            </w:r>
          </w:p>
        </w:tc>
        <w:tc>
          <w:tcPr>
            <w:tcW w:w="3119" w:type="dxa"/>
            <w:shd w:val="clear" w:color="auto" w:fill="auto"/>
            <w:vAlign w:val="center"/>
          </w:tcPr>
          <w:p w14:paraId="4B36CB2A" w14:textId="77777777" w:rsidR="00DB5E8B" w:rsidRPr="00DD47DF" w:rsidRDefault="00B54D2B" w:rsidP="00BE6D25">
            <w:pPr>
              <w:pStyle w:val="Tabulka"/>
              <w:widowControl w:val="0"/>
              <w:rPr>
                <w:rFonts w:cs="Calibri"/>
              </w:rPr>
            </w:pPr>
            <w:r w:rsidRPr="00DD47DF">
              <w:rPr>
                <w:rFonts w:cs="Calibri"/>
              </w:rPr>
              <w:t xml:space="preserve">4 a) </w:t>
            </w:r>
            <w:r w:rsidR="00DB5E8B" w:rsidRPr="00DD47DF">
              <w:rPr>
                <w:rFonts w:cs="Calibri"/>
              </w:rPr>
              <w:t>Podpora výroby a distribuce energie pocházející z obnovitelných zdrojů</w:t>
            </w:r>
          </w:p>
        </w:tc>
        <w:tc>
          <w:tcPr>
            <w:tcW w:w="2254" w:type="dxa"/>
            <w:shd w:val="clear" w:color="auto" w:fill="auto"/>
            <w:vAlign w:val="center"/>
          </w:tcPr>
          <w:p w14:paraId="101CF389" w14:textId="77777777" w:rsidR="00DB5E8B" w:rsidRPr="00DD47DF" w:rsidRDefault="00DB5E8B" w:rsidP="00771951">
            <w:pPr>
              <w:pStyle w:val="Tabulka"/>
              <w:rPr>
                <w:rFonts w:cs="Calibri"/>
              </w:rPr>
            </w:pPr>
            <w:r w:rsidRPr="00DD47DF">
              <w:rPr>
                <w:rFonts w:cs="Calibri"/>
              </w:rPr>
              <w:t>3.1 – Zvýšit podíl výroby energie z obnovitelných zdrojů na hrubé konečné spotřebě ČR</w:t>
            </w:r>
          </w:p>
        </w:tc>
        <w:tc>
          <w:tcPr>
            <w:tcW w:w="1882" w:type="dxa"/>
            <w:vAlign w:val="center"/>
          </w:tcPr>
          <w:p w14:paraId="41B78A1D" w14:textId="77777777" w:rsidR="00DB5E8B" w:rsidRPr="00DD47DF" w:rsidRDefault="000817E2" w:rsidP="00BA1E1C">
            <w:pPr>
              <w:pStyle w:val="Tabulka"/>
              <w:rPr>
                <w:rFonts w:cs="Calibri"/>
              </w:rPr>
            </w:pPr>
            <w:r w:rsidRPr="00DD47DF">
              <w:rPr>
                <w:rFonts w:cs="Calibri"/>
              </w:rPr>
              <w:t>Celkový instalovaný výkon</w:t>
            </w:r>
            <w:r w:rsidR="000B5A68" w:rsidRPr="00DD47DF">
              <w:rPr>
                <w:rFonts w:cs="Calibri"/>
              </w:rPr>
              <w:t xml:space="preserve"> z OZE</w:t>
            </w:r>
          </w:p>
        </w:tc>
      </w:tr>
      <w:tr w:rsidR="00DB5E8B" w:rsidRPr="00DD47DF" w14:paraId="6638DDA3" w14:textId="77777777">
        <w:trPr>
          <w:jc w:val="center"/>
        </w:trPr>
        <w:tc>
          <w:tcPr>
            <w:tcW w:w="1900" w:type="dxa"/>
            <w:vMerge/>
            <w:shd w:val="clear" w:color="auto" w:fill="DBE5F1"/>
            <w:vAlign w:val="center"/>
          </w:tcPr>
          <w:p w14:paraId="0CF4C1DD" w14:textId="77777777" w:rsidR="00DB5E8B" w:rsidRPr="00DD47DF" w:rsidRDefault="00DB5E8B" w:rsidP="000E0E9B">
            <w:pPr>
              <w:pStyle w:val="Tabulka"/>
              <w:rPr>
                <w:rFonts w:cs="Calibri"/>
              </w:rPr>
            </w:pPr>
          </w:p>
        </w:tc>
        <w:tc>
          <w:tcPr>
            <w:tcW w:w="709" w:type="dxa"/>
            <w:vAlign w:val="center"/>
          </w:tcPr>
          <w:p w14:paraId="24BDE420" w14:textId="77777777" w:rsidR="00DB5E8B" w:rsidRPr="00DD47DF" w:rsidRDefault="00DB5E8B" w:rsidP="00D40246">
            <w:pPr>
              <w:pStyle w:val="Tabulka"/>
              <w:rPr>
                <w:rFonts w:cs="Calibri"/>
              </w:rPr>
            </w:pPr>
            <w:r w:rsidRPr="00DD47DF">
              <w:rPr>
                <w:rFonts w:cs="Calibri"/>
              </w:rPr>
              <w:t>EFRR</w:t>
            </w:r>
          </w:p>
        </w:tc>
        <w:tc>
          <w:tcPr>
            <w:tcW w:w="1445" w:type="dxa"/>
            <w:vAlign w:val="center"/>
          </w:tcPr>
          <w:p w14:paraId="23E552E1" w14:textId="77777777" w:rsidR="00DB5E8B" w:rsidRPr="00DD47DF" w:rsidRDefault="00537B82" w:rsidP="00D40246">
            <w:pPr>
              <w:pStyle w:val="Tabulka"/>
              <w:rPr>
                <w:rFonts w:cs="Calibri"/>
              </w:rPr>
            </w:pPr>
            <w:r w:rsidRPr="00DD47DF">
              <w:rPr>
                <w:rFonts w:cs="Calibri"/>
              </w:rPr>
              <w:t>746 247 226</w:t>
            </w:r>
          </w:p>
        </w:tc>
        <w:tc>
          <w:tcPr>
            <w:tcW w:w="1330" w:type="dxa"/>
            <w:vAlign w:val="center"/>
          </w:tcPr>
          <w:p w14:paraId="2FA93E82" w14:textId="77777777" w:rsidR="00DB5E8B" w:rsidRPr="00DD47DF" w:rsidRDefault="00DB5E8B" w:rsidP="008E5470">
            <w:pPr>
              <w:pStyle w:val="Tabulka"/>
              <w:rPr>
                <w:rFonts w:cs="Calibri"/>
              </w:rPr>
            </w:pPr>
            <w:r w:rsidRPr="00DD47DF">
              <w:rPr>
                <w:rFonts w:cs="Calibri"/>
              </w:rPr>
              <w:t>1</w:t>
            </w:r>
            <w:r w:rsidR="00847395" w:rsidRPr="00DD47DF">
              <w:rPr>
                <w:rFonts w:cs="Calibri"/>
              </w:rPr>
              <w:t>7</w:t>
            </w:r>
            <w:r w:rsidRPr="00DD47DF">
              <w:rPr>
                <w:rFonts w:cs="Calibri"/>
              </w:rPr>
              <w:t>,</w:t>
            </w:r>
            <w:r w:rsidR="00115A81" w:rsidRPr="00DD47DF">
              <w:rPr>
                <w:rFonts w:cs="Calibri"/>
              </w:rPr>
              <w:t>2</w:t>
            </w:r>
            <w:r w:rsidR="008E5470" w:rsidRPr="00DD47DF">
              <w:rPr>
                <w:rFonts w:cs="Calibri"/>
              </w:rPr>
              <w:t>3</w:t>
            </w:r>
            <w:r w:rsidRPr="00DD47DF">
              <w:rPr>
                <w:rFonts w:cs="Calibri"/>
              </w:rPr>
              <w:t xml:space="preserve"> %</w:t>
            </w:r>
          </w:p>
        </w:tc>
        <w:tc>
          <w:tcPr>
            <w:tcW w:w="1619" w:type="dxa"/>
            <w:vMerge/>
            <w:vAlign w:val="center"/>
          </w:tcPr>
          <w:p w14:paraId="0ACFC09F" w14:textId="77777777" w:rsidR="00DB5E8B" w:rsidRPr="00DD47DF" w:rsidRDefault="00DB5E8B" w:rsidP="00D40246">
            <w:pPr>
              <w:pStyle w:val="Tabulka"/>
              <w:rPr>
                <w:rFonts w:cs="Calibri"/>
              </w:rPr>
            </w:pPr>
          </w:p>
        </w:tc>
        <w:tc>
          <w:tcPr>
            <w:tcW w:w="3119" w:type="dxa"/>
            <w:shd w:val="clear" w:color="auto" w:fill="auto"/>
            <w:vAlign w:val="center"/>
          </w:tcPr>
          <w:p w14:paraId="5F1D3A80" w14:textId="77777777" w:rsidR="00DB5E8B" w:rsidRPr="00DD47DF" w:rsidRDefault="00B54D2B" w:rsidP="00BE6D25">
            <w:pPr>
              <w:pStyle w:val="Tabulka"/>
              <w:widowControl w:val="0"/>
              <w:rPr>
                <w:rFonts w:cs="Calibri"/>
              </w:rPr>
            </w:pPr>
            <w:r w:rsidRPr="00DD47DF">
              <w:rPr>
                <w:rFonts w:cs="Calibri"/>
              </w:rPr>
              <w:t xml:space="preserve">4 b) </w:t>
            </w:r>
            <w:r w:rsidR="00DB5E8B" w:rsidRPr="00DD47DF">
              <w:rPr>
                <w:rFonts w:cs="Calibri"/>
              </w:rPr>
              <w:t>Podpora energetické účinnosti a využívání energie z obnovitelných zdrojů v podnicích</w:t>
            </w:r>
          </w:p>
        </w:tc>
        <w:tc>
          <w:tcPr>
            <w:tcW w:w="2254" w:type="dxa"/>
            <w:shd w:val="clear" w:color="auto" w:fill="auto"/>
            <w:vAlign w:val="center"/>
          </w:tcPr>
          <w:p w14:paraId="7F5A16D0" w14:textId="1A49A166" w:rsidR="00DB5E8B" w:rsidRPr="00DD47DF" w:rsidRDefault="00DB5E8B" w:rsidP="008A674D">
            <w:pPr>
              <w:pStyle w:val="Tabulka"/>
              <w:rPr>
                <w:rFonts w:cs="Calibri"/>
              </w:rPr>
            </w:pPr>
            <w:r w:rsidRPr="00DD47DF">
              <w:rPr>
                <w:rFonts w:cs="Calibri"/>
              </w:rPr>
              <w:t xml:space="preserve">3.2 – </w:t>
            </w:r>
            <w:r w:rsidR="009E5C82">
              <w:rPr>
                <w:rFonts w:cs="Calibri"/>
              </w:rPr>
              <w:t>Zvýšení energetické účinnosti a využívání energie z obnovitelných zdrojů v podnikatelském sektoru</w:t>
            </w:r>
          </w:p>
        </w:tc>
        <w:tc>
          <w:tcPr>
            <w:tcW w:w="1882" w:type="dxa"/>
            <w:vAlign w:val="center"/>
          </w:tcPr>
          <w:p w14:paraId="3E2A335B" w14:textId="77777777" w:rsidR="00DB5E8B" w:rsidRPr="00DD47DF" w:rsidRDefault="008E48D1" w:rsidP="00BA1E1C">
            <w:pPr>
              <w:pStyle w:val="Tabulka"/>
              <w:rPr>
                <w:rFonts w:cs="Calibri"/>
              </w:rPr>
            </w:pPr>
            <w:r w:rsidRPr="00DD47DF">
              <w:rPr>
                <w:rFonts w:cs="Calibri"/>
              </w:rPr>
              <w:t>Čistá konečná spotřeba energie</w:t>
            </w:r>
            <w:r w:rsidR="00710CBB" w:rsidRPr="00DD47DF">
              <w:rPr>
                <w:rFonts w:cs="Calibri"/>
              </w:rPr>
              <w:t xml:space="preserve"> v průmyslu</w:t>
            </w:r>
          </w:p>
          <w:p w14:paraId="74010565" w14:textId="77777777" w:rsidR="00710CBB" w:rsidRPr="00DD47DF" w:rsidRDefault="00710CBB" w:rsidP="00BA1E1C">
            <w:pPr>
              <w:pStyle w:val="Tabulka"/>
              <w:rPr>
                <w:rFonts w:cs="Calibri"/>
              </w:rPr>
            </w:pPr>
            <w:r w:rsidRPr="00DD47DF">
              <w:rPr>
                <w:rFonts w:cs="Calibri"/>
              </w:rPr>
              <w:t>Čistá konečná spotřeba energie ve službách</w:t>
            </w:r>
          </w:p>
        </w:tc>
      </w:tr>
      <w:tr w:rsidR="00DB5E8B" w:rsidRPr="00DD47DF" w14:paraId="299F08E4" w14:textId="77777777">
        <w:trPr>
          <w:jc w:val="center"/>
        </w:trPr>
        <w:tc>
          <w:tcPr>
            <w:tcW w:w="1900" w:type="dxa"/>
            <w:vMerge/>
            <w:shd w:val="clear" w:color="auto" w:fill="DBE5F1"/>
            <w:vAlign w:val="center"/>
          </w:tcPr>
          <w:p w14:paraId="2E9BB06D" w14:textId="77777777" w:rsidR="00DB5E8B" w:rsidRPr="00DD47DF" w:rsidRDefault="00DB5E8B" w:rsidP="000E0E9B">
            <w:pPr>
              <w:pStyle w:val="Tabulka"/>
              <w:rPr>
                <w:rFonts w:cs="Calibri"/>
              </w:rPr>
            </w:pPr>
          </w:p>
        </w:tc>
        <w:tc>
          <w:tcPr>
            <w:tcW w:w="709" w:type="dxa"/>
            <w:vAlign w:val="center"/>
          </w:tcPr>
          <w:p w14:paraId="25CC02E4" w14:textId="77777777" w:rsidR="00DB5E8B" w:rsidRPr="00DD47DF" w:rsidRDefault="00DB5E8B" w:rsidP="00D40246">
            <w:pPr>
              <w:pStyle w:val="Tabulka"/>
              <w:rPr>
                <w:rFonts w:cs="Calibri"/>
              </w:rPr>
            </w:pPr>
            <w:r w:rsidRPr="00DD47DF">
              <w:rPr>
                <w:rFonts w:cs="Calibri"/>
              </w:rPr>
              <w:t>EFRR</w:t>
            </w:r>
          </w:p>
        </w:tc>
        <w:tc>
          <w:tcPr>
            <w:tcW w:w="1445" w:type="dxa"/>
            <w:vAlign w:val="center"/>
          </w:tcPr>
          <w:p w14:paraId="1E97AEA3" w14:textId="77777777" w:rsidR="00DB5E8B" w:rsidRPr="00DD47DF" w:rsidRDefault="00537B82" w:rsidP="00D40246">
            <w:pPr>
              <w:pStyle w:val="Tabulka"/>
              <w:rPr>
                <w:rFonts w:cs="Calibri"/>
              </w:rPr>
            </w:pPr>
            <w:r w:rsidRPr="00DD47DF">
              <w:rPr>
                <w:rFonts w:cs="Calibri"/>
              </w:rPr>
              <w:t>37 118 139</w:t>
            </w:r>
          </w:p>
        </w:tc>
        <w:tc>
          <w:tcPr>
            <w:tcW w:w="1330" w:type="dxa"/>
            <w:vAlign w:val="center"/>
          </w:tcPr>
          <w:p w14:paraId="3C135378" w14:textId="77777777" w:rsidR="00DB5E8B" w:rsidRPr="00DD47DF" w:rsidRDefault="00DB5E8B" w:rsidP="00115A81">
            <w:pPr>
              <w:pStyle w:val="Tabulka"/>
              <w:rPr>
                <w:rFonts w:cs="Calibri"/>
              </w:rPr>
            </w:pPr>
            <w:r w:rsidRPr="00DD47DF">
              <w:rPr>
                <w:rFonts w:cs="Calibri"/>
              </w:rPr>
              <w:t>0,8</w:t>
            </w:r>
            <w:r w:rsidR="00115A81" w:rsidRPr="00DD47DF">
              <w:rPr>
                <w:rFonts w:cs="Calibri"/>
              </w:rPr>
              <w:t>6</w:t>
            </w:r>
            <w:r w:rsidRPr="00DD47DF">
              <w:rPr>
                <w:rFonts w:cs="Calibri"/>
              </w:rPr>
              <w:t xml:space="preserve"> %</w:t>
            </w:r>
          </w:p>
        </w:tc>
        <w:tc>
          <w:tcPr>
            <w:tcW w:w="1619" w:type="dxa"/>
            <w:vMerge/>
            <w:vAlign w:val="center"/>
          </w:tcPr>
          <w:p w14:paraId="4C75FB88" w14:textId="77777777" w:rsidR="00DB5E8B" w:rsidRPr="00DD47DF" w:rsidRDefault="00DB5E8B" w:rsidP="00D40246">
            <w:pPr>
              <w:pStyle w:val="Tabulka"/>
              <w:rPr>
                <w:rFonts w:cs="Calibri"/>
              </w:rPr>
            </w:pPr>
          </w:p>
        </w:tc>
        <w:tc>
          <w:tcPr>
            <w:tcW w:w="3119" w:type="dxa"/>
            <w:shd w:val="clear" w:color="auto" w:fill="auto"/>
            <w:vAlign w:val="center"/>
          </w:tcPr>
          <w:p w14:paraId="653F818C" w14:textId="77777777" w:rsidR="00DB5E8B" w:rsidRPr="00DD47DF" w:rsidRDefault="00B54D2B" w:rsidP="00BE6D25">
            <w:pPr>
              <w:pStyle w:val="Tabulka"/>
              <w:widowControl w:val="0"/>
              <w:rPr>
                <w:rFonts w:cs="Calibri"/>
              </w:rPr>
            </w:pPr>
            <w:r w:rsidRPr="00DD47DF">
              <w:rPr>
                <w:rFonts w:cs="Calibri"/>
              </w:rPr>
              <w:t xml:space="preserve">4 d) </w:t>
            </w:r>
            <w:r w:rsidR="00DB5E8B" w:rsidRPr="00DD47DF">
              <w:rPr>
                <w:rFonts w:cs="Calibri"/>
              </w:rPr>
              <w:t>Rozvoj a zavádění inteligentních distribučních soustav, jež fungují na hladině nízkého a středního napětí</w:t>
            </w:r>
          </w:p>
        </w:tc>
        <w:tc>
          <w:tcPr>
            <w:tcW w:w="2254" w:type="dxa"/>
            <w:shd w:val="clear" w:color="auto" w:fill="auto"/>
            <w:vAlign w:val="center"/>
          </w:tcPr>
          <w:p w14:paraId="5059BC56" w14:textId="77777777" w:rsidR="00DB5E8B" w:rsidRPr="00DD47DF" w:rsidRDefault="00DB5E8B" w:rsidP="000E0E9B">
            <w:pPr>
              <w:pStyle w:val="Tabulka"/>
              <w:rPr>
                <w:rFonts w:cs="Calibri"/>
              </w:rPr>
            </w:pPr>
            <w:r w:rsidRPr="00DD47DF">
              <w:rPr>
                <w:rFonts w:cs="Calibri"/>
              </w:rPr>
              <w:t xml:space="preserve">3.3 - </w:t>
            </w:r>
            <w:r w:rsidR="00E314F2" w:rsidRPr="00DD47DF">
              <w:rPr>
                <w:rFonts w:cs="Calibri"/>
              </w:rPr>
              <w:t>Zvýšit aplikaci prvků inteligentních sítí v distribučních soustavách</w:t>
            </w:r>
          </w:p>
        </w:tc>
        <w:tc>
          <w:tcPr>
            <w:tcW w:w="1882" w:type="dxa"/>
            <w:vAlign w:val="center"/>
          </w:tcPr>
          <w:p w14:paraId="1D9B1F56" w14:textId="77777777" w:rsidR="005E0458" w:rsidRPr="00DD47DF" w:rsidRDefault="005E0458" w:rsidP="00BA1E1C">
            <w:pPr>
              <w:pStyle w:val="Tabulka"/>
              <w:rPr>
                <w:rFonts w:cs="Calibri"/>
                <w:szCs w:val="20"/>
              </w:rPr>
            </w:pPr>
            <w:r w:rsidRPr="00DD47DF">
              <w:rPr>
                <w:rFonts w:cs="Calibri"/>
                <w:szCs w:val="20"/>
              </w:rPr>
              <w:t>SAIFI</w:t>
            </w:r>
          </w:p>
          <w:p w14:paraId="630DF5E4" w14:textId="77777777" w:rsidR="00DB5E8B" w:rsidRPr="00DD47DF" w:rsidRDefault="008F1E9F" w:rsidP="00BA1E1C">
            <w:pPr>
              <w:pStyle w:val="Tabulka"/>
              <w:rPr>
                <w:rFonts w:cs="Calibri"/>
              </w:rPr>
            </w:pPr>
            <w:r w:rsidRPr="00DD47DF">
              <w:rPr>
                <w:rFonts w:cs="Calibri"/>
                <w:szCs w:val="20"/>
              </w:rPr>
              <w:t>SAIDI</w:t>
            </w:r>
          </w:p>
        </w:tc>
      </w:tr>
      <w:tr w:rsidR="00DB5E8B" w:rsidRPr="00DD47DF" w14:paraId="76883FE5" w14:textId="77777777">
        <w:trPr>
          <w:jc w:val="center"/>
        </w:trPr>
        <w:tc>
          <w:tcPr>
            <w:tcW w:w="1900" w:type="dxa"/>
            <w:vMerge/>
            <w:shd w:val="clear" w:color="auto" w:fill="DBE5F1"/>
            <w:vAlign w:val="center"/>
          </w:tcPr>
          <w:p w14:paraId="5524DD3B" w14:textId="77777777" w:rsidR="00DB5E8B" w:rsidRPr="00DD47DF" w:rsidRDefault="00DB5E8B" w:rsidP="000E0E9B">
            <w:pPr>
              <w:pStyle w:val="Tabulka"/>
              <w:rPr>
                <w:rFonts w:cs="Calibri"/>
              </w:rPr>
            </w:pPr>
          </w:p>
        </w:tc>
        <w:tc>
          <w:tcPr>
            <w:tcW w:w="709" w:type="dxa"/>
            <w:vAlign w:val="center"/>
          </w:tcPr>
          <w:p w14:paraId="02480870" w14:textId="77777777" w:rsidR="00DB5E8B" w:rsidRPr="00DD47DF" w:rsidRDefault="00DB5E8B" w:rsidP="00D40246">
            <w:pPr>
              <w:pStyle w:val="Tabulka"/>
              <w:rPr>
                <w:rFonts w:cs="Calibri"/>
              </w:rPr>
            </w:pPr>
            <w:r w:rsidRPr="00DD47DF">
              <w:rPr>
                <w:rFonts w:cs="Calibri"/>
              </w:rPr>
              <w:t>EFRR</w:t>
            </w:r>
          </w:p>
        </w:tc>
        <w:tc>
          <w:tcPr>
            <w:tcW w:w="1445" w:type="dxa"/>
            <w:vAlign w:val="center"/>
          </w:tcPr>
          <w:p w14:paraId="207868A9" w14:textId="43ED830C" w:rsidR="00DB5E8B" w:rsidRPr="00DD47DF" w:rsidRDefault="007B16C7" w:rsidP="00D40246">
            <w:pPr>
              <w:pStyle w:val="Tabulka"/>
              <w:rPr>
                <w:rFonts w:cs="Calibri"/>
              </w:rPr>
            </w:pPr>
            <w:r w:rsidRPr="00700E39">
              <w:rPr>
                <w:rFonts w:cs="Calibri"/>
              </w:rPr>
              <w:t>78 849 745</w:t>
            </w:r>
          </w:p>
        </w:tc>
        <w:tc>
          <w:tcPr>
            <w:tcW w:w="1330" w:type="dxa"/>
            <w:vAlign w:val="center"/>
          </w:tcPr>
          <w:p w14:paraId="4653E92C" w14:textId="0A264938" w:rsidR="00DB5E8B" w:rsidRPr="00DD47DF" w:rsidRDefault="007B16C7" w:rsidP="00115A81">
            <w:pPr>
              <w:pStyle w:val="Tabulka"/>
              <w:rPr>
                <w:rFonts w:cs="Calibri"/>
              </w:rPr>
            </w:pPr>
            <w:r w:rsidRPr="00700E39">
              <w:rPr>
                <w:rFonts w:cs="Calibri"/>
              </w:rPr>
              <w:t>1,82</w:t>
            </w:r>
            <w:r w:rsidR="00DB5E8B" w:rsidRPr="00DD47DF">
              <w:rPr>
                <w:rFonts w:cs="Calibri"/>
              </w:rPr>
              <w:t xml:space="preserve"> %</w:t>
            </w:r>
          </w:p>
        </w:tc>
        <w:tc>
          <w:tcPr>
            <w:tcW w:w="1619" w:type="dxa"/>
            <w:vMerge/>
            <w:vAlign w:val="center"/>
          </w:tcPr>
          <w:p w14:paraId="1C251C4C" w14:textId="77777777" w:rsidR="00DB5E8B" w:rsidRPr="00DD47DF" w:rsidRDefault="00DB5E8B" w:rsidP="00D40246">
            <w:pPr>
              <w:pStyle w:val="Tabulka"/>
              <w:rPr>
                <w:rFonts w:cs="Calibri"/>
              </w:rPr>
            </w:pPr>
          </w:p>
        </w:tc>
        <w:tc>
          <w:tcPr>
            <w:tcW w:w="3119" w:type="dxa"/>
            <w:shd w:val="clear" w:color="auto" w:fill="auto"/>
            <w:vAlign w:val="center"/>
          </w:tcPr>
          <w:p w14:paraId="56BB44E2" w14:textId="77777777" w:rsidR="00DB5E8B" w:rsidRPr="00DD47DF" w:rsidRDefault="00B54D2B" w:rsidP="00BE6D25">
            <w:pPr>
              <w:pStyle w:val="Tabulka"/>
              <w:widowControl w:val="0"/>
              <w:rPr>
                <w:rFonts w:cs="Calibri"/>
              </w:rPr>
            </w:pPr>
            <w:r w:rsidRPr="00DD47DF">
              <w:rPr>
                <w:rFonts w:cs="Calibri"/>
              </w:rPr>
              <w:t xml:space="preserve">4 f) </w:t>
            </w:r>
            <w:r w:rsidR="002641C7" w:rsidRPr="00DD47DF">
              <w:rPr>
                <w:rFonts w:cs="Calibri"/>
              </w:rPr>
              <w:t>Podpora výzkumu a inovací a zavádění nízkouhlíkových technologií</w:t>
            </w:r>
          </w:p>
        </w:tc>
        <w:tc>
          <w:tcPr>
            <w:tcW w:w="2254" w:type="dxa"/>
            <w:shd w:val="clear" w:color="auto" w:fill="auto"/>
            <w:vAlign w:val="center"/>
          </w:tcPr>
          <w:p w14:paraId="694E718F" w14:textId="77777777" w:rsidR="00DB5E8B" w:rsidRPr="00DD47DF" w:rsidRDefault="00DB5E8B" w:rsidP="00771951">
            <w:pPr>
              <w:pStyle w:val="Tabulka"/>
              <w:rPr>
                <w:rFonts w:cs="Calibri"/>
              </w:rPr>
            </w:pPr>
            <w:r w:rsidRPr="00DD47DF">
              <w:rPr>
                <w:rFonts w:cs="Calibri"/>
              </w:rPr>
              <w:t>3.4 -</w:t>
            </w:r>
            <w:r w:rsidR="00BA4E72" w:rsidRPr="00DD47DF">
              <w:rPr>
                <w:rFonts w:cs="Calibri"/>
              </w:rPr>
              <w:t xml:space="preserve"> </w:t>
            </w:r>
            <w:r w:rsidR="000D28F9" w:rsidRPr="00DD47DF">
              <w:rPr>
                <w:rFonts w:cs="Calibri"/>
              </w:rPr>
              <w:t>Uplatnit inovativní nízkouhlíkové technologie v oblasti nakládání energií a při využívání druhotných surovin</w:t>
            </w:r>
          </w:p>
        </w:tc>
        <w:tc>
          <w:tcPr>
            <w:tcW w:w="1882" w:type="dxa"/>
            <w:vAlign w:val="center"/>
          </w:tcPr>
          <w:p w14:paraId="01676487" w14:textId="77777777" w:rsidR="00DB5E8B" w:rsidRPr="00DD47DF" w:rsidRDefault="008E48D1" w:rsidP="00BA1E1C">
            <w:pPr>
              <w:pStyle w:val="Tabulka"/>
              <w:rPr>
                <w:rFonts w:cs="Calibri"/>
              </w:rPr>
            </w:pPr>
            <w:r w:rsidRPr="00DD47DF">
              <w:rPr>
                <w:rFonts w:cs="Calibri"/>
              </w:rPr>
              <w:t xml:space="preserve">Aplikované </w:t>
            </w:r>
            <w:r w:rsidR="00942A5B" w:rsidRPr="00DD47DF">
              <w:rPr>
                <w:rFonts w:cs="Calibri"/>
              </w:rPr>
              <w:t xml:space="preserve">inovativní </w:t>
            </w:r>
            <w:r w:rsidRPr="00DD47DF">
              <w:rPr>
                <w:rFonts w:cs="Calibri"/>
              </w:rPr>
              <w:t>nízkouhlíkové technologie</w:t>
            </w:r>
          </w:p>
        </w:tc>
      </w:tr>
      <w:tr w:rsidR="00DB5E8B" w:rsidRPr="00DD47DF" w14:paraId="5E0D860F" w14:textId="77777777">
        <w:trPr>
          <w:jc w:val="center"/>
        </w:trPr>
        <w:tc>
          <w:tcPr>
            <w:tcW w:w="1900" w:type="dxa"/>
            <w:vMerge/>
            <w:shd w:val="clear" w:color="auto" w:fill="DBE5F1"/>
            <w:vAlign w:val="center"/>
          </w:tcPr>
          <w:p w14:paraId="64081E84" w14:textId="77777777" w:rsidR="00DB5E8B" w:rsidRPr="00DD47DF" w:rsidRDefault="00DB5E8B" w:rsidP="000E0E9B">
            <w:pPr>
              <w:pStyle w:val="Tabulka"/>
              <w:rPr>
                <w:rFonts w:cs="Calibri"/>
              </w:rPr>
            </w:pPr>
          </w:p>
        </w:tc>
        <w:tc>
          <w:tcPr>
            <w:tcW w:w="709" w:type="dxa"/>
            <w:vAlign w:val="center"/>
          </w:tcPr>
          <w:p w14:paraId="268789BE" w14:textId="77777777" w:rsidR="00DB5E8B" w:rsidRPr="00DD47DF" w:rsidRDefault="00DB5E8B" w:rsidP="00D40246">
            <w:pPr>
              <w:pStyle w:val="Tabulka"/>
              <w:rPr>
                <w:rFonts w:cs="Calibri"/>
              </w:rPr>
            </w:pPr>
            <w:r w:rsidRPr="00DD47DF">
              <w:rPr>
                <w:rFonts w:cs="Calibri"/>
              </w:rPr>
              <w:t>EFRR</w:t>
            </w:r>
          </w:p>
        </w:tc>
        <w:tc>
          <w:tcPr>
            <w:tcW w:w="1445" w:type="dxa"/>
            <w:vAlign w:val="center"/>
          </w:tcPr>
          <w:p w14:paraId="38BC050E" w14:textId="77777777" w:rsidR="00DB5E8B" w:rsidRPr="00DD47DF" w:rsidRDefault="00537B82" w:rsidP="00D40246">
            <w:pPr>
              <w:pStyle w:val="Tabulka"/>
              <w:rPr>
                <w:rFonts w:cs="Calibri"/>
              </w:rPr>
            </w:pPr>
            <w:r w:rsidRPr="00DD47DF">
              <w:rPr>
                <w:rFonts w:cs="Calibri"/>
              </w:rPr>
              <w:t>142 861 673</w:t>
            </w:r>
          </w:p>
        </w:tc>
        <w:tc>
          <w:tcPr>
            <w:tcW w:w="1330" w:type="dxa"/>
            <w:vAlign w:val="center"/>
          </w:tcPr>
          <w:p w14:paraId="201ACB6C" w14:textId="77777777" w:rsidR="00DB5E8B" w:rsidRPr="00DD47DF" w:rsidRDefault="00DB5E8B" w:rsidP="00847395">
            <w:pPr>
              <w:pStyle w:val="Tabulka"/>
              <w:rPr>
                <w:rFonts w:cs="Calibri"/>
              </w:rPr>
            </w:pPr>
            <w:r w:rsidRPr="00DD47DF">
              <w:rPr>
                <w:rFonts w:cs="Calibri"/>
              </w:rPr>
              <w:t>3,</w:t>
            </w:r>
            <w:r w:rsidR="008E5470" w:rsidRPr="00DD47DF">
              <w:rPr>
                <w:rFonts w:cs="Calibri"/>
              </w:rPr>
              <w:t>30</w:t>
            </w:r>
            <w:r w:rsidRPr="00DD47DF">
              <w:rPr>
                <w:rFonts w:cs="Calibri"/>
              </w:rPr>
              <w:t xml:space="preserve"> %</w:t>
            </w:r>
          </w:p>
        </w:tc>
        <w:tc>
          <w:tcPr>
            <w:tcW w:w="1619" w:type="dxa"/>
            <w:vMerge/>
            <w:vAlign w:val="center"/>
          </w:tcPr>
          <w:p w14:paraId="3EFA9FD6" w14:textId="77777777" w:rsidR="00DB5E8B" w:rsidRPr="00DD47DF" w:rsidRDefault="00DB5E8B" w:rsidP="00D40246">
            <w:pPr>
              <w:pStyle w:val="Tabulka"/>
              <w:rPr>
                <w:rFonts w:cs="Calibri"/>
              </w:rPr>
            </w:pPr>
          </w:p>
        </w:tc>
        <w:tc>
          <w:tcPr>
            <w:tcW w:w="3119" w:type="dxa"/>
            <w:shd w:val="clear" w:color="auto" w:fill="auto"/>
            <w:vAlign w:val="center"/>
          </w:tcPr>
          <w:p w14:paraId="2FD2B806" w14:textId="77777777" w:rsidR="00DB5E8B" w:rsidRPr="00DD47DF" w:rsidRDefault="00B54D2B" w:rsidP="00BE6D25">
            <w:pPr>
              <w:pStyle w:val="Tabulka"/>
              <w:widowControl w:val="0"/>
              <w:rPr>
                <w:rFonts w:cs="Calibri"/>
              </w:rPr>
            </w:pPr>
            <w:r w:rsidRPr="00DD47DF">
              <w:rPr>
                <w:rFonts w:cs="Calibri"/>
              </w:rPr>
              <w:t xml:space="preserve">4 g) </w:t>
            </w:r>
            <w:r w:rsidR="00DB5E8B" w:rsidRPr="00DD47DF">
              <w:rPr>
                <w:rFonts w:cs="Calibri"/>
              </w:rPr>
              <w:t>Podpora využívání vysoce účinné kombinované výroby tepla a elektřiny na základě poptávky po užitečném teple</w:t>
            </w:r>
          </w:p>
        </w:tc>
        <w:tc>
          <w:tcPr>
            <w:tcW w:w="2254" w:type="dxa"/>
            <w:shd w:val="clear" w:color="auto" w:fill="auto"/>
            <w:vAlign w:val="center"/>
          </w:tcPr>
          <w:p w14:paraId="41EA8B82" w14:textId="77777777" w:rsidR="00DB5E8B" w:rsidRPr="00DD47DF" w:rsidRDefault="00DB5E8B" w:rsidP="00771951">
            <w:pPr>
              <w:pStyle w:val="Tabulka"/>
              <w:rPr>
                <w:rFonts w:cs="Calibri"/>
              </w:rPr>
            </w:pPr>
            <w:r w:rsidRPr="00DD47DF">
              <w:rPr>
                <w:rFonts w:cs="Calibri"/>
              </w:rPr>
              <w:t xml:space="preserve">3.5 – </w:t>
            </w:r>
            <w:r w:rsidR="00047773" w:rsidRPr="00DD47DF">
              <w:rPr>
                <w:rFonts w:cs="Calibri"/>
              </w:rPr>
              <w:t>Zvýšit účinnost soustav zásobování teplem</w:t>
            </w:r>
          </w:p>
        </w:tc>
        <w:tc>
          <w:tcPr>
            <w:tcW w:w="1882" w:type="dxa"/>
            <w:vAlign w:val="center"/>
          </w:tcPr>
          <w:p w14:paraId="5DF6BF16" w14:textId="1B2000A5" w:rsidR="00DB5E8B" w:rsidRPr="00DD47DF" w:rsidRDefault="001A6CC0" w:rsidP="00BA1E1C">
            <w:pPr>
              <w:pStyle w:val="Tabulka"/>
              <w:rPr>
                <w:rFonts w:cs="Calibri"/>
              </w:rPr>
            </w:pPr>
            <w:r w:rsidRPr="001A6CC0">
              <w:rPr>
                <w:rFonts w:cs="Calibri"/>
              </w:rPr>
              <w:t>Vsázka paliva do tepláren (KVET) a výtopen SZT</w:t>
            </w:r>
          </w:p>
        </w:tc>
      </w:tr>
      <w:tr w:rsidR="00DB5E8B" w:rsidRPr="00DD47DF" w14:paraId="19C7BBE4" w14:textId="77777777">
        <w:trPr>
          <w:jc w:val="center"/>
        </w:trPr>
        <w:tc>
          <w:tcPr>
            <w:tcW w:w="1900" w:type="dxa"/>
            <w:vMerge/>
            <w:shd w:val="clear" w:color="auto" w:fill="DBE5F1"/>
            <w:vAlign w:val="center"/>
          </w:tcPr>
          <w:p w14:paraId="47DCC9D6" w14:textId="77777777" w:rsidR="00DB5E8B" w:rsidRPr="00DD47DF" w:rsidRDefault="00DB5E8B" w:rsidP="000E0E9B">
            <w:pPr>
              <w:pStyle w:val="Tabulka"/>
              <w:rPr>
                <w:rFonts w:cs="Calibri"/>
              </w:rPr>
            </w:pPr>
          </w:p>
        </w:tc>
        <w:tc>
          <w:tcPr>
            <w:tcW w:w="709" w:type="dxa"/>
            <w:vAlign w:val="center"/>
          </w:tcPr>
          <w:p w14:paraId="7C37EF27" w14:textId="77777777" w:rsidR="00DB5E8B" w:rsidRPr="00DD47DF" w:rsidRDefault="00DB5E8B" w:rsidP="00D40246">
            <w:pPr>
              <w:pStyle w:val="Tabulka"/>
              <w:rPr>
                <w:rFonts w:cs="Calibri"/>
              </w:rPr>
            </w:pPr>
            <w:r w:rsidRPr="00DD47DF">
              <w:rPr>
                <w:rFonts w:cs="Calibri"/>
              </w:rPr>
              <w:t>EFRR</w:t>
            </w:r>
          </w:p>
        </w:tc>
        <w:tc>
          <w:tcPr>
            <w:tcW w:w="1445" w:type="dxa"/>
            <w:vAlign w:val="center"/>
          </w:tcPr>
          <w:p w14:paraId="08DEB843" w14:textId="44A18811" w:rsidR="00DB5E8B" w:rsidRPr="00DD47DF" w:rsidRDefault="007B16C7" w:rsidP="00D40246">
            <w:pPr>
              <w:pStyle w:val="Tabulka"/>
              <w:rPr>
                <w:rFonts w:cs="Calibri"/>
              </w:rPr>
            </w:pPr>
            <w:r w:rsidRPr="00700E39">
              <w:rPr>
                <w:rFonts w:cs="Calibri"/>
              </w:rPr>
              <w:t>158 533 699</w:t>
            </w:r>
          </w:p>
        </w:tc>
        <w:tc>
          <w:tcPr>
            <w:tcW w:w="1330" w:type="dxa"/>
            <w:vAlign w:val="center"/>
          </w:tcPr>
          <w:p w14:paraId="634F9703" w14:textId="55333F0E" w:rsidR="00DB5E8B" w:rsidRPr="00DD47DF" w:rsidRDefault="007B16C7" w:rsidP="008E5470">
            <w:pPr>
              <w:pStyle w:val="Tabulka"/>
              <w:rPr>
                <w:rFonts w:cs="Calibri"/>
              </w:rPr>
            </w:pPr>
            <w:r w:rsidRPr="00700E39">
              <w:rPr>
                <w:rFonts w:cs="Calibri"/>
              </w:rPr>
              <w:t>3,66</w:t>
            </w:r>
            <w:r w:rsidR="002E0DC8" w:rsidRPr="00DD47DF">
              <w:rPr>
                <w:rFonts w:cs="Calibri"/>
              </w:rPr>
              <w:t xml:space="preserve"> %</w:t>
            </w:r>
          </w:p>
        </w:tc>
        <w:tc>
          <w:tcPr>
            <w:tcW w:w="1619" w:type="dxa"/>
            <w:vAlign w:val="center"/>
          </w:tcPr>
          <w:p w14:paraId="7F614286" w14:textId="77777777" w:rsidR="00DB5E8B" w:rsidRPr="00DD47DF" w:rsidRDefault="00DB5E8B" w:rsidP="00D40246">
            <w:pPr>
              <w:pStyle w:val="Tabulka"/>
              <w:rPr>
                <w:rFonts w:cs="Calibri"/>
              </w:rPr>
            </w:pPr>
            <w:r w:rsidRPr="00DD47DF">
              <w:rPr>
                <w:rFonts w:cs="Calibri"/>
              </w:rPr>
              <w:t>7</w:t>
            </w:r>
            <w:r w:rsidR="00CC5E04" w:rsidRPr="00DD47DF">
              <w:rPr>
                <w:rFonts w:cs="Calibri"/>
              </w:rPr>
              <w:t>)</w:t>
            </w:r>
            <w:r w:rsidRPr="00DD47DF">
              <w:rPr>
                <w:rFonts w:cs="Calibri"/>
              </w:rPr>
              <w:t xml:space="preserve"> Podpora udržitelné dopravy a odstraňování překážek v klíčových síťových infrastrukturách</w:t>
            </w:r>
          </w:p>
        </w:tc>
        <w:tc>
          <w:tcPr>
            <w:tcW w:w="3119" w:type="dxa"/>
            <w:shd w:val="clear" w:color="auto" w:fill="auto"/>
            <w:vAlign w:val="center"/>
          </w:tcPr>
          <w:p w14:paraId="51421939" w14:textId="77777777" w:rsidR="00DB5E8B" w:rsidRPr="00DD47DF" w:rsidRDefault="00B54D2B" w:rsidP="00BE6D25">
            <w:pPr>
              <w:pStyle w:val="Tabulka"/>
              <w:widowControl w:val="0"/>
              <w:rPr>
                <w:rFonts w:cs="Calibri"/>
              </w:rPr>
            </w:pPr>
            <w:r w:rsidRPr="00DD47DF">
              <w:rPr>
                <w:rFonts w:cs="Calibri"/>
              </w:rPr>
              <w:t xml:space="preserve">7 e) </w:t>
            </w:r>
            <w:r w:rsidR="00DB5E8B" w:rsidRPr="00DD47DF">
              <w:rPr>
                <w:rFonts w:cs="Calibri"/>
              </w:rPr>
              <w:t>Zvyšování energetické účinnosti a zabezpečení dodávek prostřednictvím rozvoje inteligentních systémů pro distribuci, skladování a přenos energie a prostřednictvím integrace distribuované výroby z obnovitelných zdrojů</w:t>
            </w:r>
          </w:p>
        </w:tc>
        <w:tc>
          <w:tcPr>
            <w:tcW w:w="2254" w:type="dxa"/>
            <w:shd w:val="clear" w:color="auto" w:fill="auto"/>
            <w:vAlign w:val="center"/>
          </w:tcPr>
          <w:p w14:paraId="6FCE7400" w14:textId="77777777" w:rsidR="00DB5E8B" w:rsidRPr="00DD47DF" w:rsidRDefault="00DB5E8B" w:rsidP="00771951">
            <w:pPr>
              <w:pStyle w:val="Tabulka"/>
              <w:rPr>
                <w:rFonts w:cs="Calibri"/>
              </w:rPr>
            </w:pPr>
            <w:r w:rsidRPr="00DD47DF">
              <w:rPr>
                <w:rFonts w:cs="Calibri"/>
              </w:rPr>
              <w:t xml:space="preserve">3.6 - </w:t>
            </w:r>
            <w:r w:rsidR="00951C8A" w:rsidRPr="00DD47DF">
              <w:rPr>
                <w:rFonts w:cs="Calibri"/>
              </w:rPr>
              <w:t>Posílit energetickou bezpečnost přenosové soustavy</w:t>
            </w:r>
          </w:p>
        </w:tc>
        <w:tc>
          <w:tcPr>
            <w:tcW w:w="1882" w:type="dxa"/>
            <w:vAlign w:val="center"/>
          </w:tcPr>
          <w:p w14:paraId="5E450B1A" w14:textId="77777777" w:rsidR="00DB5E8B" w:rsidRPr="00DD47DF" w:rsidRDefault="008E48D1" w:rsidP="00BA1E1C">
            <w:pPr>
              <w:pStyle w:val="Tabulka"/>
              <w:rPr>
                <w:rFonts w:cs="Calibri"/>
              </w:rPr>
            </w:pPr>
            <w:r w:rsidRPr="00DD47DF">
              <w:rPr>
                <w:rFonts w:cs="Calibri"/>
              </w:rPr>
              <w:t>Transformační výkon PS/DS</w:t>
            </w:r>
          </w:p>
        </w:tc>
      </w:tr>
      <w:tr w:rsidR="00BE6D25" w:rsidRPr="00DD47DF" w14:paraId="0DA3A784" w14:textId="77777777">
        <w:trPr>
          <w:jc w:val="center"/>
        </w:trPr>
        <w:tc>
          <w:tcPr>
            <w:tcW w:w="1900" w:type="dxa"/>
            <w:vMerge w:val="restart"/>
            <w:shd w:val="clear" w:color="auto" w:fill="DBE5F1"/>
            <w:vAlign w:val="center"/>
          </w:tcPr>
          <w:p w14:paraId="1E7FCC55" w14:textId="77777777" w:rsidR="00BE6D25" w:rsidRPr="00DD47DF" w:rsidRDefault="00BE6D25" w:rsidP="009670FD">
            <w:pPr>
              <w:pStyle w:val="Tabulka"/>
              <w:jc w:val="left"/>
              <w:rPr>
                <w:rFonts w:cs="Calibri"/>
              </w:rPr>
            </w:pPr>
            <w:r w:rsidRPr="00DD47DF">
              <w:rPr>
                <w:rFonts w:cs="Calibri"/>
              </w:rPr>
              <w:t>PO 4: Rozvoj vysokorychlostních přístupových sítí k internetu a informačních a komunikačních technologií</w:t>
            </w:r>
          </w:p>
        </w:tc>
        <w:tc>
          <w:tcPr>
            <w:tcW w:w="709" w:type="dxa"/>
            <w:vAlign w:val="center"/>
          </w:tcPr>
          <w:p w14:paraId="27CE9CB1" w14:textId="77777777" w:rsidR="00BE6D25" w:rsidRPr="00DD47DF" w:rsidRDefault="00BE6D25" w:rsidP="00D40246">
            <w:pPr>
              <w:pStyle w:val="Tabulka"/>
              <w:rPr>
                <w:rFonts w:cs="Calibri"/>
              </w:rPr>
            </w:pPr>
            <w:r w:rsidRPr="00DD47DF">
              <w:rPr>
                <w:rFonts w:cs="Calibri"/>
              </w:rPr>
              <w:t>EFRR</w:t>
            </w:r>
          </w:p>
        </w:tc>
        <w:tc>
          <w:tcPr>
            <w:tcW w:w="1445" w:type="dxa"/>
            <w:vAlign w:val="center"/>
          </w:tcPr>
          <w:p w14:paraId="3C5DF48A" w14:textId="77777777" w:rsidR="00BE6D25" w:rsidRPr="00DD47DF" w:rsidRDefault="00537B82" w:rsidP="00D40246">
            <w:pPr>
              <w:pStyle w:val="Tabulka"/>
              <w:rPr>
                <w:rFonts w:cs="Calibri"/>
              </w:rPr>
            </w:pPr>
            <w:r w:rsidRPr="00DD47DF">
              <w:rPr>
                <w:rFonts w:cs="Calibri"/>
              </w:rPr>
              <w:t>521 380 364</w:t>
            </w:r>
          </w:p>
        </w:tc>
        <w:tc>
          <w:tcPr>
            <w:tcW w:w="1330" w:type="dxa"/>
            <w:vAlign w:val="center"/>
          </w:tcPr>
          <w:p w14:paraId="7B7B1B7C" w14:textId="77777777" w:rsidR="00BE6D25" w:rsidRPr="00DD47DF" w:rsidRDefault="00F70A96" w:rsidP="008E5470">
            <w:pPr>
              <w:pStyle w:val="Tabulka"/>
              <w:rPr>
                <w:rFonts w:cs="Calibri"/>
              </w:rPr>
            </w:pPr>
            <w:r w:rsidRPr="00DD47DF">
              <w:rPr>
                <w:rFonts w:cs="Calibri"/>
              </w:rPr>
              <w:t>1</w:t>
            </w:r>
            <w:r w:rsidR="00537D8D" w:rsidRPr="00DD47DF">
              <w:rPr>
                <w:rFonts w:cs="Calibri"/>
              </w:rPr>
              <w:t>2,</w:t>
            </w:r>
            <w:r w:rsidR="00847395" w:rsidRPr="00DD47DF">
              <w:rPr>
                <w:rFonts w:cs="Calibri"/>
              </w:rPr>
              <w:t>0</w:t>
            </w:r>
            <w:r w:rsidR="008E5470" w:rsidRPr="00DD47DF">
              <w:rPr>
                <w:rFonts w:cs="Calibri"/>
              </w:rPr>
              <w:t>4</w:t>
            </w:r>
            <w:r w:rsidR="00A74A51" w:rsidRPr="00DD47DF">
              <w:rPr>
                <w:rFonts w:cs="Calibri"/>
              </w:rPr>
              <w:t xml:space="preserve"> %</w:t>
            </w:r>
          </w:p>
        </w:tc>
        <w:tc>
          <w:tcPr>
            <w:tcW w:w="1619" w:type="dxa"/>
            <w:vMerge w:val="restart"/>
            <w:vAlign w:val="center"/>
          </w:tcPr>
          <w:p w14:paraId="3CDA5D95" w14:textId="77777777" w:rsidR="00BE6D25" w:rsidRPr="00DD47DF" w:rsidRDefault="00BE6D25" w:rsidP="00D40246">
            <w:pPr>
              <w:pStyle w:val="Tabulka"/>
              <w:rPr>
                <w:rFonts w:cs="Calibri"/>
              </w:rPr>
            </w:pPr>
            <w:r w:rsidRPr="00DD47DF">
              <w:rPr>
                <w:rFonts w:cs="Calibri"/>
              </w:rPr>
              <w:t>2</w:t>
            </w:r>
            <w:r w:rsidR="00CC5E04" w:rsidRPr="00DD47DF">
              <w:rPr>
                <w:rFonts w:cs="Calibri"/>
              </w:rPr>
              <w:t>)</w:t>
            </w:r>
            <w:r w:rsidRPr="00DD47DF">
              <w:rPr>
                <w:rFonts w:cs="Calibri"/>
              </w:rPr>
              <w:t xml:space="preserve"> </w:t>
            </w:r>
            <w:r w:rsidR="001B1FD9" w:rsidRPr="00DD47DF">
              <w:rPr>
                <w:rFonts w:cs="Calibri"/>
              </w:rPr>
              <w:t>Zlepšení přístupu, využití a kvality informačních a komunikačních technologií</w:t>
            </w:r>
          </w:p>
        </w:tc>
        <w:tc>
          <w:tcPr>
            <w:tcW w:w="3119" w:type="dxa"/>
            <w:shd w:val="clear" w:color="auto" w:fill="auto"/>
            <w:vAlign w:val="center"/>
          </w:tcPr>
          <w:p w14:paraId="2044E895" w14:textId="77777777" w:rsidR="00BE6D25" w:rsidRPr="00DD47DF" w:rsidRDefault="00B54D2B" w:rsidP="00BE6D25">
            <w:pPr>
              <w:pStyle w:val="Tabulka"/>
              <w:widowControl w:val="0"/>
              <w:rPr>
                <w:rFonts w:cs="Calibri"/>
              </w:rPr>
            </w:pPr>
            <w:r w:rsidRPr="00DD47DF">
              <w:rPr>
                <w:rFonts w:cs="Calibri"/>
              </w:rPr>
              <w:t xml:space="preserve">2 a) </w:t>
            </w:r>
            <w:r w:rsidR="00BE6D25" w:rsidRPr="00DD47DF">
              <w:rPr>
                <w:rFonts w:cs="Calibri"/>
              </w:rPr>
              <w:t>Rozšiřování širokopásmového připojení a zavádění vysokorychlostních sítí a podpora zavádění vznikajících technologií a sítí pro digitální hospodářství</w:t>
            </w:r>
          </w:p>
        </w:tc>
        <w:tc>
          <w:tcPr>
            <w:tcW w:w="2254" w:type="dxa"/>
            <w:shd w:val="clear" w:color="auto" w:fill="auto"/>
            <w:vAlign w:val="center"/>
          </w:tcPr>
          <w:p w14:paraId="0E9B7299" w14:textId="77777777" w:rsidR="00BE6D25" w:rsidRPr="00DD47DF" w:rsidRDefault="00BE6D25" w:rsidP="000E0E9B">
            <w:pPr>
              <w:pStyle w:val="Tabulka"/>
              <w:rPr>
                <w:rFonts w:cs="Calibri"/>
              </w:rPr>
            </w:pPr>
            <w:r w:rsidRPr="00DD47DF">
              <w:rPr>
                <w:rFonts w:cs="Calibri"/>
              </w:rPr>
              <w:t>4.1 - Zvětšit pokrytí vysokorychlostním přístupem k internetu</w:t>
            </w:r>
          </w:p>
        </w:tc>
        <w:tc>
          <w:tcPr>
            <w:tcW w:w="1882" w:type="dxa"/>
            <w:vAlign w:val="center"/>
          </w:tcPr>
          <w:p w14:paraId="7C882295" w14:textId="77777777" w:rsidR="00BE6D25" w:rsidRPr="00DD47DF" w:rsidRDefault="006C33E6" w:rsidP="00BA1E1C">
            <w:pPr>
              <w:pStyle w:val="Tabulka"/>
              <w:rPr>
                <w:rFonts w:cs="Calibri"/>
              </w:rPr>
            </w:pPr>
            <w:r w:rsidRPr="002921B0">
              <w:rPr>
                <w:rFonts w:cs="Calibri"/>
              </w:rPr>
              <w:t>Míra pokrytí sítí nové generace (NGA)</w:t>
            </w:r>
          </w:p>
        </w:tc>
      </w:tr>
      <w:tr w:rsidR="00BE6D25" w:rsidRPr="00DD47DF" w14:paraId="71D23CEA" w14:textId="77777777">
        <w:trPr>
          <w:jc w:val="center"/>
        </w:trPr>
        <w:tc>
          <w:tcPr>
            <w:tcW w:w="1900" w:type="dxa"/>
            <w:vMerge/>
            <w:shd w:val="clear" w:color="auto" w:fill="DBE5F1"/>
            <w:vAlign w:val="center"/>
          </w:tcPr>
          <w:p w14:paraId="5A5E3051" w14:textId="77777777" w:rsidR="00BE6D25" w:rsidRPr="00DD47DF" w:rsidRDefault="00BE6D25" w:rsidP="000E0E9B">
            <w:pPr>
              <w:pStyle w:val="Tabulka"/>
              <w:rPr>
                <w:rFonts w:cs="Calibri"/>
              </w:rPr>
            </w:pPr>
          </w:p>
        </w:tc>
        <w:tc>
          <w:tcPr>
            <w:tcW w:w="709" w:type="dxa"/>
            <w:vAlign w:val="center"/>
          </w:tcPr>
          <w:p w14:paraId="6A708A8F" w14:textId="77777777" w:rsidR="00BD619A" w:rsidRPr="00DD47DF" w:rsidRDefault="00BE6D25" w:rsidP="00BD619A">
            <w:pPr>
              <w:pStyle w:val="Tabulka"/>
              <w:rPr>
                <w:rFonts w:cs="Calibri"/>
              </w:rPr>
            </w:pPr>
            <w:r w:rsidRPr="00DD47DF">
              <w:rPr>
                <w:rFonts w:cs="Calibri"/>
              </w:rPr>
              <w:t>EFRR</w:t>
            </w:r>
          </w:p>
        </w:tc>
        <w:tc>
          <w:tcPr>
            <w:tcW w:w="1445" w:type="dxa"/>
            <w:vAlign w:val="center"/>
          </w:tcPr>
          <w:p w14:paraId="7A8088CE" w14:textId="77777777" w:rsidR="00BE6D25" w:rsidRPr="00DD47DF" w:rsidRDefault="00537B82" w:rsidP="00D40246">
            <w:pPr>
              <w:pStyle w:val="Tabulka"/>
              <w:rPr>
                <w:rFonts w:cs="Calibri"/>
              </w:rPr>
            </w:pPr>
            <w:r w:rsidRPr="00DD47DF">
              <w:rPr>
                <w:rFonts w:cs="Calibri"/>
              </w:rPr>
              <w:t>222 277 225</w:t>
            </w:r>
          </w:p>
        </w:tc>
        <w:tc>
          <w:tcPr>
            <w:tcW w:w="1330" w:type="dxa"/>
            <w:vAlign w:val="center"/>
          </w:tcPr>
          <w:p w14:paraId="300D4684" w14:textId="77777777" w:rsidR="00BE6D25" w:rsidRPr="00DD47DF" w:rsidRDefault="008E5470" w:rsidP="00D40246">
            <w:pPr>
              <w:pStyle w:val="Tabulka"/>
              <w:rPr>
                <w:rFonts w:cs="Calibri"/>
              </w:rPr>
            </w:pPr>
            <w:r w:rsidRPr="00DD47DF">
              <w:rPr>
                <w:rFonts w:cs="Calibri"/>
              </w:rPr>
              <w:t>5,13</w:t>
            </w:r>
            <w:r w:rsidR="00A74A51" w:rsidRPr="00DD47DF">
              <w:rPr>
                <w:rFonts w:cs="Calibri"/>
              </w:rPr>
              <w:t xml:space="preserve"> %</w:t>
            </w:r>
          </w:p>
        </w:tc>
        <w:tc>
          <w:tcPr>
            <w:tcW w:w="1619" w:type="dxa"/>
            <w:vMerge/>
            <w:vAlign w:val="center"/>
          </w:tcPr>
          <w:p w14:paraId="0856FD37" w14:textId="77777777" w:rsidR="00BE6D25" w:rsidRPr="00DD47DF" w:rsidRDefault="00BE6D25" w:rsidP="00D40246">
            <w:pPr>
              <w:pStyle w:val="Tabulka"/>
              <w:rPr>
                <w:rFonts w:cs="Calibri"/>
              </w:rPr>
            </w:pPr>
          </w:p>
        </w:tc>
        <w:tc>
          <w:tcPr>
            <w:tcW w:w="3119" w:type="dxa"/>
            <w:shd w:val="clear" w:color="auto" w:fill="auto"/>
            <w:vAlign w:val="center"/>
          </w:tcPr>
          <w:p w14:paraId="0C3CD07F" w14:textId="77777777" w:rsidR="00BE6D25" w:rsidRPr="00DD47DF" w:rsidRDefault="00B54D2B" w:rsidP="00BE6D25">
            <w:pPr>
              <w:pStyle w:val="Tabulka"/>
              <w:widowControl w:val="0"/>
              <w:rPr>
                <w:rFonts w:cs="Calibri"/>
              </w:rPr>
            </w:pPr>
            <w:r w:rsidRPr="00DD47DF">
              <w:rPr>
                <w:rFonts w:cs="Calibri"/>
              </w:rPr>
              <w:t xml:space="preserve">2 b) </w:t>
            </w:r>
            <w:r w:rsidR="007A45F6" w:rsidRPr="00DD47DF">
              <w:rPr>
                <w:rFonts w:cs="Calibri"/>
              </w:rPr>
              <w:t>Vyvíjení produktů a služeb v oblasti IKT, elektronický obchod a zvyšování poptávky po IKT</w:t>
            </w:r>
          </w:p>
        </w:tc>
        <w:tc>
          <w:tcPr>
            <w:tcW w:w="2254" w:type="dxa"/>
            <w:shd w:val="clear" w:color="auto" w:fill="auto"/>
            <w:vAlign w:val="center"/>
          </w:tcPr>
          <w:p w14:paraId="14173D61" w14:textId="77777777" w:rsidR="00BE6D25" w:rsidRPr="00DD47DF" w:rsidRDefault="00BE6D25" w:rsidP="002F63A9">
            <w:pPr>
              <w:pStyle w:val="Tabulka"/>
              <w:rPr>
                <w:rFonts w:cs="Calibri"/>
              </w:rPr>
            </w:pPr>
            <w:r w:rsidRPr="00DD47DF">
              <w:rPr>
                <w:rFonts w:cs="Calibri"/>
              </w:rPr>
              <w:t xml:space="preserve">4.2 – </w:t>
            </w:r>
            <w:r w:rsidR="006E55DA" w:rsidRPr="00DD47DF">
              <w:rPr>
                <w:rFonts w:cs="Calibri"/>
              </w:rPr>
              <w:t xml:space="preserve">Zvýšit </w:t>
            </w:r>
            <w:r w:rsidR="002F63A9" w:rsidRPr="00DD47DF">
              <w:rPr>
                <w:rFonts w:cs="Calibri"/>
              </w:rPr>
              <w:t>využití potenciálu ICT sektoru pro konkurenceschopnost ekonomiky</w:t>
            </w:r>
          </w:p>
        </w:tc>
        <w:tc>
          <w:tcPr>
            <w:tcW w:w="1882" w:type="dxa"/>
            <w:vAlign w:val="center"/>
          </w:tcPr>
          <w:p w14:paraId="5A9A7047" w14:textId="77777777" w:rsidR="005E0458" w:rsidRPr="00DD47DF" w:rsidRDefault="008E48D1" w:rsidP="00BA1E1C">
            <w:pPr>
              <w:pStyle w:val="Tabulka"/>
              <w:rPr>
                <w:rFonts w:cs="Calibri"/>
              </w:rPr>
            </w:pPr>
            <w:r w:rsidRPr="00DD47DF">
              <w:rPr>
                <w:rFonts w:cs="Calibri"/>
              </w:rPr>
              <w:t>Přidaná hodnota IT služeb jako podíl na HDP</w:t>
            </w:r>
          </w:p>
        </w:tc>
      </w:tr>
      <w:tr w:rsidR="00BD619A" w:rsidRPr="00DD47DF" w14:paraId="67B50061" w14:textId="77777777">
        <w:trPr>
          <w:jc w:val="center"/>
        </w:trPr>
        <w:tc>
          <w:tcPr>
            <w:tcW w:w="1900" w:type="dxa"/>
            <w:vMerge w:val="restart"/>
            <w:shd w:val="clear" w:color="auto" w:fill="DBE5F1"/>
            <w:vAlign w:val="center"/>
          </w:tcPr>
          <w:p w14:paraId="2977D725" w14:textId="77777777" w:rsidR="00BD619A" w:rsidRPr="00DD47DF" w:rsidRDefault="00BD619A" w:rsidP="009670FD">
            <w:pPr>
              <w:pStyle w:val="Tabulka"/>
              <w:jc w:val="left"/>
              <w:rPr>
                <w:rFonts w:cs="Calibri"/>
              </w:rPr>
            </w:pPr>
            <w:r w:rsidRPr="00DD47DF">
              <w:rPr>
                <w:rFonts w:cs="Calibri"/>
              </w:rPr>
              <w:t>P0 5: Technická pomoc</w:t>
            </w:r>
          </w:p>
          <w:p w14:paraId="75855CE9" w14:textId="77777777" w:rsidR="00BD619A" w:rsidRPr="00DD47DF" w:rsidRDefault="00BD619A" w:rsidP="000E0E9B">
            <w:pPr>
              <w:pStyle w:val="Tabulka"/>
              <w:rPr>
                <w:rFonts w:cs="Calibri"/>
              </w:rPr>
            </w:pPr>
          </w:p>
        </w:tc>
        <w:tc>
          <w:tcPr>
            <w:tcW w:w="709" w:type="dxa"/>
            <w:vMerge w:val="restart"/>
            <w:vAlign w:val="center"/>
          </w:tcPr>
          <w:p w14:paraId="184A58DF" w14:textId="77777777" w:rsidR="00BD619A" w:rsidRPr="00DD47DF" w:rsidRDefault="00BD619A" w:rsidP="00D40246">
            <w:pPr>
              <w:pStyle w:val="Tabulka"/>
              <w:rPr>
                <w:rFonts w:cs="Calibri"/>
              </w:rPr>
            </w:pPr>
            <w:r w:rsidRPr="00DD47DF">
              <w:rPr>
                <w:rFonts w:cs="Calibri"/>
              </w:rPr>
              <w:t>EFRR</w:t>
            </w:r>
          </w:p>
        </w:tc>
        <w:tc>
          <w:tcPr>
            <w:tcW w:w="1445" w:type="dxa"/>
            <w:vMerge w:val="restart"/>
            <w:vAlign w:val="center"/>
          </w:tcPr>
          <w:p w14:paraId="77403129" w14:textId="77777777" w:rsidR="00BD619A" w:rsidRPr="00DD47DF" w:rsidRDefault="00537B82" w:rsidP="008E5470">
            <w:pPr>
              <w:pStyle w:val="Tabulka"/>
              <w:rPr>
                <w:rFonts w:cs="Calibri"/>
              </w:rPr>
            </w:pPr>
            <w:r w:rsidRPr="00DD47DF">
              <w:rPr>
                <w:rFonts w:cs="Calibri"/>
              </w:rPr>
              <w:t xml:space="preserve">125 </w:t>
            </w:r>
            <w:r w:rsidR="008E5470" w:rsidRPr="00DD47DF">
              <w:rPr>
                <w:rFonts w:cs="Calibri"/>
              </w:rPr>
              <w:t>600</w:t>
            </w:r>
            <w:r w:rsidRPr="00DD47DF">
              <w:rPr>
                <w:rFonts w:cs="Calibri"/>
              </w:rPr>
              <w:t xml:space="preserve"> 816</w:t>
            </w:r>
          </w:p>
        </w:tc>
        <w:tc>
          <w:tcPr>
            <w:tcW w:w="1330" w:type="dxa"/>
            <w:vMerge w:val="restart"/>
            <w:vAlign w:val="center"/>
          </w:tcPr>
          <w:p w14:paraId="74AADD0A" w14:textId="77777777" w:rsidR="00BD619A" w:rsidRPr="00DD47DF" w:rsidRDefault="00847395" w:rsidP="00D40246">
            <w:pPr>
              <w:pStyle w:val="Tabulka"/>
              <w:rPr>
                <w:rFonts w:cs="Calibri"/>
              </w:rPr>
            </w:pPr>
            <w:r w:rsidRPr="00DD47DF">
              <w:rPr>
                <w:rFonts w:cs="Calibri"/>
              </w:rPr>
              <w:t>2,90</w:t>
            </w:r>
            <w:r w:rsidR="00A74A51" w:rsidRPr="00DD47DF">
              <w:rPr>
                <w:rFonts w:cs="Calibri"/>
              </w:rPr>
              <w:t xml:space="preserve"> %</w:t>
            </w:r>
          </w:p>
        </w:tc>
        <w:tc>
          <w:tcPr>
            <w:tcW w:w="1619" w:type="dxa"/>
            <w:vMerge w:val="restart"/>
            <w:vAlign w:val="center"/>
          </w:tcPr>
          <w:p w14:paraId="59EEBF3E" w14:textId="77777777" w:rsidR="00BD619A" w:rsidRPr="00DD47DF" w:rsidRDefault="00BD619A" w:rsidP="00D40246">
            <w:pPr>
              <w:pStyle w:val="Tabulka"/>
              <w:rPr>
                <w:rFonts w:cs="Calibri"/>
              </w:rPr>
            </w:pPr>
          </w:p>
        </w:tc>
        <w:tc>
          <w:tcPr>
            <w:tcW w:w="3119" w:type="dxa"/>
            <w:vMerge w:val="restart"/>
            <w:shd w:val="clear" w:color="auto" w:fill="auto"/>
            <w:vAlign w:val="center"/>
          </w:tcPr>
          <w:p w14:paraId="372B9C0B" w14:textId="77777777" w:rsidR="00BD619A" w:rsidRPr="00DD47DF" w:rsidRDefault="00BD619A" w:rsidP="000E0E9B">
            <w:pPr>
              <w:pStyle w:val="Tabulka"/>
              <w:rPr>
                <w:rFonts w:cs="Calibri"/>
              </w:rPr>
            </w:pPr>
          </w:p>
        </w:tc>
        <w:tc>
          <w:tcPr>
            <w:tcW w:w="2254" w:type="dxa"/>
            <w:shd w:val="clear" w:color="auto" w:fill="auto"/>
            <w:vAlign w:val="center"/>
          </w:tcPr>
          <w:p w14:paraId="1F0E28C4" w14:textId="77777777" w:rsidR="00BD619A" w:rsidRPr="00DD47DF" w:rsidRDefault="00BD619A" w:rsidP="00896EDF">
            <w:pPr>
              <w:pStyle w:val="Tabulka"/>
              <w:rPr>
                <w:rFonts w:cs="Calibri"/>
              </w:rPr>
            </w:pPr>
            <w:r w:rsidRPr="00DD47DF">
              <w:rPr>
                <w:rFonts w:cs="Calibri"/>
              </w:rPr>
              <w:t xml:space="preserve">5.1 – </w:t>
            </w:r>
            <w:r w:rsidR="00835A40" w:rsidRPr="00DD47DF">
              <w:rPr>
                <w:rFonts w:cs="Calibri"/>
              </w:rPr>
              <w:t>Zajištění efektivního řízení a administrace operačního programu</w:t>
            </w:r>
          </w:p>
        </w:tc>
        <w:tc>
          <w:tcPr>
            <w:tcW w:w="1882" w:type="dxa"/>
            <w:vAlign w:val="center"/>
          </w:tcPr>
          <w:p w14:paraId="7D3EA7B7" w14:textId="77777777" w:rsidR="00BD619A" w:rsidRPr="00DD47DF" w:rsidRDefault="00835A40" w:rsidP="00BA1E1C">
            <w:pPr>
              <w:pStyle w:val="Tabulka"/>
              <w:rPr>
                <w:rFonts w:cs="Calibri"/>
              </w:rPr>
            </w:pPr>
            <w:r w:rsidRPr="00DD47DF">
              <w:rPr>
                <w:rFonts w:cs="Calibri"/>
              </w:rPr>
              <w:t>Míra stabilizace zaměstnanců implementační struktury</w:t>
            </w:r>
          </w:p>
        </w:tc>
      </w:tr>
      <w:tr w:rsidR="00BD619A" w:rsidRPr="00DD47DF" w14:paraId="62E73934" w14:textId="77777777">
        <w:trPr>
          <w:jc w:val="center"/>
        </w:trPr>
        <w:tc>
          <w:tcPr>
            <w:tcW w:w="1900" w:type="dxa"/>
            <w:vMerge/>
            <w:shd w:val="clear" w:color="auto" w:fill="DBE5F1"/>
            <w:vAlign w:val="center"/>
          </w:tcPr>
          <w:p w14:paraId="25DC6E78" w14:textId="77777777" w:rsidR="00BD619A" w:rsidRPr="00DD47DF" w:rsidRDefault="00BD619A" w:rsidP="000E0E9B">
            <w:pPr>
              <w:pStyle w:val="Tabulka"/>
              <w:rPr>
                <w:rFonts w:cs="Calibri"/>
              </w:rPr>
            </w:pPr>
          </w:p>
        </w:tc>
        <w:tc>
          <w:tcPr>
            <w:tcW w:w="709" w:type="dxa"/>
            <w:vMerge/>
            <w:vAlign w:val="center"/>
          </w:tcPr>
          <w:p w14:paraId="1486B448" w14:textId="77777777" w:rsidR="00BD619A" w:rsidRPr="00DD47DF" w:rsidRDefault="00BD619A" w:rsidP="00D40246">
            <w:pPr>
              <w:pStyle w:val="Tabulka"/>
              <w:rPr>
                <w:rFonts w:cs="Calibri"/>
              </w:rPr>
            </w:pPr>
          </w:p>
        </w:tc>
        <w:tc>
          <w:tcPr>
            <w:tcW w:w="1445" w:type="dxa"/>
            <w:vMerge/>
            <w:vAlign w:val="center"/>
          </w:tcPr>
          <w:p w14:paraId="0EBEFAF6" w14:textId="77777777" w:rsidR="00BD619A" w:rsidRPr="00DD47DF" w:rsidRDefault="00BD619A" w:rsidP="00D40246">
            <w:pPr>
              <w:pStyle w:val="Tabulka"/>
              <w:rPr>
                <w:rFonts w:cs="Calibri"/>
              </w:rPr>
            </w:pPr>
          </w:p>
        </w:tc>
        <w:tc>
          <w:tcPr>
            <w:tcW w:w="1330" w:type="dxa"/>
            <w:vMerge/>
            <w:vAlign w:val="center"/>
          </w:tcPr>
          <w:p w14:paraId="4FAE69D0" w14:textId="77777777" w:rsidR="00BD619A" w:rsidRPr="00DD47DF" w:rsidRDefault="00BD619A" w:rsidP="00D40246">
            <w:pPr>
              <w:pStyle w:val="Tabulka"/>
              <w:rPr>
                <w:rFonts w:cs="Calibri"/>
              </w:rPr>
            </w:pPr>
          </w:p>
        </w:tc>
        <w:tc>
          <w:tcPr>
            <w:tcW w:w="1619" w:type="dxa"/>
            <w:vMerge/>
            <w:vAlign w:val="center"/>
          </w:tcPr>
          <w:p w14:paraId="711E1E1C" w14:textId="77777777" w:rsidR="00BD619A" w:rsidRPr="00DD47DF" w:rsidRDefault="00BD619A" w:rsidP="00D40246">
            <w:pPr>
              <w:pStyle w:val="Tabulka"/>
              <w:rPr>
                <w:rFonts w:cs="Calibri"/>
              </w:rPr>
            </w:pPr>
          </w:p>
        </w:tc>
        <w:tc>
          <w:tcPr>
            <w:tcW w:w="3119" w:type="dxa"/>
            <w:vMerge/>
            <w:shd w:val="clear" w:color="auto" w:fill="auto"/>
            <w:vAlign w:val="center"/>
          </w:tcPr>
          <w:p w14:paraId="2B76184D" w14:textId="77777777" w:rsidR="00BD619A" w:rsidRPr="00DD47DF" w:rsidRDefault="00BD619A" w:rsidP="000E0E9B">
            <w:pPr>
              <w:pStyle w:val="Tabulka"/>
              <w:rPr>
                <w:rFonts w:cs="Calibri"/>
              </w:rPr>
            </w:pPr>
          </w:p>
        </w:tc>
        <w:tc>
          <w:tcPr>
            <w:tcW w:w="2254" w:type="dxa"/>
            <w:shd w:val="clear" w:color="auto" w:fill="auto"/>
            <w:vAlign w:val="center"/>
          </w:tcPr>
          <w:p w14:paraId="6C8F0CD3" w14:textId="77777777" w:rsidR="00BD619A" w:rsidRPr="00DD47DF" w:rsidRDefault="00BD619A" w:rsidP="00771951">
            <w:pPr>
              <w:pStyle w:val="Tabulka"/>
              <w:rPr>
                <w:rFonts w:cs="Calibri"/>
              </w:rPr>
            </w:pPr>
            <w:r w:rsidRPr="00DD47DF">
              <w:rPr>
                <w:rFonts w:cs="Calibri"/>
              </w:rPr>
              <w:t xml:space="preserve">5.2 – </w:t>
            </w:r>
            <w:r w:rsidR="00835A40" w:rsidRPr="00DD47DF">
              <w:rPr>
                <w:rFonts w:cs="Calibri"/>
              </w:rPr>
              <w:t>Zajištění informovanosti, publicity a absorpční kapacity operačního programu</w:t>
            </w:r>
          </w:p>
        </w:tc>
        <w:tc>
          <w:tcPr>
            <w:tcW w:w="1882" w:type="dxa"/>
            <w:vAlign w:val="center"/>
          </w:tcPr>
          <w:p w14:paraId="46EBE619" w14:textId="77777777" w:rsidR="00BD619A" w:rsidRPr="00DD47DF" w:rsidRDefault="00F52A3A" w:rsidP="00BA1E1C">
            <w:pPr>
              <w:pStyle w:val="Tabulka"/>
              <w:rPr>
                <w:rFonts w:cs="Calibri"/>
              </w:rPr>
            </w:pPr>
            <w:r w:rsidRPr="00DD47DF">
              <w:rPr>
                <w:rFonts w:cs="Calibri"/>
              </w:rPr>
              <w:t>Míra úspěšnosti projektových žádostí</w:t>
            </w:r>
          </w:p>
        </w:tc>
      </w:tr>
    </w:tbl>
    <w:p w14:paraId="5B8A5DD9" w14:textId="77777777" w:rsidR="00DD0FDA" w:rsidRPr="00DD47DF" w:rsidRDefault="005357FB" w:rsidP="005357FB">
      <w:pPr>
        <w:pStyle w:val="Standardntext"/>
        <w:spacing w:before="120"/>
      </w:pPr>
      <w:r w:rsidRPr="00DD47DF">
        <w:rPr>
          <w:b/>
        </w:rPr>
        <w:t>Pozn.:</w:t>
      </w:r>
      <w:r w:rsidRPr="00DD47DF">
        <w:t xml:space="preserve"> Znění tematických cílů dle čl. 9 obecného nařízení a investičních priorit dle čl. 5 nařízení </w:t>
      </w:r>
      <w:r w:rsidR="00BF360E" w:rsidRPr="00DD47DF">
        <w:t>o</w:t>
      </w:r>
      <w:r w:rsidR="0017188B" w:rsidRPr="00DD47DF">
        <w:t> </w:t>
      </w:r>
      <w:r w:rsidR="0059287E" w:rsidRPr="00DD47DF">
        <w:t>EFRR</w:t>
      </w:r>
      <w:r w:rsidR="00F15F6F" w:rsidRPr="00DD47DF">
        <w:t>.</w:t>
      </w:r>
    </w:p>
    <w:p w14:paraId="663F457E" w14:textId="77777777" w:rsidR="005357FB" w:rsidRPr="00DD47DF" w:rsidRDefault="005357FB" w:rsidP="00073A01">
      <w:pPr>
        <w:pStyle w:val="Standardntext"/>
        <w:sectPr w:rsidR="005357FB" w:rsidRPr="00DD47DF" w:rsidSect="007B1DAF">
          <w:headerReference w:type="default" r:id="rId27"/>
          <w:footerReference w:type="default" r:id="rId28"/>
          <w:pgSz w:w="16838" w:h="11906" w:orient="landscape" w:code="9"/>
          <w:pgMar w:top="1418" w:right="1418" w:bottom="1276" w:left="1276" w:header="709" w:footer="709" w:gutter="0"/>
          <w:cols w:space="708"/>
          <w:docGrid w:linePitch="272"/>
        </w:sectPr>
      </w:pPr>
    </w:p>
    <w:p w14:paraId="2459CFB0" w14:textId="77777777" w:rsidR="009E6172" w:rsidRPr="00DD47DF" w:rsidRDefault="009B2D15" w:rsidP="00F11C05">
      <w:pPr>
        <w:pStyle w:val="Nadpis1"/>
      </w:pPr>
      <w:bookmarkStart w:id="21" w:name="_Toc520445242"/>
      <w:r w:rsidRPr="00DD47DF">
        <w:lastRenderedPageBreak/>
        <w:t>Prioritní osy</w:t>
      </w:r>
      <w:bookmarkEnd w:id="21"/>
    </w:p>
    <w:p w14:paraId="24814F68" w14:textId="77777777" w:rsidR="00653654" w:rsidRPr="00DD47DF" w:rsidRDefault="009B2D15" w:rsidP="009B2D15">
      <w:pPr>
        <w:pStyle w:val="kapitola2A"/>
      </w:pPr>
      <w:bookmarkStart w:id="22" w:name="_Toc520445243"/>
      <w:r w:rsidRPr="00DD47DF">
        <w:t>Popis prioritních os jiných než technická pomoc</w:t>
      </w:r>
      <w:bookmarkEnd w:id="22"/>
    </w:p>
    <w:p w14:paraId="0FD012AA" w14:textId="77777777" w:rsidR="009B2D15" w:rsidRPr="00DD47DF" w:rsidRDefault="009B2D15" w:rsidP="005F43DF">
      <w:pPr>
        <w:pStyle w:val="kapitola2A0"/>
        <w:numPr>
          <w:ilvl w:val="2"/>
          <w:numId w:val="10"/>
        </w:numPr>
      </w:pPr>
      <w:bookmarkStart w:id="23" w:name="_Toc520445244"/>
      <w:r w:rsidRPr="00DD47DF">
        <w:t>PRIORITNÍ OSA 1: Rozvoj výzkumu a vývoje pro inovace</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gridCol w:w="498"/>
      </w:tblGrid>
      <w:tr w:rsidR="000534DA" w:rsidRPr="00DD47DF" w14:paraId="7ED86583" w14:textId="77777777">
        <w:tc>
          <w:tcPr>
            <w:tcW w:w="4736" w:type="pct"/>
            <w:shd w:val="clear" w:color="auto" w:fill="auto"/>
            <w:vAlign w:val="center"/>
          </w:tcPr>
          <w:p w14:paraId="3C68BAFB" w14:textId="77777777" w:rsidR="000534DA" w:rsidRPr="00DD47DF" w:rsidRDefault="000534DA" w:rsidP="000534DA">
            <w:pPr>
              <w:pStyle w:val="Tabulka"/>
              <w:jc w:val="left"/>
              <w:rPr>
                <w:rFonts w:cs="Calibri"/>
              </w:rPr>
            </w:pPr>
            <w:r w:rsidRPr="00DD47DF">
              <w:rPr>
                <w:rFonts w:cs="Calibri"/>
              </w:rPr>
              <w:t>Celá prioritní osa bude realizována výhradně prostřednictvím finančních nástrojů</w:t>
            </w:r>
          </w:p>
        </w:tc>
        <w:tc>
          <w:tcPr>
            <w:tcW w:w="264" w:type="pct"/>
            <w:shd w:val="clear" w:color="auto" w:fill="auto"/>
            <w:vAlign w:val="center"/>
          </w:tcPr>
          <w:p w14:paraId="18DA0401" w14:textId="77777777" w:rsidR="000534DA" w:rsidRPr="00DD47DF" w:rsidRDefault="002756E7" w:rsidP="000534DA">
            <w:pPr>
              <w:pStyle w:val="Tabulka"/>
              <w:rPr>
                <w:rFonts w:cs="Calibri"/>
              </w:rPr>
            </w:pPr>
            <w:r w:rsidRPr="00DD47DF">
              <w:rPr>
                <w:rFonts w:cs="Calibri"/>
              </w:rPr>
              <w:fldChar w:fldCharType="begin">
                <w:ffData>
                  <w:name w:val="Check1"/>
                  <w:enabled/>
                  <w:calcOnExit w:val="0"/>
                  <w:checkBox>
                    <w:sizeAuto/>
                    <w:default w:val="0"/>
                  </w:checkBox>
                </w:ffData>
              </w:fldChar>
            </w:r>
            <w:bookmarkStart w:id="24" w:name="Check1"/>
            <w:r w:rsidR="000534DA" w:rsidRPr="00DD47DF">
              <w:rPr>
                <w:rFonts w:cs="Calibri"/>
              </w:rPr>
              <w:instrText xml:space="preserve"> FORMCHECKBOX </w:instrText>
            </w:r>
            <w:r w:rsidR="00AF6FE3">
              <w:rPr>
                <w:rFonts w:cs="Calibri"/>
              </w:rPr>
            </w:r>
            <w:r w:rsidR="00AF6FE3">
              <w:rPr>
                <w:rFonts w:cs="Calibri"/>
              </w:rPr>
              <w:fldChar w:fldCharType="separate"/>
            </w:r>
            <w:r w:rsidRPr="00DD47DF">
              <w:rPr>
                <w:rFonts w:cs="Calibri"/>
              </w:rPr>
              <w:fldChar w:fldCharType="end"/>
            </w:r>
            <w:bookmarkEnd w:id="24"/>
          </w:p>
        </w:tc>
      </w:tr>
      <w:tr w:rsidR="000534DA" w:rsidRPr="00DD47DF" w14:paraId="1BA4789E" w14:textId="77777777">
        <w:tc>
          <w:tcPr>
            <w:tcW w:w="4736" w:type="pct"/>
            <w:shd w:val="clear" w:color="auto" w:fill="auto"/>
            <w:vAlign w:val="center"/>
          </w:tcPr>
          <w:p w14:paraId="4EBB59E9" w14:textId="77777777" w:rsidR="000534DA" w:rsidRPr="00DD47DF" w:rsidRDefault="000534DA" w:rsidP="000534DA">
            <w:pPr>
              <w:pStyle w:val="Tabulka"/>
              <w:jc w:val="left"/>
              <w:rPr>
                <w:rFonts w:cs="Calibri"/>
              </w:rPr>
            </w:pPr>
            <w:r w:rsidRPr="00DD47DF">
              <w:rPr>
                <w:rFonts w:cs="Calibri"/>
              </w:rPr>
              <w:t>Celá prioritní osa bude realizována výhradně prostřednictvím finančních nástrojů zřízených na úrovni Unie</w:t>
            </w:r>
          </w:p>
        </w:tc>
        <w:tc>
          <w:tcPr>
            <w:tcW w:w="264" w:type="pct"/>
            <w:shd w:val="clear" w:color="auto" w:fill="auto"/>
            <w:vAlign w:val="center"/>
          </w:tcPr>
          <w:p w14:paraId="04751B49" w14:textId="77777777" w:rsidR="000534DA" w:rsidRPr="00DD47DF" w:rsidRDefault="002756E7" w:rsidP="000534DA">
            <w:pPr>
              <w:pStyle w:val="Tabulka"/>
              <w:rPr>
                <w:rFonts w:cs="Calibri"/>
              </w:rPr>
            </w:pPr>
            <w:r w:rsidRPr="00DD47DF">
              <w:rPr>
                <w:rFonts w:cs="Calibri"/>
              </w:rPr>
              <w:fldChar w:fldCharType="begin">
                <w:ffData>
                  <w:name w:val="Check1"/>
                  <w:enabled/>
                  <w:calcOnExit w:val="0"/>
                  <w:checkBox>
                    <w:sizeAuto/>
                    <w:default w:val="0"/>
                  </w:checkBox>
                </w:ffData>
              </w:fldChar>
            </w:r>
            <w:r w:rsidR="000534DA" w:rsidRPr="00DD47DF">
              <w:rPr>
                <w:rFonts w:cs="Calibri"/>
              </w:rPr>
              <w:instrText xml:space="preserve"> FORMCHECKBOX </w:instrText>
            </w:r>
            <w:r w:rsidR="00AF6FE3">
              <w:rPr>
                <w:rFonts w:cs="Calibri"/>
              </w:rPr>
            </w:r>
            <w:r w:rsidR="00AF6FE3">
              <w:rPr>
                <w:rFonts w:cs="Calibri"/>
              </w:rPr>
              <w:fldChar w:fldCharType="separate"/>
            </w:r>
            <w:r w:rsidRPr="00DD47DF">
              <w:rPr>
                <w:rFonts w:cs="Calibri"/>
              </w:rPr>
              <w:fldChar w:fldCharType="end"/>
            </w:r>
          </w:p>
        </w:tc>
      </w:tr>
      <w:tr w:rsidR="000534DA" w:rsidRPr="00DD47DF" w14:paraId="0DC331CB" w14:textId="77777777">
        <w:tc>
          <w:tcPr>
            <w:tcW w:w="4736" w:type="pct"/>
            <w:shd w:val="clear" w:color="auto" w:fill="auto"/>
            <w:vAlign w:val="center"/>
          </w:tcPr>
          <w:p w14:paraId="0FB4089D" w14:textId="77777777" w:rsidR="000534DA" w:rsidRPr="00DD47DF" w:rsidRDefault="000534DA" w:rsidP="000534DA">
            <w:pPr>
              <w:pStyle w:val="Tabulka"/>
              <w:jc w:val="left"/>
              <w:rPr>
                <w:rFonts w:cs="Calibri"/>
              </w:rPr>
            </w:pPr>
            <w:r w:rsidRPr="00DD47DF">
              <w:rPr>
                <w:rFonts w:cs="Calibri"/>
              </w:rPr>
              <w:t>Celá prioritní osa bude realizována výhradně prostřednictvím komunitně vedeného místního rozvoje</w:t>
            </w:r>
          </w:p>
        </w:tc>
        <w:tc>
          <w:tcPr>
            <w:tcW w:w="264" w:type="pct"/>
            <w:shd w:val="clear" w:color="auto" w:fill="auto"/>
            <w:vAlign w:val="center"/>
          </w:tcPr>
          <w:p w14:paraId="08BB1FE4" w14:textId="77777777" w:rsidR="000534DA" w:rsidRPr="00DD47DF" w:rsidRDefault="002756E7" w:rsidP="000534DA">
            <w:pPr>
              <w:pStyle w:val="Tabulka"/>
              <w:rPr>
                <w:rFonts w:cs="Calibri"/>
              </w:rPr>
            </w:pPr>
            <w:r w:rsidRPr="00DD47DF">
              <w:rPr>
                <w:rFonts w:cs="Calibri"/>
              </w:rPr>
              <w:fldChar w:fldCharType="begin">
                <w:ffData>
                  <w:name w:val="Check1"/>
                  <w:enabled/>
                  <w:calcOnExit w:val="0"/>
                  <w:checkBox>
                    <w:sizeAuto/>
                    <w:default w:val="0"/>
                  </w:checkBox>
                </w:ffData>
              </w:fldChar>
            </w:r>
            <w:r w:rsidR="000534DA" w:rsidRPr="00DD47DF">
              <w:rPr>
                <w:rFonts w:cs="Calibri"/>
              </w:rPr>
              <w:instrText xml:space="preserve"> FORMCHECKBOX </w:instrText>
            </w:r>
            <w:r w:rsidR="00AF6FE3">
              <w:rPr>
                <w:rFonts w:cs="Calibri"/>
              </w:rPr>
            </w:r>
            <w:r w:rsidR="00AF6FE3">
              <w:rPr>
                <w:rFonts w:cs="Calibri"/>
              </w:rPr>
              <w:fldChar w:fldCharType="separate"/>
            </w:r>
            <w:r w:rsidRPr="00DD47DF">
              <w:rPr>
                <w:rFonts w:cs="Calibri"/>
              </w:rPr>
              <w:fldChar w:fldCharType="end"/>
            </w:r>
          </w:p>
        </w:tc>
      </w:tr>
    </w:tbl>
    <w:p w14:paraId="1459E28F" w14:textId="77777777" w:rsidR="00B308E9" w:rsidRPr="00DD47DF" w:rsidRDefault="00B308E9" w:rsidP="00DA3512">
      <w:pPr>
        <w:pStyle w:val="kapitola2A0"/>
        <w:numPr>
          <w:ilvl w:val="2"/>
          <w:numId w:val="62"/>
        </w:numPr>
      </w:pPr>
      <w:bookmarkStart w:id="25" w:name="_Toc520445245"/>
      <w:r w:rsidRPr="00DD47DF">
        <w:t>Odůvodnění pro vytvoření prioritní osy, která zahrnuje více než jednu kategorii regionů nebo více než jeden tematický cíl či fond (použije-li se)</w:t>
      </w:r>
      <w:bookmarkEnd w:id="25"/>
    </w:p>
    <w:p w14:paraId="57554910" w14:textId="77777777" w:rsidR="00B308E9" w:rsidRPr="00DD47DF" w:rsidRDefault="00B308E9" w:rsidP="00B308E9">
      <w:pPr>
        <w:pStyle w:val="Standardntext"/>
      </w:pPr>
      <w:r w:rsidRPr="00DD47DF">
        <w:t>Není relevantní pro OP PIK.</w:t>
      </w:r>
    </w:p>
    <w:p w14:paraId="7DE0BEBB" w14:textId="77777777" w:rsidR="009B2D15" w:rsidRPr="00DD47DF" w:rsidRDefault="009B2D15" w:rsidP="00DA3512">
      <w:pPr>
        <w:pStyle w:val="kapitola2A0"/>
        <w:numPr>
          <w:ilvl w:val="2"/>
          <w:numId w:val="62"/>
        </w:numPr>
      </w:pPr>
      <w:bookmarkStart w:id="26" w:name="_Toc520445246"/>
      <w:r w:rsidRPr="00DD47DF">
        <w:t>Fond, kategorie regionů a základ pro výpočet podpory Unie</w:t>
      </w:r>
      <w:bookmarkEnd w:id="26"/>
    </w:p>
    <w:p w14:paraId="3201F68F" w14:textId="77777777" w:rsidR="009B2D15" w:rsidRPr="00DD47DF" w:rsidRDefault="009B2D15" w:rsidP="009B2D15">
      <w:pPr>
        <w:pStyle w:val="Standardntext"/>
      </w:pPr>
      <w:r w:rsidRPr="00DD47DF">
        <w:t xml:space="preserve">Fond: </w:t>
      </w:r>
      <w:r w:rsidR="00B308E9" w:rsidRPr="00DD47DF">
        <w:t>Evropský fond pro regionální rozvoj</w:t>
      </w:r>
    </w:p>
    <w:p w14:paraId="105C91B6" w14:textId="77777777" w:rsidR="009B2D15" w:rsidRPr="00DD47DF" w:rsidRDefault="009B2D15" w:rsidP="009B2D15">
      <w:pPr>
        <w:pStyle w:val="Standardntext"/>
      </w:pPr>
      <w:r w:rsidRPr="00DD47DF">
        <w:t>Kategori</w:t>
      </w:r>
      <w:r w:rsidR="00B308E9" w:rsidRPr="00DD47DF">
        <w:t>e</w:t>
      </w:r>
      <w:r w:rsidRPr="00DD47DF">
        <w:t xml:space="preserve"> regionů: </w:t>
      </w:r>
      <w:r w:rsidR="00B308E9" w:rsidRPr="00DD47DF">
        <w:t>Méně rozvinuté regiony</w:t>
      </w:r>
    </w:p>
    <w:p w14:paraId="4A4EAAB7" w14:textId="77777777" w:rsidR="009B2D15" w:rsidRPr="00DD47DF" w:rsidRDefault="009B2D15" w:rsidP="009B2D15">
      <w:pPr>
        <w:pStyle w:val="Standardntext"/>
      </w:pPr>
      <w:r w:rsidRPr="00DD47DF">
        <w:t>Základ pro výpočet</w:t>
      </w:r>
      <w:r w:rsidR="008668C8" w:rsidRPr="00DD47DF">
        <w:t xml:space="preserve">: </w:t>
      </w:r>
      <w:r w:rsidR="009B6147" w:rsidRPr="00DD47DF">
        <w:t>celkové způsobilé výdaje</w:t>
      </w:r>
    </w:p>
    <w:p w14:paraId="46F7FFC7" w14:textId="77777777" w:rsidR="009B2D15" w:rsidRPr="00DD47DF" w:rsidRDefault="000534DA" w:rsidP="00DA3512">
      <w:pPr>
        <w:pStyle w:val="kapitola2A0"/>
        <w:numPr>
          <w:ilvl w:val="2"/>
          <w:numId w:val="62"/>
        </w:numPr>
      </w:pPr>
      <w:bookmarkStart w:id="27" w:name="_Toc520445247"/>
      <w:r w:rsidRPr="00DD47DF">
        <w:t>INVESTIČNÍ PRIORITA</w:t>
      </w:r>
      <w:r w:rsidR="00AA66A2" w:rsidRPr="00DD47DF">
        <w:t xml:space="preserve"> 1 prioritní osy 1</w:t>
      </w:r>
      <w:r w:rsidRPr="00DD47DF">
        <w:t xml:space="preserve">: </w:t>
      </w:r>
      <w:r w:rsidR="002641C7" w:rsidRPr="00DD47DF">
        <w:t>Podpora podnikových investic do výzkumu a inovací a vytváření</w:t>
      </w:r>
      <w:r w:rsidR="009B2D15" w:rsidRPr="00DD47DF">
        <w:t xml:space="preserve"> vazeb a součinnosti mezi podniky, středisky výzkumu a vývoje a </w:t>
      </w:r>
      <w:r w:rsidRPr="00DD47DF">
        <w:t>odvětvím vysokoškolského</w:t>
      </w:r>
      <w:r w:rsidR="009B2D15" w:rsidRPr="00DD47DF">
        <w:t xml:space="preserve"> vzdělávání, zejména </w:t>
      </w:r>
      <w:r w:rsidRPr="00DD47DF">
        <w:t>podpora investic v oblasti</w:t>
      </w:r>
      <w:r w:rsidR="009B2D15" w:rsidRPr="00DD47DF">
        <w:t xml:space="preserve"> vývoje produktů a služeb, přenosu technologií, sociálních inovací, ekologických inovací, aplikací veřejných služeb, stimulace poptávky, vytváření sítí, klastrů a otevřených inovací prostřednictvím inteligentní specializace a podpor</w:t>
      </w:r>
      <w:r w:rsidRPr="00DD47DF">
        <w:t>a</w:t>
      </w:r>
      <w:r w:rsidR="009B2D15" w:rsidRPr="00DD47DF">
        <w:t xml:space="preserve"> technického a aplikovaného výzkumu, pilotních linek, opatření k včasnému ověřování produktů, schopností vyspělé výroby a prvovýroby, zejména v oblasti klíčových technologií a šíření technologií pro všeobecné použití</w:t>
      </w:r>
      <w:bookmarkEnd w:id="27"/>
    </w:p>
    <w:p w14:paraId="331C5235" w14:textId="77777777" w:rsidR="00EF5F81" w:rsidRPr="00DD47DF" w:rsidRDefault="00B308E9" w:rsidP="00DA3512">
      <w:pPr>
        <w:pStyle w:val="kapitola2A0"/>
        <w:numPr>
          <w:ilvl w:val="2"/>
          <w:numId w:val="62"/>
        </w:numPr>
      </w:pPr>
      <w:bookmarkStart w:id="28" w:name="_Toc520445248"/>
      <w:r w:rsidRPr="00DD47DF">
        <w:t>Specifické cíle odpovídající investiční prioritě a očekávané výsledky</w:t>
      </w:r>
      <w:bookmarkEnd w:id="28"/>
    </w:p>
    <w:p w14:paraId="608A77B8" w14:textId="77777777" w:rsidR="00E10173" w:rsidRPr="00DD47DF" w:rsidRDefault="00F11C05" w:rsidP="00396141">
      <w:pPr>
        <w:pStyle w:val="Modrnadpis"/>
      </w:pPr>
      <w:bookmarkStart w:id="29" w:name="_Toc351464358"/>
      <w:r w:rsidRPr="00DD47DF">
        <w:t xml:space="preserve">SPECIFICKÝ CÍL </w:t>
      </w:r>
      <w:r w:rsidR="00C71E6F" w:rsidRPr="00DD47DF">
        <w:t>1.</w:t>
      </w:r>
      <w:r w:rsidR="008A50E3" w:rsidRPr="00DD47DF">
        <w:t>1</w:t>
      </w:r>
      <w:r w:rsidRPr="00DD47DF">
        <w:t>:</w:t>
      </w:r>
      <w:r w:rsidR="008A50E3" w:rsidRPr="00DD47DF">
        <w:t xml:space="preserve"> </w:t>
      </w:r>
      <w:bookmarkEnd w:id="29"/>
      <w:r w:rsidR="00247D8E" w:rsidRPr="00DD47DF">
        <w:t>Zvýšit inovační výkonnost podniků</w:t>
      </w:r>
      <w:r w:rsidR="00247D8E" w:rsidRPr="00DD47DF">
        <w:rPr>
          <w:rStyle w:val="Odkaznakoment"/>
          <w:b w:val="0"/>
          <w:sz w:val="24"/>
          <w:szCs w:val="20"/>
        </w:rPr>
        <w:t xml:space="preserve"> </w:t>
      </w:r>
    </w:p>
    <w:p w14:paraId="3B1FBE16" w14:textId="77777777" w:rsidR="00ED2AA8" w:rsidRPr="00DD47DF" w:rsidRDefault="00ED2AA8" w:rsidP="00ED2AA8">
      <w:pPr>
        <w:spacing w:after="120"/>
        <w:jc w:val="both"/>
        <w:rPr>
          <w:rFonts w:cs="Calibri"/>
          <w:sz w:val="24"/>
          <w:szCs w:val="24"/>
        </w:rPr>
      </w:pPr>
      <w:r w:rsidRPr="00DD47DF">
        <w:rPr>
          <w:rFonts w:cs="Calibri"/>
          <w:sz w:val="24"/>
          <w:szCs w:val="24"/>
        </w:rPr>
        <w:t>Hlavním cílem je rozvoj podnikání založeného na intenzivní tvorbě a využívání unikátních znalostí</w:t>
      </w:r>
      <w:r w:rsidR="00B2096C" w:rsidRPr="00DD47DF">
        <w:rPr>
          <w:rFonts w:cs="Calibri"/>
          <w:sz w:val="24"/>
          <w:szCs w:val="24"/>
        </w:rPr>
        <w:t xml:space="preserve"> ve všech oborech</w:t>
      </w:r>
      <w:r w:rsidR="00534AAC" w:rsidRPr="00DD47DF">
        <w:rPr>
          <w:rFonts w:cs="Calibri"/>
          <w:sz w:val="24"/>
          <w:szCs w:val="24"/>
        </w:rPr>
        <w:t xml:space="preserve"> významných z pohledu specializace ČR</w:t>
      </w:r>
      <w:r w:rsidR="00B2096C" w:rsidRPr="00DD47DF">
        <w:rPr>
          <w:rFonts w:cs="Calibri"/>
          <w:sz w:val="24"/>
          <w:szCs w:val="24"/>
        </w:rPr>
        <w:t xml:space="preserve">. </w:t>
      </w:r>
      <w:r w:rsidRPr="00DD47DF">
        <w:rPr>
          <w:rFonts w:cs="Calibri"/>
          <w:sz w:val="24"/>
          <w:szCs w:val="24"/>
        </w:rPr>
        <w:t xml:space="preserve">Rozšíření moderní výrobní a VaV infrastruktury </w:t>
      </w:r>
      <w:r w:rsidR="00301B17" w:rsidRPr="00DD47DF">
        <w:rPr>
          <w:rFonts w:cs="Calibri"/>
          <w:sz w:val="24"/>
          <w:szCs w:val="24"/>
        </w:rPr>
        <w:t>posílí inovační kapacity podniků, umožní</w:t>
      </w:r>
      <w:r w:rsidRPr="00DD47DF">
        <w:rPr>
          <w:rFonts w:cs="Calibri"/>
          <w:sz w:val="24"/>
          <w:szCs w:val="24"/>
        </w:rPr>
        <w:t xml:space="preserve"> realizovat vlastní VaV aktivity a zároveň zvýší poptávku po výsledcích výzkumu realizovaného ve výzkumných organizacích, </w:t>
      </w:r>
      <w:r w:rsidRPr="00DD47DF">
        <w:rPr>
          <w:rFonts w:cs="Calibri"/>
          <w:sz w:val="24"/>
          <w:szCs w:val="24"/>
        </w:rPr>
        <w:lastRenderedPageBreak/>
        <w:t xml:space="preserve">a to i v oblasti technologií s největší růstovou perspektivou. Naplňování </w:t>
      </w:r>
      <w:r w:rsidR="00301B17" w:rsidRPr="00DD47DF">
        <w:rPr>
          <w:rFonts w:cs="Calibri"/>
          <w:sz w:val="24"/>
          <w:szCs w:val="24"/>
        </w:rPr>
        <w:t>SC</w:t>
      </w:r>
      <w:r w:rsidRPr="00DD47DF">
        <w:rPr>
          <w:rFonts w:cs="Calibri"/>
          <w:sz w:val="24"/>
          <w:szCs w:val="24"/>
        </w:rPr>
        <w:t xml:space="preserve"> povede k zavádění inovací vyšších řádů</w:t>
      </w:r>
      <w:r w:rsidR="00965420" w:rsidRPr="00DD47DF">
        <w:rPr>
          <w:rStyle w:val="Znakapoznpodarou"/>
          <w:rFonts w:cs="Calibri"/>
          <w:sz w:val="24"/>
          <w:szCs w:val="24"/>
        </w:rPr>
        <w:footnoteReference w:id="34"/>
      </w:r>
      <w:r w:rsidRPr="00DD47DF">
        <w:rPr>
          <w:rFonts w:cs="Calibri"/>
          <w:sz w:val="24"/>
          <w:szCs w:val="24"/>
        </w:rPr>
        <w:t xml:space="preserve"> na trh a zlepšení technických fází inovačního procesu.</w:t>
      </w:r>
    </w:p>
    <w:p w14:paraId="4BCC2F94" w14:textId="77777777" w:rsidR="007B234F" w:rsidRPr="00DD47DF" w:rsidRDefault="003508A9" w:rsidP="007B234F">
      <w:pPr>
        <w:pStyle w:val="Modrnadpis"/>
      </w:pPr>
      <w:r w:rsidRPr="00DD47DF">
        <w:t>Výsledky, kterých chce ČR dosáhnout s podporou Unie</w:t>
      </w:r>
    </w:p>
    <w:p w14:paraId="734A1595" w14:textId="77777777" w:rsidR="00B2096C" w:rsidRPr="00DD47DF" w:rsidRDefault="00B2096C" w:rsidP="002908E2">
      <w:pPr>
        <w:numPr>
          <w:ilvl w:val="0"/>
          <w:numId w:val="52"/>
        </w:numPr>
        <w:spacing w:after="120"/>
        <w:jc w:val="both"/>
        <w:rPr>
          <w:rFonts w:cs="Calibri"/>
          <w:sz w:val="24"/>
          <w:szCs w:val="24"/>
        </w:rPr>
      </w:pPr>
      <w:r w:rsidRPr="00DD47DF">
        <w:rPr>
          <w:rFonts w:cs="Calibri"/>
          <w:sz w:val="24"/>
          <w:szCs w:val="24"/>
        </w:rPr>
        <w:t xml:space="preserve">Posílení </w:t>
      </w:r>
      <w:r w:rsidR="004B7DB1" w:rsidRPr="00DD47DF">
        <w:rPr>
          <w:rFonts w:cs="Calibri"/>
          <w:sz w:val="24"/>
          <w:szCs w:val="24"/>
        </w:rPr>
        <w:t xml:space="preserve">inovační výkonnosti </w:t>
      </w:r>
      <w:r w:rsidRPr="00DD47DF">
        <w:rPr>
          <w:rFonts w:cs="Calibri"/>
          <w:sz w:val="24"/>
          <w:szCs w:val="24"/>
        </w:rPr>
        <w:t>domácích firem</w:t>
      </w:r>
      <w:r w:rsidR="004B7DB1" w:rsidRPr="00DD47DF">
        <w:rPr>
          <w:rFonts w:cs="Calibri"/>
          <w:sz w:val="24"/>
          <w:szCs w:val="24"/>
        </w:rPr>
        <w:t xml:space="preserve"> a zvýšení jejich schopnosti</w:t>
      </w:r>
      <w:r w:rsidR="00FE0B02" w:rsidRPr="00DD47DF">
        <w:rPr>
          <w:rFonts w:cs="Calibri"/>
          <w:sz w:val="24"/>
          <w:szCs w:val="24"/>
        </w:rPr>
        <w:t>.</w:t>
      </w:r>
      <w:r w:rsidRPr="00DD47DF">
        <w:rPr>
          <w:rFonts w:cs="Calibri"/>
          <w:sz w:val="24"/>
          <w:szCs w:val="24"/>
        </w:rPr>
        <w:t xml:space="preserve"> S růstem počtu firem místního původu v pozici technologických lídrů a aktivním přístupem k inovacím se tak sníží vysoká závislost hospodářs</w:t>
      </w:r>
      <w:r w:rsidR="004B7DB1" w:rsidRPr="00DD47DF">
        <w:rPr>
          <w:rFonts w:cs="Calibri"/>
          <w:sz w:val="24"/>
          <w:szCs w:val="24"/>
        </w:rPr>
        <w:t xml:space="preserve">tví </w:t>
      </w:r>
      <w:r w:rsidRPr="00DD47DF">
        <w:rPr>
          <w:rFonts w:cs="Calibri"/>
          <w:sz w:val="24"/>
          <w:szCs w:val="24"/>
        </w:rPr>
        <w:t>ČR na aktivitách zahraničních firem.</w:t>
      </w:r>
    </w:p>
    <w:p w14:paraId="7C2AE6A4" w14:textId="77777777" w:rsidR="00B2096C" w:rsidRPr="00DD47DF" w:rsidRDefault="00B2096C" w:rsidP="002908E2">
      <w:pPr>
        <w:numPr>
          <w:ilvl w:val="0"/>
          <w:numId w:val="52"/>
        </w:numPr>
        <w:spacing w:after="120"/>
        <w:jc w:val="both"/>
        <w:rPr>
          <w:rFonts w:cs="Calibri"/>
          <w:sz w:val="24"/>
          <w:szCs w:val="24"/>
        </w:rPr>
      </w:pPr>
      <w:r w:rsidRPr="00DD47DF">
        <w:rPr>
          <w:rFonts w:cs="Calibri"/>
          <w:sz w:val="24"/>
          <w:szCs w:val="24"/>
        </w:rPr>
        <w:t>Zvýšení využívání unikátních know-how z větší či menší části vzniklých ve spolupráci s akademickým a výzkumným sektorem, rozšíření know-how firem pro vlastní inovace, zvýšení efektivnosti interních procesů v oblasti řízení inovací a účinnější ochrany duševního vlastnictví, zvláště na zahraničních trzích, což povede k vyšší internacionalizaci firem a možnosti účastí českých firem v evropských programech (např. Horizont 2020).</w:t>
      </w:r>
    </w:p>
    <w:p w14:paraId="14DF28FA" w14:textId="77777777" w:rsidR="00B2096C" w:rsidRPr="00DD47DF" w:rsidRDefault="00B2096C" w:rsidP="002908E2">
      <w:pPr>
        <w:numPr>
          <w:ilvl w:val="0"/>
          <w:numId w:val="52"/>
        </w:numPr>
        <w:spacing w:after="120"/>
        <w:jc w:val="both"/>
        <w:rPr>
          <w:rFonts w:cs="Calibri"/>
          <w:sz w:val="24"/>
          <w:szCs w:val="24"/>
        </w:rPr>
      </w:pPr>
      <w:r w:rsidRPr="00DD47DF">
        <w:rPr>
          <w:rFonts w:cs="Calibri"/>
          <w:sz w:val="24"/>
          <w:szCs w:val="24"/>
        </w:rPr>
        <w:t>Tvorba a zavádění nových konkurenceschopných produktů na globální trh, zejména inovacích vyšších řádů, posílení schopnosti firem v oblasti high-tech výroby.</w:t>
      </w:r>
    </w:p>
    <w:p w14:paraId="5033BAFD" w14:textId="77777777" w:rsidR="00B2096C" w:rsidRPr="00DD47DF" w:rsidRDefault="00B2096C" w:rsidP="002908E2">
      <w:pPr>
        <w:numPr>
          <w:ilvl w:val="0"/>
          <w:numId w:val="52"/>
        </w:numPr>
        <w:spacing w:after="120"/>
        <w:jc w:val="both"/>
        <w:rPr>
          <w:rFonts w:cs="Calibri"/>
          <w:sz w:val="24"/>
          <w:szCs w:val="24"/>
        </w:rPr>
      </w:pPr>
      <w:r w:rsidRPr="00DD47DF">
        <w:rPr>
          <w:rFonts w:cs="Calibri"/>
          <w:sz w:val="24"/>
          <w:szCs w:val="24"/>
        </w:rPr>
        <w:t>Posílení výzkumu, vývoje a uvádění ekoinovací na trh přispěje k optimálnímu využití zdrojů a ke snížení dopadů výroby či produktu na životní prostředí.</w:t>
      </w:r>
    </w:p>
    <w:p w14:paraId="6B995047" w14:textId="77777777" w:rsidR="00ED2AA8" w:rsidRPr="00DD47DF" w:rsidRDefault="00ED2AA8" w:rsidP="002908E2">
      <w:pPr>
        <w:numPr>
          <w:ilvl w:val="0"/>
          <w:numId w:val="52"/>
        </w:numPr>
        <w:spacing w:after="120"/>
        <w:jc w:val="both"/>
        <w:rPr>
          <w:rFonts w:cs="Calibri"/>
          <w:sz w:val="24"/>
          <w:szCs w:val="24"/>
        </w:rPr>
      </w:pPr>
      <w:r w:rsidRPr="00DD47DF">
        <w:rPr>
          <w:rFonts w:cs="Calibri"/>
          <w:sz w:val="24"/>
          <w:szCs w:val="24"/>
        </w:rPr>
        <w:t xml:space="preserve">Zvýšení počtu firem disponujících moderní VaV infrastrukturou, jejíž využití povede k dalším investicím soukromých subjektů a realizaci navazujících projektů ve spolupráci s dalšími účastníky inovačního systému. </w:t>
      </w:r>
    </w:p>
    <w:p w14:paraId="73A9A1DC" w14:textId="77777777" w:rsidR="00ED2AA8" w:rsidRPr="00DD47DF" w:rsidRDefault="00ED2AA8" w:rsidP="002908E2">
      <w:pPr>
        <w:numPr>
          <w:ilvl w:val="0"/>
          <w:numId w:val="52"/>
        </w:numPr>
        <w:spacing w:after="120"/>
        <w:jc w:val="both"/>
        <w:rPr>
          <w:rFonts w:cs="Calibri"/>
          <w:sz w:val="24"/>
          <w:szCs w:val="24"/>
        </w:rPr>
      </w:pPr>
      <w:r w:rsidRPr="00DD47DF">
        <w:rPr>
          <w:rFonts w:cs="Calibri"/>
          <w:sz w:val="24"/>
          <w:szCs w:val="24"/>
        </w:rPr>
        <w:t>Realizace projektů průmyslového výzkumu a experimentálního vývoje bude významným impulsem pro zvýšení vlastních podnikových výdajů na výzkum a vývoj, povede k tvorbě nových konkurenceschopných produktů</w:t>
      </w:r>
      <w:r w:rsidR="00C5101E" w:rsidRPr="00DD47DF">
        <w:rPr>
          <w:rFonts w:cs="Calibri"/>
          <w:sz w:val="24"/>
          <w:szCs w:val="24"/>
        </w:rPr>
        <w:t xml:space="preserve"> a služeb</w:t>
      </w:r>
      <w:r w:rsidRPr="00DD47DF">
        <w:rPr>
          <w:rFonts w:cs="Calibri"/>
          <w:sz w:val="24"/>
          <w:szCs w:val="24"/>
        </w:rPr>
        <w:t>, bude stimulovat výzkumné organizace k tvorbě výsledků využitelných v průmyslu a podpoří využívání nově vybudovaných výzkumných infrastruktur ve veřejném sektoru s důrazem na oblast klíčových průřezových technologií (KETs).</w:t>
      </w:r>
      <w:r w:rsidR="00FE0B02" w:rsidRPr="00DD47DF">
        <w:rPr>
          <w:rFonts w:cs="Calibri"/>
          <w:sz w:val="24"/>
          <w:szCs w:val="24"/>
        </w:rPr>
        <w:t xml:space="preserve"> </w:t>
      </w:r>
    </w:p>
    <w:p w14:paraId="4DB36EAE" w14:textId="77777777" w:rsidR="00941F63" w:rsidRPr="00DD47DF" w:rsidRDefault="00941F63" w:rsidP="00650A99">
      <w:pPr>
        <w:pStyle w:val="Titulek"/>
        <w:keepNext/>
        <w:keepLines/>
        <w:rPr>
          <w:rFonts w:cs="Calibri"/>
        </w:rPr>
      </w:pPr>
      <w:r w:rsidRPr="00DD47DF">
        <w:rPr>
          <w:rFonts w:cs="Calibri"/>
        </w:rPr>
        <w:lastRenderedPageBreak/>
        <w:t xml:space="preserve">Tabulka </w:t>
      </w:r>
      <w:r w:rsidR="002756E7" w:rsidRPr="00DD47DF">
        <w:rPr>
          <w:rFonts w:cs="Calibri"/>
        </w:rPr>
        <w:fldChar w:fldCharType="begin"/>
      </w:r>
      <w:r w:rsidR="00174180" w:rsidRPr="00DD47DF">
        <w:rPr>
          <w:rFonts w:cs="Calibri"/>
        </w:rPr>
        <w:instrText xml:space="preserve"> SEQ Tabulka \* ARABIC </w:instrText>
      </w:r>
      <w:r w:rsidR="002756E7" w:rsidRPr="00DD47DF">
        <w:rPr>
          <w:rFonts w:cs="Calibri"/>
        </w:rPr>
        <w:fldChar w:fldCharType="separate"/>
      </w:r>
      <w:r w:rsidR="00117847">
        <w:rPr>
          <w:rFonts w:cs="Calibri"/>
          <w:noProof/>
        </w:rPr>
        <w:t>3</w:t>
      </w:r>
      <w:r w:rsidR="002756E7" w:rsidRPr="00DD47DF">
        <w:rPr>
          <w:rFonts w:cs="Calibri"/>
          <w:noProof/>
        </w:rPr>
        <w:fldChar w:fldCharType="end"/>
      </w:r>
      <w:r w:rsidR="009670FD" w:rsidRPr="00DD47DF">
        <w:rPr>
          <w:rFonts w:cs="Calibri"/>
          <w:noProof/>
        </w:rPr>
        <w:t>a</w:t>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0" w:type="auto"/>
        <w:tblCellMar>
          <w:left w:w="57" w:type="dxa"/>
          <w:right w:w="57" w:type="dxa"/>
        </w:tblCellMar>
        <w:tblLook w:val="01E0" w:firstRow="1" w:lastRow="1" w:firstColumn="1" w:lastColumn="1" w:noHBand="0" w:noVBand="0"/>
      </w:tblPr>
      <w:tblGrid>
        <w:gridCol w:w="664"/>
        <w:gridCol w:w="1710"/>
        <w:gridCol w:w="946"/>
        <w:gridCol w:w="1202"/>
        <w:gridCol w:w="907"/>
        <w:gridCol w:w="882"/>
        <w:gridCol w:w="920"/>
        <w:gridCol w:w="1075"/>
        <w:gridCol w:w="1020"/>
      </w:tblGrid>
      <w:tr w:rsidR="007B391E" w:rsidRPr="00DD47DF" w14:paraId="79CEA8B2" w14:textId="77777777">
        <w:trPr>
          <w:trHeight w:hRule="exact" w:val="1297"/>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7A9E97E" w14:textId="77777777" w:rsidR="00941F63" w:rsidRPr="00DD47DF" w:rsidRDefault="00941F63" w:rsidP="00650A99">
            <w:pPr>
              <w:pStyle w:val="Tabulka"/>
              <w:keepNext/>
              <w:keepLines/>
              <w:rPr>
                <w:rFonts w:cs="Calibri"/>
              </w:rPr>
            </w:pPr>
            <w:r w:rsidRPr="00DD47DF">
              <w:rPr>
                <w:rFonts w:cs="Calibri"/>
                <w:b/>
                <w:bCs/>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C6F7046" w14:textId="77777777" w:rsidR="00941F63" w:rsidRPr="00DD47DF" w:rsidRDefault="00CF739D" w:rsidP="00650A99">
            <w:pPr>
              <w:pStyle w:val="Tabulka"/>
              <w:keepNext/>
              <w:keepLines/>
              <w:rPr>
                <w:rFonts w:cs="Calibri"/>
              </w:rPr>
            </w:pPr>
            <w:r w:rsidRPr="00DD47DF">
              <w:rPr>
                <w:rFonts w:cs="Calibri"/>
                <w:b/>
                <w:bCs/>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A32FDAD" w14:textId="77777777" w:rsidR="00941F63" w:rsidRPr="00DD47DF" w:rsidRDefault="00941F63" w:rsidP="00650A99">
            <w:pPr>
              <w:pStyle w:val="Tabulka"/>
              <w:keepNext/>
              <w:keepLines/>
              <w:rPr>
                <w:rFonts w:cs="Calibri"/>
              </w:rPr>
            </w:pPr>
            <w:r w:rsidRPr="00DD47DF">
              <w:rPr>
                <w:rFonts w:cs="Calibri"/>
                <w:b/>
                <w:bCs/>
              </w:rPr>
              <w:t>Měrná</w:t>
            </w:r>
          </w:p>
          <w:p w14:paraId="413AC44B" w14:textId="77777777" w:rsidR="00941F63" w:rsidRPr="00DD47DF" w:rsidRDefault="00941F63" w:rsidP="00650A99">
            <w:pPr>
              <w:pStyle w:val="Tabulka"/>
              <w:keepNext/>
              <w:keepLines/>
              <w:rPr>
                <w:rFonts w:cs="Calibri"/>
              </w:rPr>
            </w:pPr>
            <w:r w:rsidRPr="00DD47DF">
              <w:rPr>
                <w:rFonts w:cs="Calibri"/>
                <w:b/>
                <w:bCs/>
              </w:rPr>
              <w:t>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689410C" w14:textId="77777777" w:rsidR="00941F63" w:rsidRPr="00DD47DF" w:rsidRDefault="00CF739D" w:rsidP="00650A99">
            <w:pPr>
              <w:pStyle w:val="Tabulka"/>
              <w:keepNext/>
              <w:keepLines/>
              <w:rPr>
                <w:rFonts w:cs="Calibri"/>
              </w:rPr>
            </w:pPr>
            <w:r w:rsidRPr="00DD47DF">
              <w:rPr>
                <w:rFonts w:cs="Calibri"/>
                <w:b/>
                <w:bCs/>
              </w:rPr>
              <w:t>Kategorie regionů</w:t>
            </w:r>
            <w:r w:rsidR="00941F63" w:rsidRPr="00DD47DF">
              <w:rPr>
                <w:rFonts w:cs="Calibri"/>
                <w:b/>
                <w:bCs/>
              </w:rPr>
              <w:t xml:space="preserve"> (</w:t>
            </w:r>
            <w:r w:rsidRPr="00DD47DF">
              <w:rPr>
                <w:rFonts w:cs="Calibri"/>
                <w:b/>
                <w:bCs/>
              </w:rPr>
              <w:t>je-li</w:t>
            </w:r>
            <w:r w:rsidR="00941F63" w:rsidRPr="00DD47DF">
              <w:rPr>
                <w:rFonts w:cs="Calibri"/>
                <w:b/>
                <w:bCs/>
              </w:rPr>
              <w:t xml:space="preserve"> relevantní)</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5A912DFE" w14:textId="77777777" w:rsidR="00941F63" w:rsidRPr="00DD47DF" w:rsidRDefault="004B0854" w:rsidP="00650A99">
            <w:pPr>
              <w:pStyle w:val="Tabulka"/>
              <w:keepNext/>
              <w:keepLines/>
              <w:rPr>
                <w:rFonts w:cs="Calibri"/>
              </w:rPr>
            </w:pPr>
            <w:r w:rsidRPr="00DD47DF">
              <w:rPr>
                <w:rFonts w:cs="Calibri"/>
                <w:b/>
                <w:bCs/>
              </w:rPr>
              <w:t>Výchozí</w:t>
            </w:r>
            <w:r w:rsidR="00941F63" w:rsidRPr="00DD47DF">
              <w:rPr>
                <w:rFonts w:cs="Calibri"/>
                <w:b/>
                <w:bCs/>
              </w:rPr>
              <w:t xml:space="preserve"> hodnota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E9E51CD" w14:textId="77777777" w:rsidR="00941F63" w:rsidRPr="00DD47DF" w:rsidRDefault="004B0854" w:rsidP="00650A99">
            <w:pPr>
              <w:pStyle w:val="Tabulka"/>
              <w:keepNext/>
              <w:keepLines/>
              <w:rPr>
                <w:rFonts w:cs="Calibri"/>
              </w:rPr>
            </w:pPr>
            <w:r w:rsidRPr="00DD47DF">
              <w:rPr>
                <w:rFonts w:cs="Calibri"/>
                <w:b/>
                <w:bCs/>
              </w:rPr>
              <w:t xml:space="preserve">Výchozí </w:t>
            </w:r>
            <w:r w:rsidR="00941F63" w:rsidRPr="00DD47DF">
              <w:rPr>
                <w:rFonts w:cs="Calibri"/>
                <w:b/>
                <w:bCs/>
              </w:rPr>
              <w:t>rok</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AB4E7DB" w14:textId="77777777" w:rsidR="00941F63" w:rsidRPr="00DD47DF" w:rsidRDefault="009E5CFE" w:rsidP="00650A99">
            <w:pPr>
              <w:pStyle w:val="Tabulka"/>
              <w:keepNext/>
              <w:keepLines/>
              <w:rPr>
                <w:rFonts w:cs="Calibri"/>
              </w:rPr>
            </w:pPr>
            <w:r w:rsidRPr="00DD47DF">
              <w:rPr>
                <w:rFonts w:cs="Calibri"/>
                <w:b/>
                <w:bCs/>
              </w:rPr>
              <w:t>Cílová hodnota (2023)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92FBA37" w14:textId="77777777" w:rsidR="00941F63" w:rsidRPr="00DD47DF" w:rsidRDefault="00941F63" w:rsidP="00650A99">
            <w:pPr>
              <w:pStyle w:val="Tabulka"/>
              <w:keepNext/>
              <w:keepLines/>
              <w:rPr>
                <w:rFonts w:cs="Calibri"/>
              </w:rPr>
            </w:pPr>
            <w:r w:rsidRPr="00DD47DF">
              <w:rPr>
                <w:rFonts w:cs="Calibri"/>
                <w:b/>
                <w:bCs/>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7079AE8" w14:textId="77777777" w:rsidR="00941F63" w:rsidRPr="00DD47DF" w:rsidRDefault="00CF739D" w:rsidP="00650A99">
            <w:pPr>
              <w:pStyle w:val="Tabulka"/>
              <w:keepNext/>
              <w:keepLines/>
              <w:rPr>
                <w:rFonts w:cs="Calibri"/>
              </w:rPr>
            </w:pPr>
            <w:r w:rsidRPr="00DD47DF">
              <w:rPr>
                <w:rFonts w:cs="Calibri"/>
                <w:b/>
                <w:bCs/>
              </w:rPr>
              <w:t>Četnost podávání zpráv</w:t>
            </w:r>
          </w:p>
        </w:tc>
      </w:tr>
      <w:tr w:rsidR="00A15054" w:rsidRPr="00DD47DF" w14:paraId="4D441D82" w14:textId="77777777">
        <w:trPr>
          <w:trHeight w:hRule="exact" w:val="1856"/>
        </w:trPr>
        <w:tc>
          <w:tcPr>
            <w:tcW w:w="0" w:type="auto"/>
            <w:tcBorders>
              <w:top w:val="single" w:sz="4" w:space="0" w:color="000000"/>
              <w:left w:val="single" w:sz="4" w:space="0" w:color="000000"/>
              <w:bottom w:val="single" w:sz="4" w:space="0" w:color="000000"/>
              <w:right w:val="single" w:sz="4" w:space="0" w:color="000000"/>
            </w:tcBorders>
            <w:vAlign w:val="center"/>
          </w:tcPr>
          <w:p w14:paraId="082A9C98" w14:textId="77777777" w:rsidR="00A15054" w:rsidRPr="00DD47DF" w:rsidRDefault="00831F28" w:rsidP="00650A99">
            <w:pPr>
              <w:pStyle w:val="Tabulka"/>
              <w:keepNext/>
              <w:keepLines/>
              <w:rPr>
                <w:rFonts w:cs="Calibri"/>
              </w:rPr>
            </w:pPr>
            <w:r w:rsidRPr="00DD47DF">
              <w:rPr>
                <w:rFonts w:cs="Calibri"/>
              </w:rPr>
              <w:t>21010</w:t>
            </w:r>
          </w:p>
        </w:tc>
        <w:tc>
          <w:tcPr>
            <w:tcW w:w="0" w:type="auto"/>
            <w:tcBorders>
              <w:top w:val="single" w:sz="4" w:space="0" w:color="000000"/>
              <w:left w:val="single" w:sz="4" w:space="0" w:color="000000"/>
              <w:bottom w:val="single" w:sz="4" w:space="0" w:color="000000"/>
              <w:right w:val="single" w:sz="4" w:space="0" w:color="000000"/>
            </w:tcBorders>
            <w:vAlign w:val="center"/>
          </w:tcPr>
          <w:p w14:paraId="65C6244B" w14:textId="77777777" w:rsidR="00A15054" w:rsidRPr="00DD47DF" w:rsidRDefault="00A15054" w:rsidP="00650A99">
            <w:pPr>
              <w:pStyle w:val="Tabulka"/>
              <w:keepNext/>
              <w:keepLines/>
              <w:jc w:val="left"/>
              <w:rPr>
                <w:rFonts w:cs="Calibri"/>
              </w:rPr>
            </w:pPr>
            <w:r w:rsidRPr="00DD47DF">
              <w:rPr>
                <w:rFonts w:cs="Calibri"/>
              </w:rPr>
              <w:t>Podnikové výdaje na VaV v podnikatelském sektoru jako % HDP - regiony ČR (mimo hl. m. Praha)</w:t>
            </w:r>
          </w:p>
        </w:tc>
        <w:tc>
          <w:tcPr>
            <w:tcW w:w="0" w:type="auto"/>
            <w:tcBorders>
              <w:top w:val="single" w:sz="4" w:space="0" w:color="000000"/>
              <w:left w:val="single" w:sz="4" w:space="0" w:color="000000"/>
              <w:bottom w:val="single" w:sz="4" w:space="0" w:color="000000"/>
              <w:right w:val="single" w:sz="4" w:space="0" w:color="000000"/>
            </w:tcBorders>
            <w:vAlign w:val="center"/>
          </w:tcPr>
          <w:p w14:paraId="7D6B5079" w14:textId="77777777" w:rsidR="00A15054" w:rsidRPr="00DD47DF" w:rsidRDefault="00A15054" w:rsidP="00650A99">
            <w:pPr>
              <w:pStyle w:val="Tabulka"/>
              <w:keepNext/>
              <w:keepLines/>
              <w:rPr>
                <w:rFonts w:cs="Calibri"/>
              </w:rPr>
            </w:pPr>
            <w:r w:rsidRPr="00DD47DF">
              <w:rPr>
                <w:rFonts w:cs="Calibri"/>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18FB1C22" w14:textId="77777777" w:rsidR="00A15054" w:rsidRPr="00DD47DF" w:rsidRDefault="00A15054" w:rsidP="00650A99">
            <w:pPr>
              <w:pStyle w:val="Tabulka"/>
              <w:keepNext/>
              <w:keepLines/>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747306A9" w14:textId="77777777" w:rsidR="00A15054" w:rsidRPr="00DD47DF" w:rsidRDefault="00D86241" w:rsidP="00650A99">
            <w:pPr>
              <w:pStyle w:val="Tabulka"/>
              <w:keepNext/>
              <w:keepLines/>
              <w:rPr>
                <w:rFonts w:cs="Calibri"/>
              </w:rPr>
            </w:pPr>
            <w:r w:rsidRPr="00DD47DF">
              <w:rPr>
                <w:rFonts w:cs="Calibri"/>
              </w:rPr>
              <w:t>0,58</w:t>
            </w:r>
          </w:p>
        </w:tc>
        <w:tc>
          <w:tcPr>
            <w:tcW w:w="0" w:type="auto"/>
            <w:tcBorders>
              <w:top w:val="single" w:sz="4" w:space="0" w:color="000000"/>
              <w:left w:val="single" w:sz="4" w:space="0" w:color="000000"/>
              <w:bottom w:val="single" w:sz="4" w:space="0" w:color="000000"/>
              <w:right w:val="single" w:sz="4" w:space="0" w:color="000000"/>
            </w:tcBorders>
            <w:vAlign w:val="center"/>
          </w:tcPr>
          <w:p w14:paraId="7BD37814" w14:textId="77777777" w:rsidR="00A15054" w:rsidRPr="00DD47DF" w:rsidRDefault="00A15054" w:rsidP="00650A99">
            <w:pPr>
              <w:pStyle w:val="Tabulka"/>
              <w:keepNext/>
              <w:keepLines/>
              <w:rPr>
                <w:rFonts w:cs="Calibri"/>
              </w:rPr>
            </w:pPr>
            <w:r w:rsidRPr="00DD47DF">
              <w:rPr>
                <w:rFonts w:cs="Calibri"/>
              </w:rPr>
              <w:t>2012</w:t>
            </w:r>
          </w:p>
        </w:tc>
        <w:tc>
          <w:tcPr>
            <w:tcW w:w="0" w:type="auto"/>
            <w:tcBorders>
              <w:top w:val="single" w:sz="4" w:space="0" w:color="000000"/>
              <w:left w:val="single" w:sz="4" w:space="0" w:color="000000"/>
              <w:bottom w:val="single" w:sz="4" w:space="0" w:color="000000"/>
              <w:right w:val="single" w:sz="4" w:space="0" w:color="000000"/>
            </w:tcBorders>
            <w:vAlign w:val="center"/>
          </w:tcPr>
          <w:p w14:paraId="7AB28CAD" w14:textId="77777777" w:rsidR="00A15054" w:rsidRPr="00DD47DF" w:rsidRDefault="00D86241" w:rsidP="00650A99">
            <w:pPr>
              <w:pStyle w:val="Tabulka"/>
              <w:keepNext/>
              <w:keepLines/>
              <w:rPr>
                <w:rFonts w:cs="Calibri"/>
              </w:rPr>
            </w:pPr>
            <w:r w:rsidRPr="00DD47DF">
              <w:rPr>
                <w:rFonts w:cs="Calibri"/>
              </w:rPr>
              <w:t>0,62 – 0,8</w:t>
            </w:r>
            <w:r w:rsidRPr="00DD47DF">
              <w:rPr>
                <w:rStyle w:val="Znakapoznpodarou"/>
                <w:rFonts w:cs="Calibri"/>
              </w:rPr>
              <w:footnoteReference w:id="35"/>
            </w:r>
          </w:p>
        </w:tc>
        <w:tc>
          <w:tcPr>
            <w:tcW w:w="0" w:type="auto"/>
            <w:tcBorders>
              <w:top w:val="single" w:sz="4" w:space="0" w:color="000000"/>
              <w:left w:val="single" w:sz="4" w:space="0" w:color="000000"/>
              <w:bottom w:val="single" w:sz="4" w:space="0" w:color="000000"/>
              <w:right w:val="single" w:sz="4" w:space="0" w:color="000000"/>
            </w:tcBorders>
            <w:vAlign w:val="center"/>
          </w:tcPr>
          <w:p w14:paraId="2ECBBAF7" w14:textId="77777777" w:rsidR="00A15054" w:rsidRPr="00DD47DF" w:rsidRDefault="00A15054" w:rsidP="00650A99">
            <w:pPr>
              <w:pStyle w:val="Tabulka"/>
              <w:keepNext/>
              <w:keepLines/>
              <w:rPr>
                <w:rFonts w:cs="Calibri"/>
              </w:rPr>
            </w:pPr>
            <w:r w:rsidRPr="00DD47DF">
              <w:rPr>
                <w:rFonts w:cs="Calibri"/>
              </w:rPr>
              <w:t>ČSÚ</w:t>
            </w:r>
          </w:p>
        </w:tc>
        <w:tc>
          <w:tcPr>
            <w:tcW w:w="0" w:type="auto"/>
            <w:tcBorders>
              <w:top w:val="single" w:sz="4" w:space="0" w:color="000000"/>
              <w:left w:val="single" w:sz="4" w:space="0" w:color="000000"/>
              <w:bottom w:val="single" w:sz="4" w:space="0" w:color="000000"/>
              <w:right w:val="single" w:sz="4" w:space="0" w:color="000000"/>
            </w:tcBorders>
            <w:vAlign w:val="center"/>
          </w:tcPr>
          <w:p w14:paraId="58D061C8" w14:textId="77777777" w:rsidR="00A15054" w:rsidRPr="00DD47DF" w:rsidRDefault="00A15054" w:rsidP="00650A99">
            <w:pPr>
              <w:pStyle w:val="Tabulka"/>
              <w:keepNext/>
              <w:keepLines/>
              <w:rPr>
                <w:rFonts w:cs="Calibri"/>
              </w:rPr>
            </w:pPr>
            <w:r w:rsidRPr="00DD47DF">
              <w:rPr>
                <w:rFonts w:cs="Calibri"/>
              </w:rPr>
              <w:t>ročně</w:t>
            </w:r>
          </w:p>
        </w:tc>
      </w:tr>
      <w:tr w:rsidR="007B391E" w:rsidRPr="00DD47DF" w14:paraId="472D3714" w14:textId="77777777">
        <w:trPr>
          <w:trHeight w:hRule="exact" w:val="1856"/>
        </w:trPr>
        <w:tc>
          <w:tcPr>
            <w:tcW w:w="0" w:type="auto"/>
            <w:tcBorders>
              <w:top w:val="single" w:sz="4" w:space="0" w:color="000000"/>
              <w:left w:val="single" w:sz="4" w:space="0" w:color="000000"/>
              <w:bottom w:val="single" w:sz="4" w:space="0" w:color="000000"/>
              <w:right w:val="single" w:sz="4" w:space="0" w:color="000000"/>
            </w:tcBorders>
            <w:vAlign w:val="center"/>
          </w:tcPr>
          <w:p w14:paraId="492CD4A0" w14:textId="77777777" w:rsidR="00941F63" w:rsidRPr="00DD47DF" w:rsidRDefault="008120C1" w:rsidP="009670FD">
            <w:pPr>
              <w:pStyle w:val="Tabulka"/>
              <w:rPr>
                <w:rFonts w:cs="Calibri"/>
              </w:rPr>
            </w:pPr>
            <w:r w:rsidRPr="00DD47DF">
              <w:rPr>
                <w:rFonts w:cs="Calibri"/>
              </w:rPr>
              <w:t>214</w:t>
            </w:r>
            <w:r w:rsidR="00802191" w:rsidRPr="00DD47DF">
              <w:rPr>
                <w:rFonts w:cs="Calibri"/>
              </w:rPr>
              <w:t>11</w:t>
            </w:r>
          </w:p>
        </w:tc>
        <w:tc>
          <w:tcPr>
            <w:tcW w:w="0" w:type="auto"/>
            <w:tcBorders>
              <w:top w:val="single" w:sz="4" w:space="0" w:color="000000"/>
              <w:left w:val="single" w:sz="4" w:space="0" w:color="000000"/>
              <w:bottom w:val="single" w:sz="4" w:space="0" w:color="000000"/>
              <w:right w:val="single" w:sz="4" w:space="0" w:color="000000"/>
            </w:tcBorders>
            <w:vAlign w:val="center"/>
          </w:tcPr>
          <w:p w14:paraId="57E5D424" w14:textId="77777777" w:rsidR="00941F63" w:rsidRPr="00DD47DF" w:rsidRDefault="008E48D1" w:rsidP="00AF574A">
            <w:pPr>
              <w:pStyle w:val="Tabulka"/>
              <w:jc w:val="left"/>
              <w:rPr>
                <w:rFonts w:cs="Calibri"/>
              </w:rPr>
            </w:pPr>
            <w:r w:rsidRPr="00DD47DF">
              <w:rPr>
                <w:rFonts w:cs="Calibri"/>
              </w:rPr>
              <w:t>Tržby z inovované produkce jako % celkových tržeb podniků s produktovou inovací</w:t>
            </w:r>
          </w:p>
        </w:tc>
        <w:tc>
          <w:tcPr>
            <w:tcW w:w="0" w:type="auto"/>
            <w:tcBorders>
              <w:top w:val="single" w:sz="4" w:space="0" w:color="000000"/>
              <w:left w:val="single" w:sz="4" w:space="0" w:color="000000"/>
              <w:bottom w:val="single" w:sz="4" w:space="0" w:color="000000"/>
              <w:right w:val="single" w:sz="4" w:space="0" w:color="000000"/>
            </w:tcBorders>
            <w:vAlign w:val="center"/>
          </w:tcPr>
          <w:p w14:paraId="27085700" w14:textId="77777777" w:rsidR="00941F63" w:rsidRPr="00DD47DF" w:rsidRDefault="008E48D1" w:rsidP="009670FD">
            <w:pPr>
              <w:pStyle w:val="Tabulka"/>
              <w:rPr>
                <w:rFonts w:cs="Calibri"/>
              </w:rPr>
            </w:pPr>
            <w:r w:rsidRPr="00DD47DF">
              <w:rPr>
                <w:rFonts w:cs="Calibri"/>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05FE6063" w14:textId="77777777" w:rsidR="00941F63" w:rsidRPr="00DD47DF" w:rsidRDefault="00B71997" w:rsidP="009670FD">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0AC47116" w14:textId="77777777" w:rsidR="00941F63" w:rsidRPr="00DD47DF" w:rsidRDefault="008E48D1" w:rsidP="009670FD">
            <w:pPr>
              <w:pStyle w:val="Tabulka"/>
              <w:rPr>
                <w:rFonts w:cs="Calibri"/>
              </w:rPr>
            </w:pPr>
            <w:r w:rsidRPr="00DD47DF">
              <w:rPr>
                <w:rFonts w:cs="Calibri"/>
              </w:rPr>
              <w:t>29,2</w:t>
            </w:r>
          </w:p>
        </w:tc>
        <w:tc>
          <w:tcPr>
            <w:tcW w:w="0" w:type="auto"/>
            <w:tcBorders>
              <w:top w:val="single" w:sz="4" w:space="0" w:color="000000"/>
              <w:left w:val="single" w:sz="4" w:space="0" w:color="000000"/>
              <w:bottom w:val="single" w:sz="4" w:space="0" w:color="000000"/>
              <w:right w:val="single" w:sz="4" w:space="0" w:color="000000"/>
            </w:tcBorders>
            <w:vAlign w:val="center"/>
          </w:tcPr>
          <w:p w14:paraId="2D331888" w14:textId="77777777" w:rsidR="00941F63" w:rsidRPr="00DD47DF" w:rsidRDefault="008E48D1" w:rsidP="009670FD">
            <w:pPr>
              <w:pStyle w:val="Tabulka"/>
              <w:rPr>
                <w:rFonts w:cs="Calibri"/>
              </w:rPr>
            </w:pPr>
            <w:r w:rsidRPr="00DD47DF">
              <w:rPr>
                <w:rFonts w:cs="Calibri"/>
              </w:rPr>
              <w:t>2012</w:t>
            </w:r>
          </w:p>
        </w:tc>
        <w:tc>
          <w:tcPr>
            <w:tcW w:w="0" w:type="auto"/>
            <w:tcBorders>
              <w:top w:val="single" w:sz="4" w:space="0" w:color="000000"/>
              <w:left w:val="single" w:sz="4" w:space="0" w:color="000000"/>
              <w:bottom w:val="single" w:sz="4" w:space="0" w:color="000000"/>
              <w:right w:val="single" w:sz="4" w:space="0" w:color="000000"/>
            </w:tcBorders>
            <w:vAlign w:val="center"/>
          </w:tcPr>
          <w:p w14:paraId="1C40F472" w14:textId="77777777" w:rsidR="00941F63" w:rsidRPr="00DD47DF" w:rsidRDefault="006D0B8B" w:rsidP="009670FD">
            <w:pPr>
              <w:pStyle w:val="Tabulka"/>
              <w:rPr>
                <w:rFonts w:cs="Calibri"/>
              </w:rPr>
            </w:pPr>
            <w:r w:rsidRPr="00DD47DF">
              <w:rPr>
                <w:rFonts w:cs="Calibri"/>
              </w:rPr>
              <w:t>29,8 – 31</w:t>
            </w:r>
            <w:r w:rsidR="007E6815" w:rsidRPr="00DD47DF">
              <w:rPr>
                <w:rStyle w:val="Znakapoznpodarou"/>
                <w:rFonts w:cs="Calibri"/>
              </w:rPr>
              <w:footnoteReference w:id="36"/>
            </w:r>
          </w:p>
        </w:tc>
        <w:tc>
          <w:tcPr>
            <w:tcW w:w="0" w:type="auto"/>
            <w:tcBorders>
              <w:top w:val="single" w:sz="4" w:space="0" w:color="000000"/>
              <w:left w:val="single" w:sz="4" w:space="0" w:color="000000"/>
              <w:bottom w:val="single" w:sz="4" w:space="0" w:color="000000"/>
              <w:right w:val="single" w:sz="4" w:space="0" w:color="000000"/>
            </w:tcBorders>
            <w:vAlign w:val="center"/>
          </w:tcPr>
          <w:p w14:paraId="02EE877E" w14:textId="77777777" w:rsidR="00941F63" w:rsidRPr="00DD47DF" w:rsidRDefault="008E48D1" w:rsidP="001A189B">
            <w:pPr>
              <w:pStyle w:val="Tabulka"/>
              <w:rPr>
                <w:rFonts w:cs="Calibri"/>
              </w:rPr>
            </w:pPr>
            <w:r w:rsidRPr="00DD47DF">
              <w:rPr>
                <w:rFonts w:cs="Calibri"/>
              </w:rPr>
              <w:t>ČSÚ (šetření o inovacích, CIS)</w:t>
            </w:r>
          </w:p>
        </w:tc>
        <w:tc>
          <w:tcPr>
            <w:tcW w:w="0" w:type="auto"/>
            <w:tcBorders>
              <w:top w:val="single" w:sz="4" w:space="0" w:color="000000"/>
              <w:left w:val="single" w:sz="4" w:space="0" w:color="000000"/>
              <w:bottom w:val="single" w:sz="4" w:space="0" w:color="000000"/>
              <w:right w:val="single" w:sz="4" w:space="0" w:color="000000"/>
            </w:tcBorders>
            <w:vAlign w:val="center"/>
          </w:tcPr>
          <w:p w14:paraId="13D0AA98" w14:textId="77777777" w:rsidR="00941F63" w:rsidRPr="00DD47DF" w:rsidRDefault="00170A59" w:rsidP="009670FD">
            <w:pPr>
              <w:pStyle w:val="Tabulka"/>
              <w:rPr>
                <w:rFonts w:cs="Calibri"/>
              </w:rPr>
            </w:pPr>
            <w:r w:rsidRPr="00DD47DF">
              <w:rPr>
                <w:rFonts w:cs="Calibri"/>
              </w:rPr>
              <w:t>2 roky</w:t>
            </w:r>
          </w:p>
        </w:tc>
      </w:tr>
    </w:tbl>
    <w:p w14:paraId="2CA6CB0A" w14:textId="77777777" w:rsidR="00A25CBC" w:rsidRPr="00DD47DF" w:rsidRDefault="00A25CBC" w:rsidP="00A25CBC">
      <w:pPr>
        <w:pStyle w:val="kapitola2A0"/>
        <w:numPr>
          <w:ilvl w:val="2"/>
          <w:numId w:val="127"/>
        </w:numPr>
      </w:pPr>
      <w:bookmarkStart w:id="30" w:name="_Toc351464360"/>
      <w:bookmarkStart w:id="31" w:name="_Toc520445249"/>
      <w:r w:rsidRPr="00DD47DF">
        <w:t>Opatření, jež má být podpořeno v rámci investiční priority</w:t>
      </w:r>
      <w:bookmarkEnd w:id="31"/>
    </w:p>
    <w:p w14:paraId="15C81122" w14:textId="77777777" w:rsidR="00A25CBC" w:rsidRPr="00DD47DF" w:rsidRDefault="00A25CBC" w:rsidP="00A25CBC">
      <w:pPr>
        <w:pStyle w:val="Nadpis5"/>
        <w:numPr>
          <w:ilvl w:val="4"/>
          <w:numId w:val="11"/>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3745F84E" w14:textId="77777777" w:rsidR="00A25CBC" w:rsidRPr="00DD47DF" w:rsidRDefault="00A25CBC" w:rsidP="00A25CBC">
      <w:pPr>
        <w:pStyle w:val="Modrnadpis"/>
        <w:rPr>
          <w:rFonts w:cs="Calibri"/>
        </w:rPr>
      </w:pPr>
      <w:r w:rsidRPr="00DD47DF">
        <w:t>SPECIFICKÝ CÍL 1.1: Zvýšit inovační výkonnost podniků</w:t>
      </w:r>
      <w:r w:rsidRPr="00DD47DF">
        <w:rPr>
          <w:rStyle w:val="Odkaznakoment"/>
          <w:b w:val="0"/>
        </w:rPr>
        <w:t xml:space="preserve"> </w:t>
      </w:r>
    </w:p>
    <w:p w14:paraId="12538F99" w14:textId="77777777" w:rsidR="00A25CBC" w:rsidRPr="00DD47DF" w:rsidRDefault="00A25CBC" w:rsidP="00A25CBC">
      <w:pPr>
        <w:pStyle w:val="Standardntext"/>
        <w:keepNext/>
        <w:keepLines/>
        <w:rPr>
          <w:b/>
        </w:rPr>
      </w:pPr>
      <w:r w:rsidRPr="00DD47DF">
        <w:rPr>
          <w:b/>
        </w:rPr>
        <w:t xml:space="preserve">Aktivity pro tento specifický cíl: </w:t>
      </w:r>
    </w:p>
    <w:p w14:paraId="2AB88A18" w14:textId="77777777" w:rsidR="00A25CBC" w:rsidRPr="00DD47DF" w:rsidRDefault="00A25CBC" w:rsidP="00A25CBC">
      <w:pPr>
        <w:pStyle w:val="Standardntext"/>
        <w:keepNext/>
        <w:keepLines/>
        <w:numPr>
          <w:ilvl w:val="0"/>
          <w:numId w:val="47"/>
        </w:numPr>
      </w:pPr>
      <w:r w:rsidRPr="00DD47DF">
        <w:t>Zakládání a rozvoj podnikových výzkumných a vývojových center ve vazbě na jasně definovanou, životaschopnou strategii firmy,</w:t>
      </w:r>
    </w:p>
    <w:p w14:paraId="04968653" w14:textId="77777777" w:rsidR="00A25CBC" w:rsidRPr="00DD47DF" w:rsidRDefault="00A25CBC" w:rsidP="00A25CBC">
      <w:pPr>
        <w:pStyle w:val="Standardntext"/>
        <w:numPr>
          <w:ilvl w:val="0"/>
          <w:numId w:val="47"/>
        </w:numPr>
      </w:pPr>
      <w:r w:rsidRPr="00DD47DF">
        <w:t>zavádění inovací výrobků a služeb do výroby a jejich uvedení na trh (např. up-scaling, pilotní výrobní linky apod.), zavádění procesních a marketingových inovací,</w:t>
      </w:r>
    </w:p>
    <w:p w14:paraId="1DABDC32" w14:textId="77777777" w:rsidR="00A25CBC" w:rsidRPr="00DD47DF" w:rsidRDefault="00A25CBC" w:rsidP="00A25CBC">
      <w:pPr>
        <w:pStyle w:val="Standardntext"/>
        <w:numPr>
          <w:ilvl w:val="0"/>
          <w:numId w:val="47"/>
        </w:numPr>
      </w:pPr>
      <w:r w:rsidRPr="00DD47DF">
        <w:t>ochrana duševního vlastnictví v podnicích, včetně pilotních projektů moderních metod ošetření duševního vlastnictví,</w:t>
      </w:r>
    </w:p>
    <w:p w14:paraId="652B2CEC" w14:textId="35C5858C" w:rsidR="00A25CBC" w:rsidRPr="00DD47DF" w:rsidRDefault="00A25CBC" w:rsidP="00A25CBC">
      <w:pPr>
        <w:pStyle w:val="Standardntext"/>
        <w:numPr>
          <w:ilvl w:val="0"/>
          <w:numId w:val="47"/>
        </w:numPr>
      </w:pPr>
      <w:r w:rsidRPr="00DD47DF">
        <w:t>průmyslový výzkum a vývoj</w:t>
      </w:r>
      <w:r w:rsidR="00391B39">
        <w:t>.</w:t>
      </w:r>
      <w:r w:rsidRPr="00DD47DF">
        <w:t xml:space="preserve"> </w:t>
      </w:r>
    </w:p>
    <w:p w14:paraId="4B094856" w14:textId="77777777" w:rsidR="00A25CBC" w:rsidRPr="00DD47DF" w:rsidRDefault="00A25CBC" w:rsidP="00A25CBC">
      <w:pPr>
        <w:pStyle w:val="Standardntext"/>
      </w:pPr>
      <w:r w:rsidRPr="00DD47DF">
        <w:t xml:space="preserve">Zvýšením inovační výkonnosti se rozumí schopnost podniků uvádět nové produkty na trh, provádět vlastní výzkum a vývoj a komercializovat jeho výsledky. Typovým příjemcem </w:t>
      </w:r>
      <w:r w:rsidRPr="00DD47DF">
        <w:lastRenderedPageBreak/>
        <w:t>podpory je inovativní malý a střední podnik působící v high-tech nebo medium-tech odvětví. Předpokládá se podpora technických i netechnických inovací.</w:t>
      </w:r>
      <w:r w:rsidRPr="00DD47DF">
        <w:rPr>
          <w:rStyle w:val="Znakapoznpodarou"/>
        </w:rPr>
        <w:footnoteReference w:id="37"/>
      </w:r>
    </w:p>
    <w:p w14:paraId="3E28D92B" w14:textId="77777777" w:rsidR="00A25CBC" w:rsidRPr="00DD47DF" w:rsidRDefault="00A25CBC" w:rsidP="00A25CBC">
      <w:pPr>
        <w:pStyle w:val="Standardntext"/>
      </w:pPr>
      <w:r w:rsidRPr="00DD47DF">
        <w:t xml:space="preserve">Typovým inovačním projektem bude </w:t>
      </w:r>
      <w:r w:rsidRPr="00DD47DF">
        <w:rPr>
          <w:b/>
        </w:rPr>
        <w:t>zavedení nových výrobků do výroby a jejich uvedení na trh</w:t>
      </w:r>
      <w:r w:rsidRPr="00DD47DF">
        <w:t xml:space="preserve"> a dále související zvýšení efektivnosti výrobních procesů a dalších procesních inovací (zavedení nových metod organizace firemních procesů, inovace procesu vývoje a zavádění nových výrobků, procesy produktové certifikace, zavedení nových prodejních kanálů, apod.). Zvláštní pozornost zde bude věnována ekoinovacím</w:t>
      </w:r>
      <w:r w:rsidRPr="00DD47DF">
        <w:rPr>
          <w:rStyle w:val="Znakapoznpodarou"/>
        </w:rPr>
        <w:footnoteReference w:id="38"/>
      </w:r>
      <w:r w:rsidRPr="00DD47DF">
        <w:t>. Produktové i procesní inovace jsou převážně výsledkem předchozího výzkumu a vývoje nebo realizovaného transferu technologií. Součástí projektu je vybavení provozovny nezbytným zařízením pro zavedení inovace a specializované poradenství, které může zahrnovat služby v oblasti transferu technologií, podpory vstupu na cizí trh, poradenství v oblasti norem a standardů, přístup k patentům. Výstupem projektů jsou inovované výrobky a služby, zejména inovace vyšších řádů, jejichž zavedení na trh povede k růstu tržeb podnikatelských subjektů provádějících vlastní inovace.</w:t>
      </w:r>
    </w:p>
    <w:p w14:paraId="40201CDD" w14:textId="77777777" w:rsidR="00A25CBC" w:rsidRPr="00DD47DF" w:rsidRDefault="00A25CBC" w:rsidP="00A25CBC">
      <w:pPr>
        <w:pStyle w:val="Standardntext"/>
      </w:pPr>
      <w:r w:rsidRPr="00DD47DF">
        <w:rPr>
          <w:b/>
        </w:rPr>
        <w:t xml:space="preserve">Projekty založení nebo rozvoje podnikových center průmyslového výzkumu, vývoje a inovací </w:t>
      </w:r>
      <w:r w:rsidRPr="00DD47DF">
        <w:t>spočívají zejména v pořízení vybavení nezbytného pro činnost centra a výlučně využívaného pro zajištění aktivit tohoto centra. Výstupem projektů je tedy vznik či rozšíření vývojového centra (oddělení) zaměřeného na průmyslový výzkum, vývoj a inovace výrobků a technologií, včetně specifického software a aplikací vedoucí k implementaci technologicky nových či zlepšení stávajících produktů, produkčních řad, výrobních procesů a technologií, pokud existuje předpoklad, že budou přeneseny a použity ve výrobě. Tento způsob podpory nepřímo zvyšuje poptávku po výsledcích výzkumu a vývoje a zároveň přímo podporuje jejich vlastní tvorbu, což ve střednědobém horizontu rovněž povede k růstu tržeb z inovací. Tyto faktory dále ovlivní růst podnikových výdajů na VaV a další inovační činnosti.</w:t>
      </w:r>
    </w:p>
    <w:p w14:paraId="2B0026C0" w14:textId="77777777" w:rsidR="00A25CBC" w:rsidRPr="00DD47DF" w:rsidRDefault="00A25CBC" w:rsidP="00A25CBC">
      <w:pPr>
        <w:pStyle w:val="Standardntext"/>
      </w:pPr>
      <w:r w:rsidRPr="00DD47DF">
        <w:t xml:space="preserve">V oblasti </w:t>
      </w:r>
      <w:r w:rsidRPr="00DD47DF">
        <w:rPr>
          <w:b/>
        </w:rPr>
        <w:t xml:space="preserve">duševního vlastnictví </w:t>
      </w:r>
      <w:r w:rsidRPr="00DD47DF">
        <w:t>se jedná o projekty, které zahrnují aktivity a související náklady, jejichž výstupem jsou podané přihlášky na ochranu práv průmyslového vlastnictví a výsledkem získání a uznání patentů a jiných práv k průmyslovému vlastnictví (užitný vzor, průmyslový vzor, ochranná známka), Cílem je účinnější ochrana podnikového duševního vlastnictví, a to zejména na zahraničních trzích.</w:t>
      </w:r>
    </w:p>
    <w:p w14:paraId="3FDB4CC5" w14:textId="77777777" w:rsidR="00A25CBC" w:rsidRPr="00DD47DF" w:rsidRDefault="00A25CBC" w:rsidP="00A25CBC">
      <w:pPr>
        <w:spacing w:after="120"/>
        <w:jc w:val="both"/>
        <w:rPr>
          <w:sz w:val="24"/>
          <w:szCs w:val="24"/>
        </w:rPr>
      </w:pPr>
      <w:r w:rsidRPr="00DD47DF">
        <w:rPr>
          <w:sz w:val="24"/>
          <w:szCs w:val="24"/>
        </w:rPr>
        <w:t xml:space="preserve">Mezi klíčové aktivity SC 1.1 náleží podpora projektů </w:t>
      </w:r>
      <w:r w:rsidRPr="00DD47DF">
        <w:rPr>
          <w:b/>
          <w:sz w:val="24"/>
          <w:szCs w:val="24"/>
        </w:rPr>
        <w:t>průmyslového výzkumu a experimentálního vývoje</w:t>
      </w:r>
      <w:r w:rsidRPr="00DD47DF">
        <w:rPr>
          <w:sz w:val="24"/>
          <w:szCs w:val="24"/>
        </w:rPr>
        <w:t xml:space="preserve">, jejichž hlavním cílem je tvorba nových znalostí potřebných pro vývoj nových produktů, materiálů, technologií a služeb. Výstupem těchto projektů jsou zejména funkční prototyp, poloprovoz, ověřená technologie, software, průmyslový vzor apod. Řešiteli projektů mohou být individuální subjekty i konsorcia složená z více partnerů z podnikatelské i výzkumné sféry. Výsledky aplikovaného výzkumu povedou k zavádění inovací vyšších řádů a k tvorbě produktů konkurenceschopných na světových trzích. Typovým projektem bude konsorcium vedené malým a středním podnikem, případně projekty MSP řešené externí organizací s výzkumnými kapacitami (tzv. RTD provider) smluvním výzkumem. Specifická pozornost bude věnována výzkumu v oblasti průmyslových výzev a klíčových </w:t>
      </w:r>
      <w:r w:rsidRPr="00DD47DF">
        <w:rPr>
          <w:sz w:val="24"/>
          <w:szCs w:val="24"/>
        </w:rPr>
        <w:lastRenderedPageBreak/>
        <w:t>technologií (KETs)</w:t>
      </w:r>
      <w:r w:rsidRPr="00DD47DF">
        <w:rPr>
          <w:sz w:val="24"/>
          <w:szCs w:val="24"/>
          <w:vertAlign w:val="superscript"/>
        </w:rPr>
        <w:footnoteReference w:id="39"/>
      </w:r>
      <w:r w:rsidRPr="00DD47DF">
        <w:rPr>
          <w:sz w:val="24"/>
          <w:szCs w:val="24"/>
        </w:rPr>
        <w:t>, které mají značný potenciál pro urychlení modernizace firemní základny i pro vznik nových aplikačních oblastí a průmyslových odvětví s vazbou na RIS3 strategii. Jedná se zejména o orientovaný výzkum v oblastech nanotechnologie; mikro- a nanoelektronika, včetně polovodičů; fotonika; pokrokové materiály a průmyslové biotechnologie, ICT. Tyto oblasti odpovídají i znalostním doménám specifikovaným v RIS3 (materiálový výzkum, nanotechnologie, mikro a nanoelektronika, fotonika, pokročilé výrobní technologie, průmyslové biotechnologie). Předpokládá se také realizace přeshraničních projektů průmyslového výzkumu (např. v režimu navazujícím na bývalé sítě ERA-NET, tj. podpora řešitelů několika poskytovateli z různých zemí)</w:t>
      </w:r>
      <w:r w:rsidRPr="00DD47DF">
        <w:rPr>
          <w:sz w:val="24"/>
          <w:szCs w:val="24"/>
          <w:vertAlign w:val="superscript"/>
        </w:rPr>
        <w:footnoteReference w:id="40"/>
      </w:r>
      <w:r w:rsidRPr="00DD47DF">
        <w:rPr>
          <w:sz w:val="24"/>
          <w:szCs w:val="24"/>
        </w:rPr>
        <w:t>.</w:t>
      </w:r>
    </w:p>
    <w:p w14:paraId="0335E753" w14:textId="2FC69025" w:rsidR="00A25CBC" w:rsidRPr="00DD47DF" w:rsidRDefault="00A25CBC" w:rsidP="00A25CBC">
      <w:pPr>
        <w:pStyle w:val="Standardntext"/>
      </w:pPr>
      <w:r w:rsidRPr="00DD47DF">
        <w:rPr>
          <w:b/>
        </w:rPr>
        <w:t xml:space="preserve">Hlavní cílová skupina: </w:t>
      </w:r>
      <w:r w:rsidRPr="00DD47DF">
        <w:t>Podnikatelské subjekty, výzkumné organizace</w:t>
      </w:r>
      <w:r w:rsidRPr="00DD47DF">
        <w:rPr>
          <w:bCs/>
        </w:rPr>
        <w:t>.</w:t>
      </w:r>
    </w:p>
    <w:p w14:paraId="45F81EBD" w14:textId="77777777" w:rsidR="00A25CBC" w:rsidRPr="00DD47DF" w:rsidRDefault="00A25CBC" w:rsidP="00A25CBC">
      <w:pPr>
        <w:pStyle w:val="Standardntext"/>
      </w:pPr>
      <w:r w:rsidRPr="00DD47DF">
        <w:rPr>
          <w:b/>
        </w:rPr>
        <w:t xml:space="preserve">Cílové území: </w:t>
      </w:r>
      <w:r w:rsidRPr="00DD47DF">
        <w:t>Území České republiky, mimo území hl. města Prahy. Z hlediska územní dimenze bude tento specifický cíl zaměřen na rozvojová a urbánní území, kde se předpokládá zapojení do integrovaného nástroje ITI.</w:t>
      </w:r>
    </w:p>
    <w:p w14:paraId="5AC00C5B" w14:textId="6F94ABB0" w:rsidR="00A25CBC" w:rsidRPr="00DD47DF" w:rsidRDefault="00A25CBC" w:rsidP="00A25CBC">
      <w:pPr>
        <w:pStyle w:val="Standardntext"/>
      </w:pPr>
      <w:r w:rsidRPr="00DD47DF">
        <w:rPr>
          <w:b/>
        </w:rPr>
        <w:t>Typy příjemců:</w:t>
      </w:r>
      <w:r w:rsidRPr="00DD47DF">
        <w:t xml:space="preserve"> Podnikatelské subjekty (zejména malé a střední, v odůvodněných případech velké podniky), organizace pro výzkum a šíření znalostí (tj. subjekty splňující definici Výzkumné organizace dle Rámce pro státní podporu Výzkumu, vývoje a inovací), dále zemědělští podnikatelé</w:t>
      </w:r>
      <w:r w:rsidRPr="00DD47DF">
        <w:rPr>
          <w:rStyle w:val="Znakapoznpodarou"/>
        </w:rPr>
        <w:footnoteReference w:id="41"/>
      </w:r>
      <w:r w:rsidRPr="00DD47DF">
        <w:t xml:space="preserve"> s výstupem projektu mimo seznam uvedený v Příloze I. Smlouvy (o EU) v oblasti VaV a inovací. </w:t>
      </w:r>
    </w:p>
    <w:p w14:paraId="14A6EBC8" w14:textId="358B6D62" w:rsidR="00A25CBC" w:rsidRPr="00DD47DF" w:rsidRDefault="00A25CBC" w:rsidP="00A25CBC">
      <w:pPr>
        <w:pStyle w:val="Standardntext"/>
      </w:pPr>
      <w:r w:rsidRPr="00DD47DF">
        <w:t>V SC 1.1 se předpokládá účast velkých podniků (dle čl. 3 odst. 1 písm. b) nařízení o EFRR), neboť svým výzkumným, vývojovým i inovačním potenciálem zajišťují přidanou hodnotu pro vysoký počet MSP, které jsou jejich subdodavateli a se kterými vstupují do společných výzkumných projektů. Výzkumné a inovační aktivity velkých podniků vytvářejí větší poptávku po produktech a službách MSP. Spolupráce s velkými podniky a využití jejich přeshraničních vazeb také usnadňuje vstup malých a středních podniků na globální trhy. Další skutečností je, že velké podniky se zaměřují na inovace vyšších řádů, které si mnohé MSP nemohou dovolit vzhledem k délce procesu. Vzhledem k významnému podílu velkých podniků na zaměstnanosti, produkci či přidané hodnotě v celé ekonomice ČR bude mít účast velkých podniků i výrazný multiplikační efekt k finančním prostředkům investovaným do VaVaI a bude mít přímý dopad na dosažení cílů programu. Velké podniky by se měly zapojit jako příjemci podpory do všech aktivit s výjimkou ochrany duševního vlastnictví.</w:t>
      </w:r>
    </w:p>
    <w:p w14:paraId="62B020A2" w14:textId="77777777" w:rsidR="00A25CBC" w:rsidRPr="00DD47DF" w:rsidRDefault="00A25CBC" w:rsidP="00441D67">
      <w:pPr>
        <w:pStyle w:val="kapitola2A0"/>
        <w:numPr>
          <w:ilvl w:val="2"/>
          <w:numId w:val="128"/>
        </w:numPr>
      </w:pPr>
      <w:bookmarkStart w:id="32" w:name="_Toc520445250"/>
      <w:r w:rsidRPr="00DD47DF">
        <w:t>Specifické cíle odpovídající investiční prioritě a očekávané výsledky</w:t>
      </w:r>
      <w:bookmarkEnd w:id="32"/>
    </w:p>
    <w:p w14:paraId="19E0E3E9" w14:textId="77777777" w:rsidR="00380F31" w:rsidRPr="00DD47DF" w:rsidRDefault="00702500" w:rsidP="00396141">
      <w:pPr>
        <w:pStyle w:val="Modrnadpis"/>
      </w:pPr>
      <w:r w:rsidRPr="00DD47DF">
        <w:t xml:space="preserve">SPECIFICKÝ CÍL </w:t>
      </w:r>
      <w:r w:rsidR="00C71E6F" w:rsidRPr="00DD47DF">
        <w:t>1.</w:t>
      </w:r>
      <w:r w:rsidR="00247D8E" w:rsidRPr="00DD47DF">
        <w:t>2</w:t>
      </w:r>
      <w:r w:rsidRPr="00DD47DF">
        <w:t xml:space="preserve">: </w:t>
      </w:r>
      <w:bookmarkEnd w:id="30"/>
      <w:r w:rsidR="00247D8E" w:rsidRPr="00DD47DF">
        <w:t>Zvýš</w:t>
      </w:r>
      <w:r w:rsidR="00771951" w:rsidRPr="00DD47DF">
        <w:t xml:space="preserve">it </w:t>
      </w:r>
      <w:r w:rsidR="00247D8E" w:rsidRPr="00DD47DF">
        <w:t>intenzit</w:t>
      </w:r>
      <w:r w:rsidR="00771951" w:rsidRPr="00DD47DF">
        <w:t>u</w:t>
      </w:r>
      <w:r w:rsidR="00247D8E" w:rsidRPr="00DD47DF">
        <w:t xml:space="preserve"> a účinnost spolupráce ve výzkumu, vývoji a inovacích</w:t>
      </w:r>
    </w:p>
    <w:p w14:paraId="63941B30" w14:textId="77777777" w:rsidR="00380F31" w:rsidRPr="00DD47DF" w:rsidRDefault="00ED2AA8" w:rsidP="007C48EE">
      <w:pPr>
        <w:pStyle w:val="Standardntext"/>
      </w:pPr>
      <w:r w:rsidRPr="00DD47DF">
        <w:t xml:space="preserve">Zkvalitňování služeb podpůrné infrastruktury povede ke zvýšení intenzity společných výzkumných, vývojových a inovačních aktivit mezi podnikatelskými subjekty a mezi </w:t>
      </w:r>
      <w:r w:rsidR="00301B17" w:rsidRPr="00DD47DF">
        <w:t>veřejným</w:t>
      </w:r>
      <w:r w:rsidRPr="00DD47DF">
        <w:t xml:space="preserve"> a podnikovým sektorem. Naplňování specifického cíle přispěje k většímu počtu transferů </w:t>
      </w:r>
      <w:r w:rsidRPr="00DD47DF">
        <w:lastRenderedPageBreak/>
        <w:t>technologií a znalostí, zvýšení mobility, mezisektorové spolupráce a zlepšování podmínek pro rozvoj inovačních firem a konkurenční výhody jako zásadního prvku ovlivňujícího efektivitu celého inovačního systému v ČR.</w:t>
      </w:r>
    </w:p>
    <w:p w14:paraId="43E3ED75" w14:textId="77777777" w:rsidR="007B234F" w:rsidRPr="00DD47DF" w:rsidRDefault="003508A9" w:rsidP="007B234F">
      <w:pPr>
        <w:pStyle w:val="Modrnadpis"/>
      </w:pPr>
      <w:r w:rsidRPr="00DD47DF">
        <w:t>Výsledky, kterých chce ČR dosáhnout s podporou Unie</w:t>
      </w:r>
    </w:p>
    <w:p w14:paraId="1A19865C" w14:textId="77777777" w:rsidR="00B2096C" w:rsidRPr="00DD47DF" w:rsidRDefault="002E27F7" w:rsidP="002908E2">
      <w:pPr>
        <w:numPr>
          <w:ilvl w:val="0"/>
          <w:numId w:val="53"/>
        </w:numPr>
        <w:spacing w:after="120"/>
        <w:jc w:val="both"/>
        <w:rPr>
          <w:rFonts w:cs="Calibri"/>
          <w:sz w:val="24"/>
          <w:szCs w:val="24"/>
        </w:rPr>
      </w:pPr>
      <w:r w:rsidRPr="00DD47DF">
        <w:rPr>
          <w:rFonts w:cs="Calibri"/>
          <w:sz w:val="24"/>
          <w:szCs w:val="24"/>
        </w:rPr>
        <w:t xml:space="preserve">Širší spektrum a vyšší kvalita služeb </w:t>
      </w:r>
      <w:r w:rsidR="00B2096C" w:rsidRPr="00DD47DF">
        <w:rPr>
          <w:rFonts w:cs="Calibri"/>
          <w:sz w:val="24"/>
          <w:szCs w:val="24"/>
        </w:rPr>
        <w:t xml:space="preserve">poskytovaných podpůrnou infrastrukturou (vědeckotechnickými parky, inkubátory a inovačními centry) inovačním firmám a dalším aktérům v inovačním systému. Naplňování poslání podpůrné infrastruktury povede k úzkému propojení a efektivní spolupráci privátní sféry s veřejným výzkumným sektorem a přispěje k vytvoření mechanismů dlouhodobé spolupráce různých účastníků inovačního systému. </w:t>
      </w:r>
    </w:p>
    <w:p w14:paraId="60443DA1" w14:textId="77777777" w:rsidR="00B2096C" w:rsidRPr="00DD47DF" w:rsidRDefault="002E27F7" w:rsidP="002908E2">
      <w:pPr>
        <w:numPr>
          <w:ilvl w:val="0"/>
          <w:numId w:val="53"/>
        </w:numPr>
        <w:spacing w:after="120"/>
        <w:jc w:val="both"/>
        <w:rPr>
          <w:rFonts w:cs="Calibri"/>
          <w:sz w:val="24"/>
          <w:szCs w:val="24"/>
        </w:rPr>
      </w:pPr>
      <w:r w:rsidRPr="00DD47DF">
        <w:rPr>
          <w:rFonts w:cs="Calibri"/>
          <w:sz w:val="24"/>
          <w:szCs w:val="24"/>
        </w:rPr>
        <w:t>Efektivnější</w:t>
      </w:r>
      <w:r w:rsidR="00B2096C" w:rsidRPr="00DD47DF">
        <w:rPr>
          <w:rFonts w:cs="Calibri"/>
          <w:sz w:val="24"/>
          <w:szCs w:val="24"/>
        </w:rPr>
        <w:t xml:space="preserve"> zapojení klastrů a dalších inovačních sítí do inovačního systému přispěje ke zlepšení vzájemné spolupráce firem v oblasti VaVaI, definovaní a řešení společných potřeb MSP ve spolupráci s výzkumnou sférou. Excelentní klastry </w:t>
      </w:r>
      <w:r w:rsidR="00B2096C" w:rsidRPr="00DD47DF">
        <w:rPr>
          <w:bCs/>
          <w:sz w:val="24"/>
          <w:szCs w:val="24"/>
        </w:rPr>
        <w:t xml:space="preserve">budou generovat kvalitní výstupy v oblasti VaV a budou schopny se úspěšně zapojovat </w:t>
      </w:r>
      <w:r w:rsidR="00B2096C" w:rsidRPr="00DD47DF">
        <w:rPr>
          <w:rFonts w:cs="Calibri"/>
          <w:sz w:val="24"/>
          <w:szCs w:val="24"/>
        </w:rPr>
        <w:t xml:space="preserve">do evropských výzkumných projektů. </w:t>
      </w:r>
    </w:p>
    <w:p w14:paraId="34FD2AE5" w14:textId="77777777" w:rsidR="00B2096C" w:rsidRPr="00DD47DF" w:rsidRDefault="00B2096C" w:rsidP="002908E2">
      <w:pPr>
        <w:numPr>
          <w:ilvl w:val="0"/>
          <w:numId w:val="53"/>
        </w:numPr>
        <w:spacing w:after="120"/>
        <w:jc w:val="both"/>
        <w:rPr>
          <w:rFonts w:cs="Calibri"/>
          <w:sz w:val="24"/>
          <w:szCs w:val="24"/>
        </w:rPr>
      </w:pPr>
      <w:r w:rsidRPr="00DD47DF">
        <w:rPr>
          <w:rFonts w:cs="Calibri"/>
          <w:sz w:val="24"/>
          <w:szCs w:val="24"/>
        </w:rPr>
        <w:t>Vytvoření a naplňování střednědobých až dlouhodobých vizí technologického vývoje v návaznosti na otázky budoucího hospodářského růstu, konkurenceschopnosti a trvale udržitelného rozvoje v České republice i v Evropě prostřednictvím technologických platforem povede ke zkvalitnění podnikatelského prostředí a strategického zacílení výzkumu a vývoje ve významných technologických oblastech na národní nebo mezinárodní úrovni.</w:t>
      </w:r>
    </w:p>
    <w:p w14:paraId="6F63721F" w14:textId="77777777" w:rsidR="00B2096C" w:rsidRPr="00DD47DF" w:rsidRDefault="00B2096C" w:rsidP="002908E2">
      <w:pPr>
        <w:numPr>
          <w:ilvl w:val="0"/>
          <w:numId w:val="53"/>
        </w:numPr>
        <w:spacing w:after="120"/>
        <w:jc w:val="both"/>
        <w:rPr>
          <w:rFonts w:cs="Calibri"/>
          <w:sz w:val="24"/>
          <w:szCs w:val="24"/>
        </w:rPr>
      </w:pPr>
      <w:r w:rsidRPr="00DD47DF">
        <w:rPr>
          <w:rFonts w:cs="Calibri"/>
          <w:sz w:val="24"/>
          <w:szCs w:val="24"/>
        </w:rPr>
        <w:t xml:space="preserve">Vyšší využití výsledků výzkumu s potenciálem komerčního využití založeného na předpokladu intenzivní spolupráce výzkumných organizací se subjekty aplikační sféry prostřednictvím tzv. proof-of-concept. </w:t>
      </w:r>
    </w:p>
    <w:p w14:paraId="551E14C8" w14:textId="77777777" w:rsidR="00B2096C" w:rsidRPr="00DD47DF" w:rsidRDefault="00B2096C" w:rsidP="002908E2">
      <w:pPr>
        <w:pStyle w:val="Standardntext"/>
        <w:numPr>
          <w:ilvl w:val="0"/>
          <w:numId w:val="53"/>
        </w:numPr>
      </w:pPr>
      <w:r w:rsidRPr="00DD47DF">
        <w:t>Posílení mobility a transferu znalostí mezi podnikovou a akademickou sférou s cílem zavádění produktových a procesních inovací v podnicích a sblížení výzkumných témat prováděných ve veřejném sektoru s potřebami podniků. Nárůst interakcí mezi podniky a veřejnými VaV a vzdělávacími institucemi povede k lepšímu porozumění jejich skutečným přínosům na obou stranách a většímu otevření univerzit ke spolupráci s podnikatelskou sférou.</w:t>
      </w:r>
    </w:p>
    <w:p w14:paraId="7E1030DE" w14:textId="77777777" w:rsidR="00A90CB3" w:rsidRPr="00DD47DF" w:rsidRDefault="00A90CB3" w:rsidP="00073A01">
      <w:pPr>
        <w:pStyle w:val="Titulek"/>
        <w:keepNext/>
        <w:keepLines/>
        <w:rPr>
          <w:rFonts w:cs="Calibri"/>
        </w:rPr>
      </w:pPr>
      <w:r w:rsidRPr="00DD47DF">
        <w:rPr>
          <w:rFonts w:cs="Calibri"/>
        </w:rPr>
        <w:t xml:space="preserve">Tabulka </w:t>
      </w:r>
      <w:r w:rsidR="002756E7" w:rsidRPr="00DD47DF">
        <w:rPr>
          <w:rFonts w:cs="Calibri"/>
        </w:rPr>
        <w:fldChar w:fldCharType="begin"/>
      </w:r>
      <w:r w:rsidR="002A1792" w:rsidRPr="00DD47DF">
        <w:rPr>
          <w:rFonts w:cs="Calibri"/>
        </w:rPr>
        <w:instrText xml:space="preserve"> SEQ Tabulka \* ARABIC \c </w:instrText>
      </w:r>
      <w:r w:rsidR="002756E7" w:rsidRPr="00DD47DF">
        <w:rPr>
          <w:rFonts w:cs="Calibri"/>
        </w:rPr>
        <w:fldChar w:fldCharType="separate"/>
      </w:r>
      <w:r w:rsidR="00117847">
        <w:rPr>
          <w:rFonts w:cs="Calibri"/>
          <w:noProof/>
        </w:rPr>
        <w:t>3</w:t>
      </w:r>
      <w:r w:rsidR="002756E7" w:rsidRPr="00DD47DF">
        <w:rPr>
          <w:rFonts w:cs="Calibri"/>
        </w:rPr>
        <w:fldChar w:fldCharType="end"/>
      </w:r>
      <w:r w:rsidR="000F7B0A" w:rsidRPr="00DD47DF">
        <w:rPr>
          <w:rFonts w:cs="Calibri"/>
        </w:rPr>
        <w:t>b</w:t>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0" w:type="auto"/>
        <w:tblCellMar>
          <w:left w:w="57" w:type="dxa"/>
          <w:right w:w="57" w:type="dxa"/>
        </w:tblCellMar>
        <w:tblLook w:val="01E0" w:firstRow="1" w:lastRow="1" w:firstColumn="1" w:lastColumn="1" w:noHBand="0" w:noVBand="0"/>
      </w:tblPr>
      <w:tblGrid>
        <w:gridCol w:w="665"/>
        <w:gridCol w:w="2033"/>
        <w:gridCol w:w="946"/>
        <w:gridCol w:w="1225"/>
        <w:gridCol w:w="915"/>
        <w:gridCol w:w="886"/>
        <w:gridCol w:w="934"/>
        <w:gridCol w:w="688"/>
        <w:gridCol w:w="1034"/>
      </w:tblGrid>
      <w:tr w:rsidR="00CF739D" w:rsidRPr="00DD47DF" w14:paraId="2562B094" w14:textId="77777777">
        <w:trPr>
          <w:trHeight w:hRule="exact" w:val="1276"/>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E2FAA49" w14:textId="77777777" w:rsidR="00CF739D" w:rsidRPr="00DD47DF" w:rsidRDefault="00CF739D" w:rsidP="001B2E5C">
            <w:pPr>
              <w:pStyle w:val="Tabulka"/>
              <w:rPr>
                <w:rFonts w:cs="Calibri"/>
                <w:b/>
                <w:bCs/>
              </w:rPr>
            </w:pPr>
            <w:r w:rsidRPr="00DD47DF">
              <w:rPr>
                <w:rFonts w:cs="Calibri"/>
                <w:b/>
                <w:bCs/>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5A49341" w14:textId="77777777" w:rsidR="00CF739D" w:rsidRPr="00DD47DF" w:rsidRDefault="00CF739D" w:rsidP="001B2E5C">
            <w:pPr>
              <w:pStyle w:val="Tabulka"/>
              <w:rPr>
                <w:rFonts w:cs="Calibri"/>
                <w:b/>
                <w:bCs/>
              </w:rPr>
            </w:pPr>
            <w:r w:rsidRPr="00DD47DF">
              <w:rPr>
                <w:rFonts w:cs="Calibri"/>
                <w:b/>
                <w:bCs/>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5B1EB32" w14:textId="77777777" w:rsidR="00CF739D" w:rsidRPr="00DD47DF" w:rsidRDefault="00CF739D" w:rsidP="001B2E5C">
            <w:pPr>
              <w:pStyle w:val="Tabulka"/>
              <w:rPr>
                <w:rFonts w:cs="Calibri"/>
                <w:b/>
                <w:bCs/>
              </w:rPr>
            </w:pPr>
            <w:r w:rsidRPr="00DD47DF">
              <w:rPr>
                <w:rFonts w:cs="Calibri"/>
                <w:b/>
                <w:bCs/>
              </w:rPr>
              <w:t>Měrná</w:t>
            </w:r>
          </w:p>
          <w:p w14:paraId="7598BB0C" w14:textId="77777777" w:rsidR="00CF739D" w:rsidRPr="00DD47DF" w:rsidRDefault="00CF739D" w:rsidP="001B2E5C">
            <w:pPr>
              <w:pStyle w:val="Tabulka"/>
              <w:rPr>
                <w:rFonts w:cs="Calibri"/>
                <w:b/>
                <w:bCs/>
              </w:rPr>
            </w:pPr>
            <w:r w:rsidRPr="00DD47DF">
              <w:rPr>
                <w:rFonts w:cs="Calibri"/>
                <w:b/>
                <w:bCs/>
              </w:rPr>
              <w:t>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F4CAC0C" w14:textId="77777777" w:rsidR="00CF739D" w:rsidRPr="00DD47DF" w:rsidRDefault="00CF739D" w:rsidP="001B2E5C">
            <w:pPr>
              <w:pStyle w:val="Tabulka"/>
              <w:rPr>
                <w:rFonts w:cs="Calibri"/>
                <w:b/>
                <w:bCs/>
              </w:rPr>
            </w:pPr>
            <w:r w:rsidRPr="00DD47DF">
              <w:rPr>
                <w:rFonts w:cs="Calibri"/>
                <w:b/>
                <w:bCs/>
              </w:rPr>
              <w:t>Kategorie regionů (je-li relevantní)</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B714FC1" w14:textId="77777777" w:rsidR="00CF739D" w:rsidRPr="00DD47DF" w:rsidRDefault="004B0854" w:rsidP="001B2E5C">
            <w:pPr>
              <w:pStyle w:val="Tabulka"/>
              <w:rPr>
                <w:rFonts w:cs="Calibri"/>
                <w:b/>
                <w:bCs/>
              </w:rPr>
            </w:pPr>
            <w:r w:rsidRPr="00DD47DF">
              <w:rPr>
                <w:rFonts w:cs="Calibri"/>
                <w:b/>
                <w:bCs/>
              </w:rPr>
              <w:t>Výchozí</w:t>
            </w:r>
            <w:r w:rsidR="00CF739D" w:rsidRPr="00DD47DF">
              <w:rPr>
                <w:rFonts w:cs="Calibri"/>
                <w:b/>
                <w:bCs/>
              </w:rPr>
              <w:t xml:space="preserve"> hodnota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50D81A6" w14:textId="77777777" w:rsidR="00CF739D" w:rsidRPr="00DD47DF" w:rsidRDefault="004B0854" w:rsidP="004B0854">
            <w:pPr>
              <w:pStyle w:val="Tabulka"/>
              <w:rPr>
                <w:rFonts w:cs="Calibri"/>
                <w:b/>
                <w:bCs/>
              </w:rPr>
            </w:pPr>
            <w:r w:rsidRPr="00DD47DF">
              <w:rPr>
                <w:rFonts w:cs="Calibri"/>
                <w:b/>
                <w:bCs/>
              </w:rPr>
              <w:t xml:space="preserve">Výchozí </w:t>
            </w:r>
            <w:r w:rsidR="00CF739D" w:rsidRPr="00DD47DF">
              <w:rPr>
                <w:rFonts w:cs="Calibri"/>
                <w:b/>
                <w:bCs/>
              </w:rPr>
              <w:t>rok</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2336B4F" w14:textId="77777777" w:rsidR="00CF739D" w:rsidRPr="00DD47DF" w:rsidRDefault="00CF739D" w:rsidP="001B2E5C">
            <w:pPr>
              <w:pStyle w:val="Tabulka"/>
              <w:rPr>
                <w:rFonts w:cs="Calibri"/>
                <w:b/>
                <w:bCs/>
              </w:rPr>
            </w:pPr>
            <w:r w:rsidRPr="00DD47DF">
              <w:rPr>
                <w:rFonts w:cs="Calibri"/>
                <w:b/>
                <w:bCs/>
              </w:rPr>
              <w:t>Cílová hodnota (2023)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9A8A3C5" w14:textId="77777777" w:rsidR="00CF739D" w:rsidRPr="00DD47DF" w:rsidRDefault="00CF739D" w:rsidP="001B2E5C">
            <w:pPr>
              <w:pStyle w:val="Tabulka"/>
              <w:rPr>
                <w:rFonts w:cs="Calibri"/>
                <w:b/>
                <w:bCs/>
              </w:rPr>
            </w:pPr>
            <w:r w:rsidRPr="00DD47DF">
              <w:rPr>
                <w:rFonts w:cs="Calibri"/>
                <w:b/>
                <w:bCs/>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59F8FF7" w14:textId="77777777" w:rsidR="00CF739D" w:rsidRPr="00DD47DF" w:rsidRDefault="00CF739D" w:rsidP="001B2E5C">
            <w:pPr>
              <w:pStyle w:val="Tabulka"/>
              <w:rPr>
                <w:rFonts w:cs="Calibri"/>
                <w:b/>
                <w:bCs/>
              </w:rPr>
            </w:pPr>
            <w:r w:rsidRPr="00DD47DF">
              <w:rPr>
                <w:rFonts w:cs="Calibri"/>
                <w:b/>
                <w:bCs/>
              </w:rPr>
              <w:t>Četnost podávání zpráv</w:t>
            </w:r>
          </w:p>
        </w:tc>
      </w:tr>
      <w:tr w:rsidR="009964FE" w:rsidRPr="00DD47DF" w14:paraId="502FF719" w14:textId="77777777" w:rsidTr="008F259C">
        <w:trPr>
          <w:trHeight w:hRule="exact" w:val="2718"/>
        </w:trPr>
        <w:tc>
          <w:tcPr>
            <w:tcW w:w="0" w:type="auto"/>
            <w:tcBorders>
              <w:top w:val="single" w:sz="4" w:space="0" w:color="000000"/>
              <w:left w:val="single" w:sz="4" w:space="0" w:color="000000"/>
              <w:bottom w:val="single" w:sz="4" w:space="0" w:color="000000"/>
              <w:right w:val="single" w:sz="4" w:space="0" w:color="000000"/>
            </w:tcBorders>
            <w:vAlign w:val="center"/>
          </w:tcPr>
          <w:p w14:paraId="561CD9EF" w14:textId="77777777" w:rsidR="009964FE" w:rsidRPr="00DD47DF" w:rsidRDefault="008120C1" w:rsidP="007D5585">
            <w:pPr>
              <w:pStyle w:val="Tabulka"/>
              <w:rPr>
                <w:rFonts w:cs="Calibri"/>
              </w:rPr>
            </w:pPr>
            <w:r w:rsidRPr="00DD47DF">
              <w:rPr>
                <w:rFonts w:cs="Calibri"/>
              </w:rPr>
              <w:lastRenderedPageBreak/>
              <w:t>21011</w:t>
            </w:r>
          </w:p>
        </w:tc>
        <w:tc>
          <w:tcPr>
            <w:tcW w:w="0" w:type="auto"/>
            <w:tcBorders>
              <w:top w:val="single" w:sz="4" w:space="0" w:color="000000"/>
              <w:left w:val="single" w:sz="4" w:space="0" w:color="000000"/>
              <w:bottom w:val="single" w:sz="4" w:space="0" w:color="000000"/>
              <w:right w:val="single" w:sz="4" w:space="0" w:color="000000"/>
            </w:tcBorders>
            <w:vAlign w:val="center"/>
          </w:tcPr>
          <w:p w14:paraId="2BE17A32" w14:textId="77777777" w:rsidR="009964FE" w:rsidRPr="00DD47DF" w:rsidRDefault="00F6040D" w:rsidP="00985574">
            <w:pPr>
              <w:pStyle w:val="Tabulka"/>
              <w:jc w:val="left"/>
              <w:rPr>
                <w:rFonts w:cs="Calibri"/>
              </w:rPr>
            </w:pPr>
            <w:r w:rsidRPr="00DD47DF">
              <w:rPr>
                <w:rFonts w:cs="Calibri"/>
              </w:rPr>
              <w:t>Výdaje podnikatelského sektoru na provádění VaV ve vládním a vysokoškolském sektoru jako % celkových výdajů na provádění VaV v těchto sektorech</w:t>
            </w:r>
          </w:p>
        </w:tc>
        <w:tc>
          <w:tcPr>
            <w:tcW w:w="0" w:type="auto"/>
            <w:tcBorders>
              <w:top w:val="single" w:sz="4" w:space="0" w:color="000000"/>
              <w:left w:val="single" w:sz="4" w:space="0" w:color="000000"/>
              <w:bottom w:val="single" w:sz="4" w:space="0" w:color="000000"/>
              <w:right w:val="single" w:sz="4" w:space="0" w:color="000000"/>
            </w:tcBorders>
            <w:vAlign w:val="center"/>
          </w:tcPr>
          <w:p w14:paraId="041997E0" w14:textId="77777777" w:rsidR="009964FE" w:rsidRPr="00DD47DF" w:rsidRDefault="00F6040D" w:rsidP="007D5585">
            <w:pPr>
              <w:pStyle w:val="Tabulka"/>
              <w:rPr>
                <w:rFonts w:cs="Calibri"/>
              </w:rPr>
            </w:pPr>
            <w:r w:rsidRPr="00DD47DF">
              <w:rPr>
                <w:rFonts w:cs="Calibri"/>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64E41954" w14:textId="77777777" w:rsidR="009964FE" w:rsidRPr="00DD47DF" w:rsidRDefault="009964FE" w:rsidP="007D5585">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1DACAB1F" w14:textId="77777777" w:rsidR="009964FE" w:rsidRPr="00DD47DF" w:rsidRDefault="00F6040D" w:rsidP="007D5585">
            <w:pPr>
              <w:pStyle w:val="Tabulka"/>
              <w:rPr>
                <w:rFonts w:cs="Calibri"/>
              </w:rPr>
            </w:pPr>
            <w:r w:rsidRPr="00DD47DF">
              <w:rPr>
                <w:rFonts w:cs="Calibri"/>
              </w:rPr>
              <w:t>5,6</w:t>
            </w:r>
          </w:p>
        </w:tc>
        <w:tc>
          <w:tcPr>
            <w:tcW w:w="0" w:type="auto"/>
            <w:tcBorders>
              <w:top w:val="single" w:sz="4" w:space="0" w:color="000000"/>
              <w:left w:val="single" w:sz="4" w:space="0" w:color="000000"/>
              <w:bottom w:val="single" w:sz="4" w:space="0" w:color="000000"/>
              <w:right w:val="single" w:sz="4" w:space="0" w:color="000000"/>
            </w:tcBorders>
            <w:vAlign w:val="center"/>
          </w:tcPr>
          <w:p w14:paraId="042D848E" w14:textId="77777777" w:rsidR="009964FE" w:rsidRPr="00DD47DF" w:rsidRDefault="00F6040D" w:rsidP="007D5585">
            <w:pPr>
              <w:pStyle w:val="Tabulka"/>
              <w:rPr>
                <w:rFonts w:cs="Calibri"/>
              </w:rPr>
            </w:pPr>
            <w:r w:rsidRPr="00DD47DF">
              <w:rPr>
                <w:rFonts w:cs="Calibri"/>
              </w:rPr>
              <w:t>2012</w:t>
            </w:r>
          </w:p>
        </w:tc>
        <w:tc>
          <w:tcPr>
            <w:tcW w:w="0" w:type="auto"/>
            <w:tcBorders>
              <w:top w:val="single" w:sz="4" w:space="0" w:color="000000"/>
              <w:left w:val="single" w:sz="4" w:space="0" w:color="000000"/>
              <w:bottom w:val="single" w:sz="4" w:space="0" w:color="000000"/>
              <w:right w:val="single" w:sz="4" w:space="0" w:color="000000"/>
            </w:tcBorders>
            <w:vAlign w:val="center"/>
          </w:tcPr>
          <w:p w14:paraId="6142E937" w14:textId="77777777" w:rsidR="009964FE" w:rsidRPr="00DD47DF" w:rsidRDefault="006D0B8B" w:rsidP="007D5585">
            <w:pPr>
              <w:pStyle w:val="Tabulka"/>
              <w:rPr>
                <w:rFonts w:cs="Calibri"/>
              </w:rPr>
            </w:pPr>
            <w:r w:rsidRPr="00DD47DF">
              <w:rPr>
                <w:rFonts w:cs="Calibri"/>
              </w:rPr>
              <w:t>6,5 – 7,5</w:t>
            </w:r>
            <w:r w:rsidR="007E6815" w:rsidRPr="00DD47DF">
              <w:rPr>
                <w:rStyle w:val="Znakapoznpodarou"/>
                <w:rFonts w:cs="Calibri"/>
              </w:rPr>
              <w:footnoteReference w:id="42"/>
            </w:r>
          </w:p>
        </w:tc>
        <w:tc>
          <w:tcPr>
            <w:tcW w:w="0" w:type="auto"/>
            <w:tcBorders>
              <w:top w:val="single" w:sz="4" w:space="0" w:color="000000"/>
              <w:left w:val="single" w:sz="4" w:space="0" w:color="000000"/>
              <w:bottom w:val="single" w:sz="4" w:space="0" w:color="000000"/>
              <w:right w:val="single" w:sz="4" w:space="0" w:color="000000"/>
            </w:tcBorders>
            <w:vAlign w:val="center"/>
          </w:tcPr>
          <w:p w14:paraId="5EF9D492" w14:textId="77777777" w:rsidR="009964FE" w:rsidRPr="00DD47DF" w:rsidRDefault="00F6040D" w:rsidP="007D5585">
            <w:pPr>
              <w:pStyle w:val="Tabulka"/>
              <w:rPr>
                <w:rFonts w:cs="Calibri"/>
              </w:rPr>
            </w:pPr>
            <w:r w:rsidRPr="00DD47DF">
              <w:rPr>
                <w:rFonts w:cs="Calibri"/>
              </w:rPr>
              <w:t>ČSÚ</w:t>
            </w:r>
          </w:p>
        </w:tc>
        <w:tc>
          <w:tcPr>
            <w:tcW w:w="0" w:type="auto"/>
            <w:tcBorders>
              <w:top w:val="single" w:sz="4" w:space="0" w:color="000000"/>
              <w:left w:val="single" w:sz="4" w:space="0" w:color="000000"/>
              <w:bottom w:val="single" w:sz="4" w:space="0" w:color="000000"/>
              <w:right w:val="single" w:sz="4" w:space="0" w:color="000000"/>
            </w:tcBorders>
            <w:vAlign w:val="center"/>
          </w:tcPr>
          <w:p w14:paraId="315CCCF7" w14:textId="77777777" w:rsidR="009964FE" w:rsidRPr="00DD47DF" w:rsidRDefault="00F6040D" w:rsidP="007D5585">
            <w:pPr>
              <w:pStyle w:val="Tabulka"/>
              <w:rPr>
                <w:rFonts w:cs="Calibri"/>
              </w:rPr>
            </w:pPr>
            <w:r w:rsidRPr="00DD47DF">
              <w:rPr>
                <w:rFonts w:cs="Calibri"/>
              </w:rPr>
              <w:t>ročně</w:t>
            </w:r>
          </w:p>
        </w:tc>
      </w:tr>
    </w:tbl>
    <w:p w14:paraId="5B274BFA" w14:textId="77777777" w:rsidR="00FF25A4" w:rsidRPr="00DD47DF" w:rsidRDefault="001B2E5C" w:rsidP="00441D67">
      <w:pPr>
        <w:pStyle w:val="kapitola2A0"/>
        <w:numPr>
          <w:ilvl w:val="2"/>
          <w:numId w:val="128"/>
        </w:numPr>
      </w:pPr>
      <w:bookmarkStart w:id="33" w:name="_Toc520445251"/>
      <w:r w:rsidRPr="00DD47DF">
        <w:t>Opatření, jež má být podpořeno v rámci investiční priority</w:t>
      </w:r>
      <w:bookmarkEnd w:id="33"/>
    </w:p>
    <w:p w14:paraId="0D9AA41E" w14:textId="77777777" w:rsidR="00FF1673" w:rsidRPr="00DD47DF" w:rsidRDefault="00D479AF" w:rsidP="00A25CBC">
      <w:pPr>
        <w:pStyle w:val="Nadpis5"/>
        <w:numPr>
          <w:ilvl w:val="4"/>
          <w:numId w:val="129"/>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0096D4C4" w14:textId="77777777" w:rsidR="00497C7C" w:rsidRPr="00DD47DF" w:rsidRDefault="00497C7C" w:rsidP="00497C7C">
      <w:pPr>
        <w:pStyle w:val="Modrnadpis"/>
      </w:pPr>
      <w:r w:rsidRPr="00DD47DF">
        <w:t>SPECIFICKÝ CÍL 1.2: Zvýšit intenzitu a účinnost spolupráce ve výzkumu, vývoji a inovacích</w:t>
      </w:r>
    </w:p>
    <w:p w14:paraId="356D09B8" w14:textId="77777777" w:rsidR="00497C7C" w:rsidRPr="00DD47DF" w:rsidRDefault="000A2EB4" w:rsidP="00497C7C">
      <w:pPr>
        <w:pStyle w:val="Standardntext"/>
        <w:keepNext/>
        <w:keepLines/>
        <w:rPr>
          <w:b/>
        </w:rPr>
      </w:pPr>
      <w:r w:rsidRPr="00DD47DF">
        <w:rPr>
          <w:b/>
        </w:rPr>
        <w:t>Aktivity pro tento specifický cíl:</w:t>
      </w:r>
    </w:p>
    <w:p w14:paraId="331A9942" w14:textId="77777777" w:rsidR="00497C7C" w:rsidRPr="00DD47DF" w:rsidRDefault="00497C7C" w:rsidP="002908E2">
      <w:pPr>
        <w:pStyle w:val="Standardntext"/>
        <w:keepNext/>
        <w:keepLines/>
        <w:numPr>
          <w:ilvl w:val="0"/>
          <w:numId w:val="48"/>
        </w:numPr>
      </w:pPr>
      <w:r w:rsidRPr="00DD47DF">
        <w:t>Tvorba nových a rozšiřování a zvyšování kvality současných služeb podpůrné infrastruktury, tj. vědecko-technických parků, podnikatelských inovačních center, podnikatelských inkubátorů,</w:t>
      </w:r>
    </w:p>
    <w:p w14:paraId="1E764DDF" w14:textId="77777777" w:rsidR="00497C7C" w:rsidRPr="00DD47DF" w:rsidRDefault="00497C7C" w:rsidP="002908E2">
      <w:pPr>
        <w:pStyle w:val="Standardntext"/>
        <w:numPr>
          <w:ilvl w:val="0"/>
          <w:numId w:val="48"/>
        </w:numPr>
      </w:pPr>
      <w:r w:rsidRPr="00DD47DF">
        <w:t>rozvoj sítí spolupráce, vč. klastrů a technologických platforem (zejména kolektivní výzkum, založený na potřebách většího počtu MSP i větších firem, rozvoj mezisektorové spolupráce a internacionalizace),</w:t>
      </w:r>
    </w:p>
    <w:p w14:paraId="3B963622" w14:textId="77777777" w:rsidR="00497C7C" w:rsidRPr="00DD47DF" w:rsidRDefault="00497C7C" w:rsidP="002908E2">
      <w:pPr>
        <w:pStyle w:val="Standardntext"/>
        <w:numPr>
          <w:ilvl w:val="0"/>
          <w:numId w:val="48"/>
        </w:numPr>
      </w:pPr>
      <w:r w:rsidRPr="00DD47DF">
        <w:t>vytváření partnerství pro znalostní transfer mezi podniky a univerzitami,</w:t>
      </w:r>
    </w:p>
    <w:p w14:paraId="0CA79331" w14:textId="77777777" w:rsidR="00497C7C" w:rsidRPr="00DD47DF" w:rsidRDefault="00497C7C" w:rsidP="002908E2">
      <w:pPr>
        <w:pStyle w:val="Standardntext"/>
        <w:numPr>
          <w:ilvl w:val="0"/>
          <w:numId w:val="48"/>
        </w:numPr>
      </w:pPr>
      <w:r w:rsidRPr="00DD47DF">
        <w:t>rozvoj komunikace a sdílení poznatků mezi podnikovou a výzkumnou sférou,</w:t>
      </w:r>
    </w:p>
    <w:p w14:paraId="13C6744D" w14:textId="77777777" w:rsidR="00497C7C" w:rsidRPr="00DD47DF" w:rsidRDefault="00497C7C" w:rsidP="002908E2">
      <w:pPr>
        <w:pStyle w:val="Standardntext"/>
        <w:numPr>
          <w:ilvl w:val="0"/>
          <w:numId w:val="48"/>
        </w:numPr>
      </w:pPr>
      <w:r w:rsidRPr="00DD47DF">
        <w:t>rozšiřování/výstavba sdílené infrastruktury pro průmyslový výzkum</w:t>
      </w:r>
      <w:r w:rsidRPr="00DD47DF">
        <w:rPr>
          <w:rStyle w:val="Znakapoznpodarou"/>
        </w:rPr>
        <w:footnoteReference w:id="43"/>
      </w:r>
      <w:r w:rsidRPr="00DD47DF">
        <w:t>,</w:t>
      </w:r>
    </w:p>
    <w:p w14:paraId="3F687BF9" w14:textId="77777777" w:rsidR="00497C7C" w:rsidRPr="00DD47DF" w:rsidRDefault="00497C7C" w:rsidP="002908E2">
      <w:pPr>
        <w:pStyle w:val="Standardntext"/>
        <w:numPr>
          <w:ilvl w:val="0"/>
          <w:numId w:val="48"/>
        </w:numPr>
      </w:pPr>
      <w:r w:rsidRPr="00DD47DF">
        <w:t>aktivity vedoucí ke komercializaci výsledků výzkumu pomocí aktivit ověření proveditelnosti („proof – of – concept“), pozornost bude věnována opatřením v oblasti nízkouhlíkové ekonomiky a adaptace na klimatické změny.</w:t>
      </w:r>
    </w:p>
    <w:p w14:paraId="2668DCAB" w14:textId="77777777" w:rsidR="00497C7C" w:rsidRPr="00DD47DF" w:rsidRDefault="00497C7C" w:rsidP="00497C7C">
      <w:pPr>
        <w:pStyle w:val="Standardntext"/>
      </w:pPr>
      <w:r w:rsidRPr="00DD47DF">
        <w:t>Specifický cíl 1.2 zahrnuje zejména aktivity zaměřené na zlepšení vnějšího prostředí pro podnikové inovace, tj. intervence rozvíjející služby podpůrné inovační infrastruktury, které pomáhají řešit problémy nedostatku kapacit podnikatelských subjektů (zejména MSP), lidských i finančních zdrojů, nedostatku odborných znalostí v podnikatelském sektoru způsobené zejména nedostatečnou spoluprací při rozvoji výzkumných, vývojových a inovačních aktivit.</w:t>
      </w:r>
    </w:p>
    <w:p w14:paraId="1FE66477" w14:textId="77777777" w:rsidR="00497C7C" w:rsidRPr="00DD47DF" w:rsidRDefault="00497C7C" w:rsidP="00497C7C">
      <w:pPr>
        <w:pStyle w:val="Standardntext"/>
      </w:pPr>
      <w:r w:rsidRPr="00DD47DF">
        <w:t xml:space="preserve">Cílem pro období 2014 - 2020 bude postup do další fáze, která se zaměří zejména na zkvalitňování služeb VaV infrastruktury s důrazem na naplňování jejich poslání – růst počtu </w:t>
      </w:r>
      <w:r w:rsidRPr="00DD47DF">
        <w:lastRenderedPageBreak/>
        <w:t>transferů technologií a znalostí, zlepšování podmínek pro vznik a rozvoj inovačních firem apod. Cílem tedy již není založení spolupráce, ale její další zefektivnění vedoucí k růstu konkurenceschopnosti regionů.</w:t>
      </w:r>
    </w:p>
    <w:p w14:paraId="64A8E2A0" w14:textId="77777777" w:rsidR="004934FF" w:rsidRPr="00DD47DF" w:rsidRDefault="00497C7C" w:rsidP="00497C7C">
      <w:pPr>
        <w:pStyle w:val="Standardntext"/>
      </w:pPr>
      <w:r w:rsidRPr="00DD47DF">
        <w:rPr>
          <w:b/>
        </w:rPr>
        <w:t xml:space="preserve">Vědeckotechnické parky (jejichž součástí jsou inovační centra a podnikatelské inkubátory) </w:t>
      </w:r>
      <w:r w:rsidRPr="00DD47DF">
        <w:t>budou prostřednictvím vlastních expertů nebo formou zprostředkování ověřených externích služeb poskytovat inkubovaným a dalším inovativním MSP služby specializovaného poradenství.</w:t>
      </w:r>
      <w:r w:rsidRPr="00DD47DF">
        <w:rPr>
          <w:rStyle w:val="Znakapoznpodarou"/>
        </w:rPr>
        <w:footnoteReference w:id="44"/>
      </w:r>
      <w:r w:rsidRPr="00DD47DF">
        <w:t xml:space="preserve"> Důraz bude kladen na rozvoj kvality služeb v těchto oblastech: (i) strategické řízení a management inovací; (ii) strategické poradenství při vstupu na nové trhy; (iii) ochrany a využití práv duševního vlastnictví; (iv) navazování a rozvíjení výzkumné spolupráce; (v) komercializace výsledků výzkumu; (vi) přístupu ke kapitálu apod. Vědeckotechnické parky (VTP) dále poskytují vzdělávací, osvětové služby spojené s VaVaI.</w:t>
      </w:r>
    </w:p>
    <w:p w14:paraId="3E0AF336" w14:textId="77777777" w:rsidR="00497C7C" w:rsidRPr="00DD47DF" w:rsidRDefault="004934FF" w:rsidP="00497C7C">
      <w:pPr>
        <w:pStyle w:val="Standardntext"/>
      </w:pPr>
      <w:r w:rsidRPr="00DD47DF">
        <w:rPr>
          <w:b/>
        </w:rPr>
        <w:t>Podpora sdílené infrastruktury</w:t>
      </w:r>
      <w:r w:rsidRPr="00DD47DF">
        <w:t xml:space="preserve"> se bude v nejvyšší míře zaměřovat na optimalizaci existující výzkumné a inovační infrastruktury. V</w:t>
      </w:r>
      <w:r w:rsidR="00497C7C" w:rsidRPr="00DD47DF">
        <w:t xml:space="preserve"> odůvodněných případech bude umožněno také rozšíření prostor VTP a pořízení nového vybavení a zlepšení kapacit pro společné využívání technologií, v ojedinělých případech také výstavba nové sdílené infrastruktury v regionu, kde bude prokázán nedostatek vhodné výzkumné infrastruktury pro podnikatelské subjekty, tj. v případech doložené analýzy absorpční kapacity a poptávky ze strany podnikatelských subjektů, kterou není možné naplnit ze strany již existující inovační infrastruktury.</w:t>
      </w:r>
      <w:r w:rsidR="00497C7C" w:rsidRPr="00DD47DF">
        <w:rPr>
          <w:rStyle w:val="Znakapoznpodarou"/>
        </w:rPr>
        <w:footnoteReference w:id="45"/>
      </w:r>
      <w:r w:rsidR="00497C7C" w:rsidRPr="00DD47DF">
        <w:t xml:space="preserve"> Realizace projektů povede k nárůstu výdajů podnikatelského sektoru na provádění VaV</w:t>
      </w:r>
      <w:r w:rsidR="00BA4E72" w:rsidRPr="00DD47DF">
        <w:t xml:space="preserve"> </w:t>
      </w:r>
      <w:r w:rsidR="00497C7C" w:rsidRPr="00DD47DF">
        <w:t>ve vládním a vysokoškolském sektoru (relevantní i pro další aktivity SC1.2) a ke zvýšení počtu podniků využívajících nově vytvořené podpůrné služby inovační infrastruktury i k většímu počtu rychle rostoucích firem nově umístěných v inovační infrastruktuře.</w:t>
      </w:r>
    </w:p>
    <w:p w14:paraId="45212559" w14:textId="77777777" w:rsidR="00497C7C" w:rsidRPr="00DD47DF" w:rsidRDefault="00497C7C" w:rsidP="00497C7C">
      <w:pPr>
        <w:pStyle w:val="Standardntext"/>
      </w:pPr>
      <w:r w:rsidRPr="00DD47DF">
        <w:rPr>
          <w:b/>
        </w:rPr>
        <w:t>Aktivity klastrů</w:t>
      </w:r>
      <w:r w:rsidRPr="00DD47DF">
        <w:t xml:space="preserve"> spočívají zejména v posilování spolupráce mezi podnikatelskými subjekty vedoucí k diverzifikaci produktů, sdílení know-how a znalostí a přispívající k inteligentní specializaci; prohlubování spolupráce s vědeckovýzkumnou sférou s cílem posunu odvětví na vyšší technologickou úroveň i spolupráce v oblasti vzdělávání, studentských stáží apod.; další oblastí je internacionalizace, tj. navazování spolupráce v evropském výzkumném prostoru, zapojování se do konsorcií v evropských výzkumných programech</w:t>
      </w:r>
      <w:r w:rsidR="004934FF" w:rsidRPr="00DD47DF">
        <w:t xml:space="preserve"> a</w:t>
      </w:r>
      <w:r w:rsidRPr="00DD47DF">
        <w:t xml:space="preserve"> přeshraničních sítí excelentních klastrů (se zaměřením na budoucí výzvy a klíčové technologie), koordinovaný přístup na třetí trhy apod. Součástí projektu může dále být rozvoj kvalitní sdílené infrastruktury a</w:t>
      </w:r>
      <w:r w:rsidR="00BA4E72" w:rsidRPr="00DD47DF">
        <w:t xml:space="preserve"> projekty kolektivního výzkumu</w:t>
      </w:r>
      <w:r w:rsidRPr="00DD47DF">
        <w:t>, které odpovídají inovačním potřebám více malých a středních podniků daného průmyslového odvětví nebo technologické oblasti. Předpokládá se také realizace projektů přeshraničního kolektivního výzkumu (zejména mezisektorového)</w:t>
      </w:r>
      <w:r w:rsidRPr="00DD47DF">
        <w:rPr>
          <w:rStyle w:val="Znakapoznpodarou"/>
        </w:rPr>
        <w:footnoteReference w:id="46"/>
      </w:r>
      <w:r w:rsidRPr="00DD47DF">
        <w:t>. Hlavní důraz bude kladen na rozvoj aktivit zralých klastrů v konceptu klastrové excelence - klastry</w:t>
      </w:r>
      <w:r w:rsidR="00BA4E72" w:rsidRPr="00DD47DF">
        <w:t xml:space="preserve"> </w:t>
      </w:r>
      <w:r w:rsidRPr="00DD47DF">
        <w:t xml:space="preserve">budou důležitými aktéry v regionálních RIS3 strategiích, které mohou využít kritické masy podniků a znalostní základny k dalšímu posilování pozice regionu v zavedených průmyslových odvětvích či technologických oblastech; posilování přeshraničních vazeb může </w:t>
      </w:r>
      <w:r w:rsidRPr="00DD47DF">
        <w:lastRenderedPageBreak/>
        <w:t xml:space="preserve">zároveň přispět k rozvoji nových znalostí přesahujících tradiční odvětvová vymezení (tzv. emerging industries). </w:t>
      </w:r>
    </w:p>
    <w:p w14:paraId="23A2B328" w14:textId="77777777" w:rsidR="00497C7C" w:rsidRPr="00DD47DF" w:rsidRDefault="00497C7C" w:rsidP="00497C7C">
      <w:pPr>
        <w:pStyle w:val="Standardntext"/>
      </w:pPr>
      <w:r w:rsidRPr="00DD47DF">
        <w:t xml:space="preserve">Typovým projektem </w:t>
      </w:r>
      <w:r w:rsidRPr="00DD47DF">
        <w:rPr>
          <w:b/>
        </w:rPr>
        <w:t>technologické platformy</w:t>
      </w:r>
      <w:r w:rsidRPr="00DD47DF">
        <w:t xml:space="preserve"> je podpora její koordinační činnosti zejména v oblasti průmyslových (a souvisejících společenských) výzev daného odvětví, technologického foresightu, iniciace </w:t>
      </w:r>
      <w:r w:rsidR="004934FF" w:rsidRPr="00DD47DF">
        <w:t>VaV</w:t>
      </w:r>
      <w:r w:rsidRPr="00DD47DF">
        <w:t xml:space="preserve"> projektů v oblastech definovaných ve strategických výzkumných agendách jako klíčových pro budoucí konkurenceschopnost a udržitelný rozvoj, navázání hlubší spolupráce TP s evropskými technologickými platformami a zapojování českých výzkumných institucí a podniků do činnosti evropských platforem, koordinace českých subjektů v přístupu do Horizont 2020 a dalších evropských programů.</w:t>
      </w:r>
    </w:p>
    <w:p w14:paraId="33BFC79E" w14:textId="77777777" w:rsidR="00497C7C" w:rsidRPr="00DD47DF" w:rsidRDefault="00497C7C" w:rsidP="00497C7C">
      <w:pPr>
        <w:pStyle w:val="Standardntext"/>
      </w:pPr>
      <w:r w:rsidRPr="00DD47DF">
        <w:t>Služby</w:t>
      </w:r>
      <w:r w:rsidR="004934FF" w:rsidRPr="00DD47DF">
        <w:t xml:space="preserve"> a aktivity</w:t>
      </w:r>
      <w:r w:rsidRPr="00DD47DF">
        <w:t xml:space="preserve"> uvedené podpůrné infrastruktury přispějí </w:t>
      </w:r>
      <w:r w:rsidR="004934FF" w:rsidRPr="00DD47DF">
        <w:t xml:space="preserve">také k rozvoji komunikace </w:t>
      </w:r>
      <w:r w:rsidRPr="00DD47DF">
        <w:t xml:space="preserve">a sdílení poznatků mezi podnikovou a výzkumnou sférou, jejímž výsledkem budou zejména společné projekty a realizované transfery technologií a znalostí. Na regionální úrovni </w:t>
      </w:r>
      <w:r w:rsidR="004934FF" w:rsidRPr="00DD47DF">
        <w:t>bude tato aktivita realizována</w:t>
      </w:r>
      <w:r w:rsidRPr="00DD47DF">
        <w:t xml:space="preserve"> </w:t>
      </w:r>
      <w:r w:rsidR="004934FF" w:rsidRPr="00DD47DF">
        <w:rPr>
          <w:b/>
        </w:rPr>
        <w:t xml:space="preserve">schématy </w:t>
      </w:r>
      <w:r w:rsidRPr="00DD47DF">
        <w:rPr>
          <w:b/>
        </w:rPr>
        <w:t>typu inovačních voucherů</w:t>
      </w:r>
      <w:r w:rsidRPr="00DD47DF">
        <w:t xml:space="preserve">. Inovační vouchery budou využívat podnikatelské subjekty </w:t>
      </w:r>
      <w:r w:rsidR="004934FF" w:rsidRPr="00DD47DF">
        <w:t xml:space="preserve">pro projekty menšího rozsahu zaměřené </w:t>
      </w:r>
      <w:r w:rsidRPr="00DD47DF">
        <w:t>zejména na nákup služeb od znalostních institucí pro zahájení či zintenzivnění vlastních inovačních aktivit. Služby budou zahrnovat např. měření, zkoušky, výpočty, konzultace, spolupráce s doktorandy, služby v oblasti nákupu, transferu duševního vlastnictví, apod.</w:t>
      </w:r>
    </w:p>
    <w:p w14:paraId="5F59DA2E" w14:textId="77777777" w:rsidR="00497C7C" w:rsidRPr="00DD47DF" w:rsidRDefault="00497C7C" w:rsidP="00497C7C">
      <w:pPr>
        <w:pStyle w:val="Standardntext"/>
      </w:pPr>
      <w:r w:rsidRPr="00DD47DF">
        <w:t xml:space="preserve">V oblasti transferu znalostí budou využity zkušenosti s pilotními </w:t>
      </w:r>
      <w:r w:rsidRPr="00DD47DF">
        <w:rPr>
          <w:b/>
        </w:rPr>
        <w:t>projekty partnerství univerzit a MSP</w:t>
      </w:r>
      <w:r w:rsidRPr="00DD47DF">
        <w:t>, při nichž byl v OPPI vyzkoušen model britského programu Knowledge Transfer Partnership. Program bude podporovat společné projekty podnikatelů a univerzit, při kterých dochází k přímé aplikaci výzkumných poznatků v podniku, které mají strategický význam pro jeho další rozvoj, za účasti úspěšných absolventů a za přímého dohledu odborného univerzitního pracoviště. Realizované projekty transferu znalostí vykazují ekonomické přínosy v oblasti získání nových zakázek, snížení výrobních nákladů, zrychlení vývojových procesů a jejich přenos do výroby apod. vytvořená partnerství přispívají také ke sblížení výzkumných témat na univerzitních pracovištích s potřebami podniků a jsou často také východiskem pro navázání dalších společných aktivit, které zahrnují širokou škálu oblastí od studentských/postgraduálních projektů, stáží, výzkumu a využití duševního vlastnictví.</w:t>
      </w:r>
    </w:p>
    <w:p w14:paraId="1513F220" w14:textId="77777777" w:rsidR="00497C7C" w:rsidRPr="00DD47DF" w:rsidRDefault="00497C7C" w:rsidP="00497C7C">
      <w:pPr>
        <w:pStyle w:val="Standardntext"/>
      </w:pPr>
      <w:r w:rsidRPr="00DD47DF">
        <w:t xml:space="preserve">Typovým projektem </w:t>
      </w:r>
      <w:r w:rsidRPr="00DD47DF">
        <w:rPr>
          <w:b/>
        </w:rPr>
        <w:t>proof of concept</w:t>
      </w:r>
      <w:r w:rsidR="00BA4E72" w:rsidRPr="00DD47DF">
        <w:rPr>
          <w:b/>
        </w:rPr>
        <w:t xml:space="preserve"> </w:t>
      </w:r>
      <w:r w:rsidRPr="00DD47DF">
        <w:t xml:space="preserve">bude soubor činností, které zajistí posunutí výsledků výzkumu ke komerčnímu využití. Východiskem projektů proof of concept je nápad nebo rozpracovaný výzkum. Projekt proof of concept se skládá ze dvou </w:t>
      </w:r>
      <w:r w:rsidR="004D74A2" w:rsidRPr="00DD47DF">
        <w:t>na sebe navazujících kroků. V prvním</w:t>
      </w:r>
      <w:r w:rsidRPr="00DD47DF">
        <w:t xml:space="preserve"> kroku bude zkoumána proveditelnost výzkumu. V projektu budou podporovány činnosti související s mapováním aplikovatelnosti a průzkumem trhu</w:t>
      </w:r>
      <w:r w:rsidR="004D74A2" w:rsidRPr="00DD47DF">
        <w:t xml:space="preserve"> </w:t>
      </w:r>
      <w:r w:rsidRPr="00DD47DF">
        <w:t xml:space="preserve">a zájmu aplikační sféry. V případě kladně vyhodnocené studie proveditelnosti </w:t>
      </w:r>
      <w:r w:rsidR="004D74A2" w:rsidRPr="00DD47DF">
        <w:t>bude projekt pokračovat krokem dva a to</w:t>
      </w:r>
      <w:r w:rsidRPr="00DD47DF">
        <w:t xml:space="preserve"> </w:t>
      </w:r>
      <w:r w:rsidR="004D74A2" w:rsidRPr="00DD47DF">
        <w:t>d</w:t>
      </w:r>
      <w:r w:rsidRPr="00DD47DF">
        <w:t>otažení</w:t>
      </w:r>
      <w:r w:rsidR="004D74A2" w:rsidRPr="00DD47DF">
        <w:t>m</w:t>
      </w:r>
      <w:r w:rsidRPr="00DD47DF">
        <w:t xml:space="preserve"> výrobku/služby do finálního stádia, tj. </w:t>
      </w:r>
      <w:r w:rsidR="004D74A2" w:rsidRPr="00DD47DF">
        <w:t>zejména</w:t>
      </w:r>
      <w:r w:rsidRPr="00DD47DF">
        <w:t xml:space="preserve"> činnosti vedoucí ke vzniku funkčního vzorku/prototypu, nalezení strategického komerčního partnera, patentování a případně vznik nové spin-off firmy. Výsledkem tohoto kroku bude funkční vzorek/prototyp se zvýšenou možností jeho dalšího uplatnění v praxi (např. smlouva s komerčním partnerem, založená spin-off firma nebo přímý prodej prototypu/funkčního vzorku).</w:t>
      </w:r>
    </w:p>
    <w:p w14:paraId="393C802E" w14:textId="77777777" w:rsidR="00497C7C" w:rsidRPr="00DD47DF" w:rsidRDefault="003D2AA6" w:rsidP="00497C7C">
      <w:pPr>
        <w:pStyle w:val="Standardntext"/>
      </w:pPr>
      <w:r w:rsidRPr="00DD47DF">
        <w:t>Všechny plánované a</w:t>
      </w:r>
      <w:r w:rsidR="00497C7C" w:rsidRPr="00DD47DF">
        <w:t xml:space="preserve">ktivity SC 1.1 a SC 1.2 </w:t>
      </w:r>
      <w:r w:rsidRPr="00DD47DF">
        <w:t xml:space="preserve">vycházejí z potřeb zohledněných v Národní RIS3 strategii a </w:t>
      </w:r>
      <w:r w:rsidR="00497C7C" w:rsidRPr="00DD47DF">
        <w:t xml:space="preserve">mají přímou vazbu na tyto strategické cíle Národní RIS3 strategie: „Zvýšit inovační poptávku ve firmách (i ve veřejném sektoru)“, „Zvýšit míru podnikání ve společnosti s důrazem na zakládání nových rychle rostoucích firem“ a „Zvýšit relevanci výzkumu“. Jde především o vzájemnou provázanost s typovými aktivitami/projekty/operacemi specifických cílů A1.1 „Posílit výzkumné a vývojové kapacity podniků“, A1.2 „Zlepšit strategické řízení v MSP“, A1.3 „Posílit technologickou spolupráci firem“, A2.1 „Zvýšit počet nových firem </w:t>
      </w:r>
      <w:r w:rsidR="00497C7C" w:rsidRPr="00DD47DF">
        <w:lastRenderedPageBreak/>
        <w:t>usilujících o inovace, zejména vyšších řádů“ a C1.1 „Posílit spolupráci a interakci mezi VO a aplikační sférou“ Národní RIS3 strategie.</w:t>
      </w:r>
    </w:p>
    <w:p w14:paraId="610E3448" w14:textId="77777777" w:rsidR="00497C7C" w:rsidRPr="00DD47DF" w:rsidRDefault="00497C7C" w:rsidP="00497C7C">
      <w:pPr>
        <w:pStyle w:val="Standardntext"/>
      </w:pPr>
      <w:r w:rsidRPr="00DD47DF">
        <w:rPr>
          <w:b/>
        </w:rPr>
        <w:t xml:space="preserve">Hlavní cílová skupina: </w:t>
      </w:r>
      <w:r w:rsidRPr="00DD47DF">
        <w:t>Podnikatelské subjekty (zejména MSP), výzkumné organizace</w:t>
      </w:r>
    </w:p>
    <w:p w14:paraId="78F8AA9C" w14:textId="77777777" w:rsidR="00497C7C" w:rsidRPr="00DD47DF" w:rsidRDefault="00497C7C" w:rsidP="00497C7C">
      <w:pPr>
        <w:pStyle w:val="Standardntext"/>
      </w:pPr>
      <w:r w:rsidRPr="00DD47DF">
        <w:rPr>
          <w:b/>
        </w:rPr>
        <w:t xml:space="preserve">Cílové území: </w:t>
      </w:r>
      <w:r w:rsidRPr="00DD47DF">
        <w:t>Území České republiky, mimo území hl. m. Prahy. Z hlediska územní dimenze bude tento specifický cíl zaměřen na rozvojová a urbánní území, kde se předpokládá zapojení do integrovaného nástroje ITI.</w:t>
      </w:r>
    </w:p>
    <w:p w14:paraId="76B6178F" w14:textId="77777777" w:rsidR="00497C7C" w:rsidRPr="00DD47DF" w:rsidRDefault="00497C7C" w:rsidP="00497C7C">
      <w:pPr>
        <w:pStyle w:val="Standardntext"/>
      </w:pPr>
      <w:r w:rsidRPr="00DD47DF">
        <w:rPr>
          <w:b/>
          <w:szCs w:val="22"/>
        </w:rPr>
        <w:t>Typy příjemců:</w:t>
      </w:r>
      <w:r w:rsidRPr="00DD47DF">
        <w:rPr>
          <w:szCs w:val="22"/>
        </w:rPr>
        <w:t xml:space="preserve"> Podnikatelské subjekty, podnikatelská seskupení, orgány státní správy a samosprávy (včetně jejich svazků), jim podřízené či jimi zřízené organizace, organizace pro výzkum a šíření znalostí (tj. subjekty splňující definici výzkumné organizace dle Rámce pro státní podporu Výzkumu, vývoje a inovací), neziskové organizace</w:t>
      </w:r>
      <w:r w:rsidRPr="00DD47DF">
        <w:rPr>
          <w:rStyle w:val="Znakapoznpodarou"/>
        </w:rPr>
        <w:footnoteReference w:id="47"/>
      </w:r>
      <w:r w:rsidRPr="00DD47DF">
        <w:rPr>
          <w:szCs w:val="22"/>
        </w:rPr>
        <w:t>.</w:t>
      </w:r>
    </w:p>
    <w:p w14:paraId="42B2B093" w14:textId="77777777" w:rsidR="00CE1180" w:rsidRPr="00DD47DF" w:rsidRDefault="00446534" w:rsidP="00497C7C">
      <w:pPr>
        <w:pStyle w:val="Standardntext"/>
      </w:pPr>
      <w:r w:rsidRPr="00DD47DF">
        <w:t>V SC 1.2 se předpokládá zapojení velkých podniků pouze výjimečně, a to jen u aktivit, které negenerují čistý příjem, jako např. výstavba a provoz VTP zaměřených především na inkubaci inovačních MSP. Zapojení do těchto aktivit má výhody nejen z hlediska sdílení jejich personálního a materiálního vybavení, ale velké podniky mohou zajistit pro danou inovační infrastrukturu širokou publicitu a přitáhnout další výzkumníky či podnikatele z řad MSP.</w:t>
      </w:r>
    </w:p>
    <w:p w14:paraId="5C2CD955" w14:textId="77777777" w:rsidR="00D71D90" w:rsidRPr="00DD47DF" w:rsidRDefault="00BA6461" w:rsidP="00A25CBC">
      <w:pPr>
        <w:pStyle w:val="Nadpis5"/>
        <w:numPr>
          <w:ilvl w:val="4"/>
          <w:numId w:val="129"/>
        </w:numPr>
      </w:pPr>
      <w:r w:rsidRPr="00DD47DF">
        <w:t>Hlavní zásady pro výběr operací</w:t>
      </w:r>
    </w:p>
    <w:p w14:paraId="3F9A7B3A" w14:textId="655A987B" w:rsidR="00794BE8" w:rsidRPr="00DD47DF" w:rsidRDefault="00FE3385" w:rsidP="001D5D0B">
      <w:pPr>
        <w:pStyle w:val="Standardntext"/>
      </w:pPr>
      <w:r w:rsidRPr="00DD47DF">
        <w:rPr>
          <w:b/>
        </w:rPr>
        <w:t xml:space="preserve">Společné obecné zásady pro výběr operací pro všechny investiční priority celého OP PIK: </w:t>
      </w:r>
      <w:r w:rsidR="00046F11" w:rsidRPr="00DD47DF">
        <w:t>V</w:t>
      </w:r>
      <w:r w:rsidRPr="00DD47DF">
        <w:t> </w:t>
      </w:r>
      <w:r w:rsidR="00046F11" w:rsidRPr="00DD47DF">
        <w:t xml:space="preserve">rámci </w:t>
      </w:r>
      <w:r w:rsidR="001D5D0B" w:rsidRPr="00DD47DF">
        <w:t xml:space="preserve">dané </w:t>
      </w:r>
      <w:r w:rsidR="00046F11" w:rsidRPr="00DD47DF">
        <w:t xml:space="preserve">investiční priority budou vyhlašovány výzvy na předkládání individuálních projektů. </w:t>
      </w:r>
      <w:r w:rsidR="00855A0B" w:rsidRPr="00DD47DF">
        <w:t>Předložené projekty budou</w:t>
      </w:r>
      <w:r w:rsidR="00BA4E72" w:rsidRPr="00DD47DF">
        <w:t xml:space="preserve"> </w:t>
      </w:r>
      <w:r w:rsidR="00855A0B" w:rsidRPr="00DD47DF">
        <w:t>nejdříve posuzovány ze strany řídícího orgánu / zprostředkujícího subjektu z pohledu jejich souladu s podmínkami daného programu podpory.</w:t>
      </w:r>
      <w:r w:rsidR="00046F11" w:rsidRPr="00DD47DF">
        <w:t xml:space="preserve"> </w:t>
      </w:r>
      <w:r w:rsidR="005F6001" w:rsidRPr="00DD47DF">
        <w:t xml:space="preserve">Projektové žádosti, které úspěšně projdou tímto procesem, budou hodnoceny odbornými hodnotiteli dle předem definovaných výběrových kritérií odpovídajících charakteru jednotlivých specifických cílů a v rámci nich podporovaných aktivit. Projekty bude hodnotit zásadně interní </w:t>
      </w:r>
      <w:r w:rsidR="00B01274">
        <w:t>hodnotitel</w:t>
      </w:r>
      <w:r w:rsidR="00B01274" w:rsidRPr="00DD47DF">
        <w:t xml:space="preserve"> </w:t>
      </w:r>
      <w:r w:rsidR="005F6001" w:rsidRPr="00DD47DF">
        <w:t xml:space="preserve">řídícího orgánu (popř. zprostředkujícího subjektu) znalý problematiky dané prioritní osy, resp. specifického cíle operačního programu, který si v případě </w:t>
      </w:r>
      <w:r w:rsidR="001D5D0B" w:rsidRPr="00DD47DF">
        <w:t xml:space="preserve">že projekt přesáhne odborné kapacity řídícího orgánu (především u projektů VaV), může objednat doplňkově externí hodnocení, jehož závěry promítne do svého finálního posudku. </w:t>
      </w:r>
      <w:r w:rsidR="00EE1707" w:rsidRPr="00EE1707">
        <w:t>Externí odborník bude moci být zapojen do hodnocení projektů rovněž při přesahu kapacitních (administrativních) možností Řídicího orgánu.</w:t>
      </w:r>
      <w:r w:rsidR="005340DB">
        <w:t xml:space="preserve"> </w:t>
      </w:r>
      <w:r w:rsidR="001D5D0B" w:rsidRPr="00DD47DF">
        <w:t xml:space="preserve">Takto předpřipravené a posouzené projekty budou předloženy na jednání </w:t>
      </w:r>
      <w:r w:rsidR="00543559">
        <w:t>výběrové</w:t>
      </w:r>
      <w:r w:rsidR="00543559" w:rsidRPr="00DD47DF">
        <w:t xml:space="preserve"> </w:t>
      </w:r>
      <w:r w:rsidR="001D5D0B" w:rsidRPr="00DD47DF">
        <w:t>komise (</w:t>
      </w:r>
      <w:r w:rsidR="00543559">
        <w:t>V</w:t>
      </w:r>
      <w:r w:rsidR="001D5D0B" w:rsidRPr="00DD47DF">
        <w:t xml:space="preserve">K). Tato komise, která bude mít lichý počet členů (max. 7) ze zástupců ŘO OP PIK a zprostředkujícího subjektu (kdy musí být zachována převaha zástupců ŘO, primárně z útvaru odpovědného za implementaci příslušné prioritní osy), kteří jsou bezúhonní, nejsou v konfliktu zájmu a prokazují odbornou praxi (znalost problematiky) v dané oblasti, bude souhrnně posuzovat projekty předložené na dané zasedání </w:t>
      </w:r>
      <w:r w:rsidR="00543559">
        <w:t>V</w:t>
      </w:r>
      <w:r w:rsidR="001D5D0B" w:rsidRPr="00DD47DF">
        <w:t xml:space="preserve">K. V případě svých pochybností o relevantnosti odborného návrhu hodnotitele ohledně konkrétního projektu, zjevného procesního pochybení či nových závažných odborných skutečností může </w:t>
      </w:r>
      <w:r w:rsidR="00543559">
        <w:t>V</w:t>
      </w:r>
      <w:r w:rsidR="001D5D0B" w:rsidRPr="00DD47DF">
        <w:t xml:space="preserve">K vrátit projekt k přehodnocení a k vyjádření se k jejím výhradám. </w:t>
      </w:r>
      <w:r w:rsidR="00BA68C1">
        <w:t>Výběrová</w:t>
      </w:r>
      <w:r w:rsidR="00BA68C1" w:rsidRPr="00DD47DF">
        <w:t xml:space="preserve"> </w:t>
      </w:r>
      <w:r w:rsidR="001D5D0B" w:rsidRPr="00DD47DF">
        <w:t>komise bude oprávněna projekt doporučit ke schválení jen v případě, že předešlé odborné hodnocení (posudky interních, resp. externích hodnotitelů) bude kladné (pro tyto účely může výzva stanovit také minimální počet bodů nezbytný pro doporučení projektu).</w:t>
      </w:r>
      <w:r w:rsidR="009203E1" w:rsidRPr="00DD47DF">
        <w:t xml:space="preserve"> </w:t>
      </w:r>
      <w:r w:rsidR="001D5D0B" w:rsidRPr="00DD47DF">
        <w:t xml:space="preserve">ŘO OP PIK bude oprávněn vydat rozhodnutí o poskytnutí dotace pouze u projektů, které </w:t>
      </w:r>
      <w:r w:rsidR="00BA68C1">
        <w:t>výběrová</w:t>
      </w:r>
      <w:r w:rsidR="00BA68C1" w:rsidRPr="00DD47DF">
        <w:t xml:space="preserve"> </w:t>
      </w:r>
      <w:r w:rsidR="001D5D0B" w:rsidRPr="00DD47DF">
        <w:t>komise doporučí ke schválení.</w:t>
      </w:r>
      <w:r w:rsidR="009203E1" w:rsidRPr="00DD47DF">
        <w:t xml:space="preserve"> </w:t>
      </w:r>
      <w:r w:rsidR="001D5D0B" w:rsidRPr="00DD47DF">
        <w:t xml:space="preserve">ŘO OP PIK bude pravidelně (nejméně pololetně) vyhodnocovat </w:t>
      </w:r>
      <w:r w:rsidR="001D5D0B" w:rsidRPr="00DD47DF">
        <w:lastRenderedPageBreak/>
        <w:t>takovéto případy vrácení projektů k novému posouzení a bude navrhovat Monitorovacímu výboru OP PIK případná systémová zlepšení k výběrovému procesu.</w:t>
      </w:r>
      <w:r w:rsidR="00046F11" w:rsidRPr="00DD47DF">
        <w:t xml:space="preserve"> </w:t>
      </w:r>
    </w:p>
    <w:p w14:paraId="247648BF" w14:textId="77777777" w:rsidR="00794BE8" w:rsidRPr="00DD47DF" w:rsidRDefault="00794BE8" w:rsidP="00794BE8">
      <w:pPr>
        <w:pStyle w:val="Standardntext"/>
      </w:pPr>
      <w:r w:rsidRPr="00DD47DF">
        <w:t xml:space="preserve">V rámci výběru a hodnocení projektů budou </w:t>
      </w:r>
      <w:r w:rsidR="00A25CBC" w:rsidRPr="00DD47DF">
        <w:t xml:space="preserve">v této investiční prioritě </w:t>
      </w:r>
      <w:r w:rsidRPr="00DD47DF">
        <w:t>posuzována především následující kritéria:</w:t>
      </w:r>
    </w:p>
    <w:p w14:paraId="68D197B5" w14:textId="77777777" w:rsidR="00794BE8" w:rsidRPr="00DD47DF" w:rsidRDefault="00794BE8" w:rsidP="002908E2">
      <w:pPr>
        <w:pStyle w:val="Standardntext"/>
        <w:numPr>
          <w:ilvl w:val="0"/>
          <w:numId w:val="43"/>
        </w:numPr>
      </w:pPr>
      <w:r w:rsidRPr="00DD47DF">
        <w:t xml:space="preserve">Kvalita a potřebnost projektu s ohledem </w:t>
      </w:r>
      <w:r w:rsidR="00D819D2" w:rsidRPr="00DD47DF">
        <w:t xml:space="preserve">na očekávaný stupeň inovace v případě projektů zaměřených na zavádění a rozvoj podnikových výzkumných a vývojových center, zavádění inovací, </w:t>
      </w:r>
      <w:r w:rsidR="00BD2FD9" w:rsidRPr="00DD47DF">
        <w:t xml:space="preserve">zejména vyšších řádů, </w:t>
      </w:r>
      <w:r w:rsidR="00D819D2" w:rsidRPr="00DD47DF">
        <w:t>vlastní VaV aktivity a ochranu duševního vlastnictví v</w:t>
      </w:r>
      <w:r w:rsidR="005802ED" w:rsidRPr="00DD47DF">
        <w:t> </w:t>
      </w:r>
      <w:r w:rsidR="00D819D2" w:rsidRPr="00DD47DF">
        <w:t>podnicích</w:t>
      </w:r>
      <w:r w:rsidR="005802ED" w:rsidRPr="00DD47DF">
        <w:t>. Bonifikovány budou projekty, u kterých žadatel (soukromý podnikatelský subjekt) prokáže spolupráci s veřejnými výzkumnými organizacemi a vysokými školami</w:t>
      </w:r>
      <w:r w:rsidR="00643205" w:rsidRPr="00DD47DF">
        <w:t>, prokáže využívání výsledků vzniklých v rámci činnosti výzkumných organizací nebo institucí terciárního vzdělávání, a komercializační projekty, které jsou přímo výsledkem technologického transferu. Obdobně budou bonifikovány i projekty vykazující synergie s projekty OP VVV</w:t>
      </w:r>
      <w:r w:rsidR="005802ED" w:rsidRPr="00DD47DF">
        <w:t xml:space="preserve">. </w:t>
      </w:r>
      <w:r w:rsidR="00D819D2" w:rsidRPr="00DD47DF">
        <w:t>U projektů inovační infrastruktury se při hodnocení bude přihlížet zejména na zajištění aktivní spolupráce s vědeckovýzkumnou sférou a řešení aktuálních potřeb v oblasti VaVaI.</w:t>
      </w:r>
      <w:r w:rsidR="0038384A" w:rsidRPr="00DD47DF">
        <w:t xml:space="preserve"> P</w:t>
      </w:r>
      <w:r w:rsidR="00F96502" w:rsidRPr="00DD47DF">
        <w:t>odnikatelské inkubátory musí předložit detailní a realistický podnikatelský plán, přičemž zvláštní pozornost by měla být věnována udržitelnosti jejich neziskových inkubačních aktivit.</w:t>
      </w:r>
    </w:p>
    <w:p w14:paraId="4BB5F02B" w14:textId="77777777" w:rsidR="00BD2FD9" w:rsidRPr="00DD47DF" w:rsidRDefault="00BD2FD9" w:rsidP="002908E2">
      <w:pPr>
        <w:pStyle w:val="Standardntext"/>
        <w:numPr>
          <w:ilvl w:val="0"/>
          <w:numId w:val="43"/>
        </w:numPr>
      </w:pPr>
      <w:r w:rsidRPr="00DD47DF">
        <w:t>Pozitivní dopad na technologický rozvoj regionu (tzv. technologický spillover).</w:t>
      </w:r>
    </w:p>
    <w:p w14:paraId="1DCB6D4D" w14:textId="77777777" w:rsidR="00BD2FD9" w:rsidRPr="00DD47DF" w:rsidRDefault="00BD2FD9" w:rsidP="002908E2">
      <w:pPr>
        <w:pStyle w:val="Standardntext"/>
        <w:numPr>
          <w:ilvl w:val="0"/>
          <w:numId w:val="43"/>
        </w:numPr>
      </w:pPr>
      <w:r w:rsidRPr="00DD47DF">
        <w:t>Výstup projektu zejména v podobě nového produktu, uvedeného na trh, či zavedení nové technologie výroby.</w:t>
      </w:r>
    </w:p>
    <w:p w14:paraId="202CE7FC" w14:textId="77777777" w:rsidR="00643205" w:rsidRPr="00DD47DF" w:rsidRDefault="00643205" w:rsidP="002908E2">
      <w:pPr>
        <w:pStyle w:val="Standardntext"/>
        <w:numPr>
          <w:ilvl w:val="0"/>
          <w:numId w:val="43"/>
        </w:numPr>
      </w:pPr>
      <w:r w:rsidRPr="00DD47DF">
        <w:t>Bodově zvýhodněny budou projekty MSP a v případě velkých projektů budou zvýhodněny projekty realizované společně s MSP, případně s předpokládanou spoluprací MSP.</w:t>
      </w:r>
    </w:p>
    <w:p w14:paraId="75CC6D2F" w14:textId="77777777" w:rsidR="00794BE8" w:rsidRPr="00DD47DF" w:rsidRDefault="00794BE8" w:rsidP="002908E2">
      <w:pPr>
        <w:pStyle w:val="Standardntext"/>
        <w:numPr>
          <w:ilvl w:val="0"/>
          <w:numId w:val="43"/>
        </w:numPr>
      </w:pPr>
      <w:r w:rsidRPr="00DD47DF">
        <w:t>Soulad projektu s</w:t>
      </w:r>
      <w:r w:rsidR="00BA4E72" w:rsidRPr="00DD47DF">
        <w:t xml:space="preserve"> </w:t>
      </w:r>
      <w:r w:rsidRPr="00DD47DF">
        <w:t xml:space="preserve">územní dimenzí a uplatněním integrovaných </w:t>
      </w:r>
      <w:r w:rsidR="009D1769" w:rsidRPr="00DD47DF">
        <w:t>nástrojů</w:t>
      </w:r>
      <w:r w:rsidRPr="00DD47DF">
        <w:t xml:space="preserve"> (ITI) v rámci této investiční priority</w:t>
      </w:r>
      <w:r w:rsidR="00D23729" w:rsidRPr="00DD47DF">
        <w:t xml:space="preserve"> (viz </w:t>
      </w:r>
      <w:r w:rsidR="00D23729" w:rsidRPr="00DD47DF">
        <w:rPr>
          <w:i/>
        </w:rPr>
        <w:t>Cílové území</w:t>
      </w:r>
      <w:r w:rsidR="00D23729" w:rsidRPr="00DD47DF">
        <w:t xml:space="preserve"> v</w:t>
      </w:r>
      <w:r w:rsidR="00C63CF5" w:rsidRPr="00DD47DF">
        <w:t> oddíle 2.A.6.1 a dále oddíl 4</w:t>
      </w:r>
      <w:r w:rsidR="00D23729" w:rsidRPr="00DD47DF">
        <w:t>)</w:t>
      </w:r>
      <w:r w:rsidRPr="00DD47DF">
        <w:t>.</w:t>
      </w:r>
    </w:p>
    <w:p w14:paraId="3E859E95" w14:textId="77777777" w:rsidR="00794BE8" w:rsidRPr="00DD47DF" w:rsidRDefault="00794BE8" w:rsidP="002908E2">
      <w:pPr>
        <w:pStyle w:val="Standardntext"/>
        <w:numPr>
          <w:ilvl w:val="0"/>
          <w:numId w:val="43"/>
        </w:numPr>
      </w:pPr>
      <w:r w:rsidRPr="00DD47DF">
        <w:t>Soulad projektu s prioritami RIS3.</w:t>
      </w:r>
    </w:p>
    <w:p w14:paraId="2721935F" w14:textId="77777777" w:rsidR="00794BE8" w:rsidRDefault="00794BE8" w:rsidP="002908E2">
      <w:pPr>
        <w:pStyle w:val="Standardntext"/>
        <w:numPr>
          <w:ilvl w:val="0"/>
          <w:numId w:val="43"/>
        </w:numPr>
      </w:pPr>
      <w:r w:rsidRPr="00DD47DF">
        <w:t xml:space="preserve">Soulad projektu s horizontálními principy, mezi něž patří udržitelný rozvoj, rovné příležitosti a ochrana před diskriminací. Projekt, který bude v rozporu s těmito principy, nebude v rámci OP PIK podpořen (blíže viz oddíl 11). </w:t>
      </w:r>
    </w:p>
    <w:p w14:paraId="55252CEC" w14:textId="2CBC21C7" w:rsidR="0049216C" w:rsidRPr="00DD47DF" w:rsidRDefault="001337BB" w:rsidP="001337BB">
      <w:pPr>
        <w:pStyle w:val="Standardntext"/>
        <w:numPr>
          <w:ilvl w:val="0"/>
          <w:numId w:val="43"/>
        </w:numPr>
      </w:pPr>
      <w:r w:rsidRPr="001337BB">
        <w:t>V případě podpory formou finančních nástrojů bude výběr operací a příjemců proveden ŘO podle výběrových kritérií schválených MV OP PIK, v souladu s výsledky předběžného posouzení FN. Výběr konečných příjemců bude provádět správce finančního nástroje.</w:t>
      </w:r>
    </w:p>
    <w:p w14:paraId="4E1F63CD" w14:textId="77777777" w:rsidR="00794BE8" w:rsidRPr="00DD47DF" w:rsidRDefault="00643205" w:rsidP="002908E2">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25448378" w14:textId="77777777" w:rsidR="00D71D90" w:rsidRPr="00DD47DF" w:rsidRDefault="00BA6461" w:rsidP="00A25CBC">
      <w:pPr>
        <w:pStyle w:val="Nadpis5"/>
        <w:numPr>
          <w:ilvl w:val="4"/>
          <w:numId w:val="129"/>
        </w:numPr>
        <w:rPr>
          <w:rFonts w:cs="Calibri"/>
        </w:rPr>
      </w:pPr>
      <w:r w:rsidRPr="00DD47DF">
        <w:lastRenderedPageBreak/>
        <w:t>Plánované využití finančních nástrojů (použije-li se)</w:t>
      </w:r>
    </w:p>
    <w:p w14:paraId="50745DD2" w14:textId="076387D2" w:rsidR="00814828" w:rsidRPr="00DD47DF" w:rsidRDefault="00055AD8" w:rsidP="00814828">
      <w:pPr>
        <w:pStyle w:val="Standardntext"/>
      </w:pPr>
      <w:r w:rsidRPr="00055AD8">
        <w:rPr>
          <w:lang w:val="x-none"/>
        </w:rPr>
        <w:t>Při provádění této investiční priority budou koneční příjemci podpořeni finančními nástroji. Detaily stanoví Řídící orgán OP PIK na základě předběžného posouzení finančních nástrojů OP PIK dle čl. 37 odst. 2 obecného nařízení, případně jeho revize podle čl. 37 odst. 2 písm. g) obecného nařízení.</w:t>
      </w:r>
      <w:r w:rsidRPr="00055AD8">
        <w:t xml:space="preserve"> </w:t>
      </w:r>
      <w:r w:rsidRPr="00055AD8">
        <w:rPr>
          <w:lang w:val="x-none"/>
        </w:rPr>
        <w:t>Předběžné posouzení finančních nástrojů musí být dokončeno dříve, než řídicí orgán rozhodne, že finanční nástroj obdrží příspěvek z programu</w:t>
      </w:r>
      <w:r w:rsidRPr="00055AD8">
        <w:t>.</w:t>
      </w:r>
    </w:p>
    <w:p w14:paraId="1B402938" w14:textId="77777777" w:rsidR="00D71D90" w:rsidRPr="00DD47DF" w:rsidRDefault="00BA6461" w:rsidP="00A25CBC">
      <w:pPr>
        <w:pStyle w:val="Nadpis5"/>
        <w:numPr>
          <w:ilvl w:val="4"/>
          <w:numId w:val="129"/>
        </w:numPr>
      </w:pPr>
      <w:r w:rsidRPr="00DD47DF">
        <w:t>Plánované využití velkých projektů (použije-li se)</w:t>
      </w:r>
    </w:p>
    <w:p w14:paraId="0779FA5A" w14:textId="77777777" w:rsidR="0036276B" w:rsidRPr="00DD47DF" w:rsidRDefault="008B5752" w:rsidP="0036276B">
      <w:pPr>
        <w:pStyle w:val="Standardntext"/>
      </w:pPr>
      <w:r w:rsidRPr="00DD47DF">
        <w:t xml:space="preserve">Velké projekty ve smyslu čl. </w:t>
      </w:r>
      <w:r w:rsidR="00936B90" w:rsidRPr="00DD47DF">
        <w:t>10</w:t>
      </w:r>
      <w:r w:rsidRPr="00DD47DF">
        <w:t>0 obecného nařízení nejsou plánovány</w:t>
      </w:r>
      <w:r w:rsidR="0036276B" w:rsidRPr="00DD47DF">
        <w:t>.</w:t>
      </w:r>
    </w:p>
    <w:p w14:paraId="6D85FA3A" w14:textId="77777777" w:rsidR="00C16A07" w:rsidRPr="00DD47DF" w:rsidRDefault="00BA6461" w:rsidP="00A25CBC">
      <w:pPr>
        <w:pStyle w:val="Nadpis5"/>
        <w:keepNext w:val="0"/>
        <w:keepLines w:val="0"/>
        <w:numPr>
          <w:ilvl w:val="4"/>
          <w:numId w:val="129"/>
        </w:numPr>
      </w:pPr>
      <w:r w:rsidRPr="00DD47DF">
        <w:t>Ukazatele výstupů podle investiční priority a případně podle kategorie regionů</w:t>
      </w:r>
    </w:p>
    <w:p w14:paraId="47DD715D" w14:textId="77777777" w:rsidR="007E7041" w:rsidRPr="00DD47DF" w:rsidRDefault="007E7041" w:rsidP="008F72F4">
      <w:pPr>
        <w:pStyle w:val="Titulek"/>
        <w:rPr>
          <w:rFonts w:cs="Calibri"/>
        </w:rPr>
      </w:pPr>
      <w:r w:rsidRPr="00DD47DF">
        <w:rPr>
          <w:rFonts w:cs="Calibri"/>
        </w:rPr>
        <w:t xml:space="preserve">Tabulka </w:t>
      </w:r>
      <w:r w:rsidR="002756E7" w:rsidRPr="00DD47DF">
        <w:rPr>
          <w:rFonts w:cs="Calibri"/>
        </w:rPr>
        <w:fldChar w:fldCharType="begin"/>
      </w:r>
      <w:r w:rsidR="002A1792"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5000" w:type="pct"/>
        <w:tblCellMar>
          <w:left w:w="57" w:type="dxa"/>
          <w:right w:w="57" w:type="dxa"/>
        </w:tblCellMar>
        <w:tblLook w:val="01E0" w:firstRow="1" w:lastRow="1" w:firstColumn="1" w:lastColumn="1" w:noHBand="0" w:noVBand="0"/>
      </w:tblPr>
      <w:tblGrid>
        <w:gridCol w:w="1098"/>
        <w:gridCol w:w="2002"/>
        <w:gridCol w:w="1336"/>
        <w:gridCol w:w="665"/>
        <w:gridCol w:w="1043"/>
        <w:gridCol w:w="1201"/>
        <w:gridCol w:w="998"/>
        <w:gridCol w:w="983"/>
      </w:tblGrid>
      <w:tr w:rsidR="00876781" w:rsidRPr="00DD47DF" w14:paraId="5C13EC03" w14:textId="77777777" w:rsidTr="00055AD8">
        <w:trPr>
          <w:trHeight w:hRule="exact" w:val="1044"/>
        </w:trPr>
        <w:tc>
          <w:tcPr>
            <w:tcW w:w="589"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1552E503" w14:textId="77777777" w:rsidR="005553E9" w:rsidRPr="00DD47DF" w:rsidRDefault="005553E9" w:rsidP="008F72F4">
            <w:pPr>
              <w:pStyle w:val="Tabulka"/>
              <w:rPr>
                <w:rFonts w:cs="Calibri"/>
                <w:b/>
              </w:rPr>
            </w:pPr>
            <w:r w:rsidRPr="00DD47DF">
              <w:rPr>
                <w:rFonts w:cs="Calibri"/>
                <w:b/>
              </w:rPr>
              <w:t>ID</w:t>
            </w:r>
          </w:p>
        </w:tc>
        <w:tc>
          <w:tcPr>
            <w:tcW w:w="1074"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82870F8" w14:textId="77777777" w:rsidR="005553E9" w:rsidRPr="00DD47DF" w:rsidRDefault="001B2E5C" w:rsidP="008F72F4">
            <w:pPr>
              <w:pStyle w:val="Tabulka"/>
              <w:rPr>
                <w:rFonts w:cs="Calibri"/>
                <w:b/>
              </w:rPr>
            </w:pPr>
            <w:r w:rsidRPr="00DD47DF">
              <w:rPr>
                <w:rFonts w:cs="Calibri"/>
                <w:b/>
              </w:rPr>
              <w:t>Ukazatel</w:t>
            </w:r>
          </w:p>
        </w:tc>
        <w:tc>
          <w:tcPr>
            <w:tcW w:w="716"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32829B82" w14:textId="77777777" w:rsidR="005553E9" w:rsidRPr="00DD47DF" w:rsidRDefault="005553E9" w:rsidP="008F72F4">
            <w:pPr>
              <w:pStyle w:val="Tabulka"/>
              <w:rPr>
                <w:rFonts w:cs="Calibri"/>
                <w:b/>
              </w:rPr>
            </w:pPr>
            <w:r w:rsidRPr="00DD47DF">
              <w:rPr>
                <w:rFonts w:cs="Calibri"/>
                <w:b/>
              </w:rPr>
              <w:t>Měrná jednotka</w:t>
            </w:r>
          </w:p>
        </w:tc>
        <w:tc>
          <w:tcPr>
            <w:tcW w:w="35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79493A8" w14:textId="77777777" w:rsidR="005553E9" w:rsidRPr="00DD47DF" w:rsidRDefault="005553E9" w:rsidP="008F72F4">
            <w:pPr>
              <w:pStyle w:val="Tabulka"/>
              <w:rPr>
                <w:rFonts w:cs="Calibri"/>
                <w:b/>
              </w:rPr>
            </w:pPr>
            <w:r w:rsidRPr="00DD47DF">
              <w:rPr>
                <w:rFonts w:cs="Calibri"/>
                <w:b/>
              </w:rPr>
              <w:t>Fond</w:t>
            </w:r>
          </w:p>
        </w:tc>
        <w:tc>
          <w:tcPr>
            <w:tcW w:w="559"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79F16E2B" w14:textId="77777777" w:rsidR="005553E9" w:rsidRPr="00DD47DF" w:rsidRDefault="005553E9" w:rsidP="00400435">
            <w:pPr>
              <w:pStyle w:val="Tabulka"/>
              <w:rPr>
                <w:rFonts w:cs="Calibri"/>
                <w:b/>
              </w:rPr>
            </w:pPr>
            <w:r w:rsidRPr="00DD47DF">
              <w:rPr>
                <w:rFonts w:cs="Calibri"/>
                <w:b/>
              </w:rPr>
              <w:t>Kategorie regionu</w:t>
            </w:r>
          </w:p>
        </w:tc>
        <w:tc>
          <w:tcPr>
            <w:tcW w:w="644"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3E1C552B" w14:textId="77777777" w:rsidR="005553E9" w:rsidRPr="00DD47DF" w:rsidRDefault="005553E9" w:rsidP="00956C4F">
            <w:pPr>
              <w:pStyle w:val="Tabulka"/>
              <w:rPr>
                <w:rFonts w:cs="Calibri"/>
                <w:b/>
              </w:rPr>
            </w:pPr>
            <w:r w:rsidRPr="00DD47DF">
              <w:rPr>
                <w:rFonts w:cs="Calibri"/>
                <w:b/>
              </w:rPr>
              <w:t>Cílová hodnota</w:t>
            </w:r>
            <w:r w:rsidR="00956C4F" w:rsidRPr="00DD47DF">
              <w:rPr>
                <w:rFonts w:cs="Calibri"/>
                <w:b/>
              </w:rPr>
              <w:t xml:space="preserve"> </w:t>
            </w:r>
            <w:r w:rsidR="001B2E5C" w:rsidRPr="00DD47DF">
              <w:rPr>
                <w:rFonts w:cs="Calibri"/>
                <w:b/>
              </w:rPr>
              <w:t>(2023</w:t>
            </w:r>
            <w:r w:rsidRPr="00DD47DF">
              <w:rPr>
                <w:rFonts w:cs="Calibri"/>
                <w:b/>
              </w:rPr>
              <w:t>)</w:t>
            </w:r>
          </w:p>
        </w:tc>
        <w:tc>
          <w:tcPr>
            <w:tcW w:w="535"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FFC1BAD" w14:textId="77777777" w:rsidR="005553E9" w:rsidRPr="00DD47DF" w:rsidRDefault="005553E9" w:rsidP="008F72F4">
            <w:pPr>
              <w:pStyle w:val="Tabulka"/>
              <w:rPr>
                <w:rFonts w:cs="Calibri"/>
                <w:b/>
              </w:rPr>
            </w:pPr>
            <w:r w:rsidRPr="00DD47DF">
              <w:rPr>
                <w:rFonts w:cs="Calibri"/>
                <w:b/>
              </w:rPr>
              <w:t>Zdroj údajů</w:t>
            </w:r>
          </w:p>
        </w:tc>
        <w:tc>
          <w:tcPr>
            <w:tcW w:w="52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5BE9982" w14:textId="77777777" w:rsidR="005553E9" w:rsidRPr="00DD47DF" w:rsidRDefault="001B2E5C" w:rsidP="008F72F4">
            <w:pPr>
              <w:pStyle w:val="Tabulka"/>
              <w:rPr>
                <w:rFonts w:cs="Calibri"/>
                <w:b/>
              </w:rPr>
            </w:pPr>
            <w:r w:rsidRPr="00DD47DF">
              <w:rPr>
                <w:rFonts w:cs="Calibri"/>
                <w:b/>
              </w:rPr>
              <w:t>Četnost podávání zpráv</w:t>
            </w:r>
          </w:p>
        </w:tc>
      </w:tr>
      <w:tr w:rsidR="00876781" w:rsidRPr="00DD47DF" w14:paraId="75AEE3E9" w14:textId="77777777" w:rsidTr="00055AD8">
        <w:trPr>
          <w:trHeight w:hRule="exact" w:val="968"/>
        </w:trPr>
        <w:tc>
          <w:tcPr>
            <w:tcW w:w="589" w:type="pct"/>
            <w:tcBorders>
              <w:top w:val="single" w:sz="4" w:space="0" w:color="000000"/>
              <w:left w:val="single" w:sz="4" w:space="0" w:color="000000"/>
              <w:bottom w:val="single" w:sz="4" w:space="0" w:color="000000"/>
              <w:right w:val="single" w:sz="4" w:space="0" w:color="000000"/>
            </w:tcBorders>
            <w:vAlign w:val="center"/>
          </w:tcPr>
          <w:p w14:paraId="03521C7D" w14:textId="24026185" w:rsidR="006D0B8B" w:rsidRPr="00DD47DF" w:rsidRDefault="00C75691" w:rsidP="008F72F4">
            <w:pPr>
              <w:pStyle w:val="Tabulka"/>
              <w:rPr>
                <w:rFonts w:cs="Calibri"/>
              </w:rPr>
            </w:pPr>
            <w:r w:rsidRPr="00DD47DF">
              <w:rPr>
                <w:rFonts w:cs="Calibri"/>
              </w:rPr>
              <w:t xml:space="preserve">CO </w:t>
            </w:r>
            <w:r w:rsidR="008E5044" w:rsidRPr="00DD47DF">
              <w:rPr>
                <w:rFonts w:cs="Calibri"/>
              </w:rPr>
              <w:t>01</w:t>
            </w:r>
          </w:p>
        </w:tc>
        <w:tc>
          <w:tcPr>
            <w:tcW w:w="1074" w:type="pct"/>
            <w:tcBorders>
              <w:top w:val="single" w:sz="4" w:space="0" w:color="000000"/>
              <w:left w:val="single" w:sz="4" w:space="0" w:color="000000"/>
              <w:bottom w:val="single" w:sz="4" w:space="0" w:color="000000"/>
              <w:right w:val="single" w:sz="4" w:space="0" w:color="000000"/>
            </w:tcBorders>
            <w:vAlign w:val="center"/>
          </w:tcPr>
          <w:p w14:paraId="001BA262" w14:textId="77777777" w:rsidR="006D0B8B" w:rsidRPr="00DD47DF" w:rsidRDefault="006D0B8B" w:rsidP="008F72F4">
            <w:pPr>
              <w:pStyle w:val="Tabulka"/>
              <w:jc w:val="left"/>
              <w:rPr>
                <w:rFonts w:cs="Calibri"/>
              </w:rPr>
            </w:pPr>
            <w:r w:rsidRPr="00DD47DF">
              <w:rPr>
                <w:rFonts w:cs="Calibri"/>
              </w:rPr>
              <w:t>Počet podniků pobírajících podporu</w:t>
            </w:r>
          </w:p>
        </w:tc>
        <w:tc>
          <w:tcPr>
            <w:tcW w:w="716" w:type="pct"/>
            <w:tcBorders>
              <w:top w:val="single" w:sz="4" w:space="0" w:color="000000"/>
              <w:left w:val="single" w:sz="4" w:space="0" w:color="000000"/>
              <w:bottom w:val="single" w:sz="4" w:space="0" w:color="000000"/>
              <w:right w:val="single" w:sz="4" w:space="0" w:color="000000"/>
            </w:tcBorders>
            <w:vAlign w:val="center"/>
          </w:tcPr>
          <w:p w14:paraId="3F313B35" w14:textId="77777777" w:rsidR="006D0B8B" w:rsidRPr="00DD47DF" w:rsidRDefault="006D0B8B" w:rsidP="008F72F4">
            <w:pPr>
              <w:pStyle w:val="Tabulka"/>
              <w:rPr>
                <w:rFonts w:cs="Calibri"/>
              </w:rPr>
            </w:pPr>
            <w:r w:rsidRPr="00DD47DF">
              <w:rPr>
                <w:rFonts w:cs="Calibri"/>
              </w:rPr>
              <w:t>podniky</w:t>
            </w:r>
          </w:p>
        </w:tc>
        <w:tc>
          <w:tcPr>
            <w:tcW w:w="357" w:type="pct"/>
            <w:tcBorders>
              <w:top w:val="single" w:sz="4" w:space="0" w:color="000000"/>
              <w:left w:val="single" w:sz="4" w:space="0" w:color="000000"/>
              <w:bottom w:val="single" w:sz="4" w:space="0" w:color="000000"/>
              <w:right w:val="single" w:sz="4" w:space="0" w:color="000000"/>
            </w:tcBorders>
            <w:vAlign w:val="center"/>
          </w:tcPr>
          <w:p w14:paraId="5EB9342B" w14:textId="77777777" w:rsidR="006D0B8B" w:rsidRPr="00DD47DF" w:rsidRDefault="006D0B8B" w:rsidP="008F72F4">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02132FFD" w14:textId="77777777" w:rsidR="006D0B8B" w:rsidRPr="00DD47DF" w:rsidRDefault="006D0B8B" w:rsidP="00400435">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3524B2A2" w14:textId="77777777" w:rsidR="006D0B8B" w:rsidRPr="00DD47DF" w:rsidRDefault="004E43E2" w:rsidP="00994365">
            <w:pPr>
              <w:pStyle w:val="Tabulka"/>
              <w:rPr>
                <w:rFonts w:cs="Calibri"/>
              </w:rPr>
            </w:pPr>
            <w:r w:rsidRPr="00DD47DF">
              <w:rPr>
                <w:rFonts w:cs="Calibri"/>
              </w:rPr>
              <w:t xml:space="preserve">1 </w:t>
            </w:r>
            <w:r w:rsidR="00D05818" w:rsidRPr="00DD47DF">
              <w:rPr>
                <w:rFonts w:cs="Calibri"/>
              </w:rPr>
              <w:t>9</w:t>
            </w:r>
            <w:r w:rsidRPr="00DD47DF">
              <w:rPr>
                <w:rFonts w:cs="Calibri"/>
              </w:rPr>
              <w:t>70</w:t>
            </w:r>
          </w:p>
        </w:tc>
        <w:tc>
          <w:tcPr>
            <w:tcW w:w="535" w:type="pct"/>
            <w:tcBorders>
              <w:top w:val="single" w:sz="4" w:space="0" w:color="000000"/>
              <w:left w:val="single" w:sz="4" w:space="0" w:color="000000"/>
              <w:bottom w:val="single" w:sz="4" w:space="0" w:color="000000"/>
              <w:right w:val="single" w:sz="4" w:space="0" w:color="000000"/>
            </w:tcBorders>
            <w:vAlign w:val="center"/>
          </w:tcPr>
          <w:p w14:paraId="5BE5D3C2" w14:textId="77777777" w:rsidR="006D0B8B" w:rsidRPr="00DD47DF" w:rsidRDefault="00080743" w:rsidP="008F72F4">
            <w:pPr>
              <w:pStyle w:val="Tabulka"/>
              <w:rPr>
                <w:rFonts w:cs="Calibri"/>
              </w:rPr>
            </w:pPr>
            <w:r>
              <w:rPr>
                <w:rFonts w:cs="Calibri"/>
              </w:rPr>
              <w:t>MS2014+</w:t>
            </w:r>
          </w:p>
        </w:tc>
        <w:tc>
          <w:tcPr>
            <w:tcW w:w="527" w:type="pct"/>
            <w:tcBorders>
              <w:top w:val="single" w:sz="4" w:space="0" w:color="000000"/>
              <w:left w:val="single" w:sz="4" w:space="0" w:color="000000"/>
              <w:bottom w:val="single" w:sz="4" w:space="0" w:color="000000"/>
              <w:right w:val="single" w:sz="4" w:space="0" w:color="000000"/>
            </w:tcBorders>
            <w:vAlign w:val="center"/>
          </w:tcPr>
          <w:p w14:paraId="1AF9A154" w14:textId="77777777" w:rsidR="006D0B8B" w:rsidRPr="00DD47DF" w:rsidRDefault="00080743" w:rsidP="008F72F4">
            <w:pPr>
              <w:pStyle w:val="Tabulka"/>
              <w:rPr>
                <w:rFonts w:cs="Calibri"/>
              </w:rPr>
            </w:pPr>
            <w:r>
              <w:rPr>
                <w:rFonts w:cs="Calibri"/>
              </w:rPr>
              <w:t>průběžně</w:t>
            </w:r>
          </w:p>
        </w:tc>
      </w:tr>
      <w:tr w:rsidR="00876781" w:rsidRPr="00DD47DF" w14:paraId="663D2405"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516A5E06" w14:textId="0A63F98C" w:rsidR="006D0B8B" w:rsidRPr="00DD47DF" w:rsidRDefault="00C75691" w:rsidP="008F72F4">
            <w:pPr>
              <w:pStyle w:val="Tabulka"/>
              <w:rPr>
                <w:rFonts w:cs="Calibri"/>
              </w:rPr>
            </w:pPr>
            <w:r w:rsidRPr="00DD47DF">
              <w:rPr>
                <w:rFonts w:cs="Calibri"/>
              </w:rPr>
              <w:t xml:space="preserve">CO </w:t>
            </w:r>
            <w:r w:rsidR="008E5044" w:rsidRPr="00DD47DF">
              <w:rPr>
                <w:rFonts w:cs="Calibri"/>
              </w:rPr>
              <w:t>02</w:t>
            </w:r>
          </w:p>
        </w:tc>
        <w:tc>
          <w:tcPr>
            <w:tcW w:w="1074" w:type="pct"/>
            <w:tcBorders>
              <w:top w:val="single" w:sz="4" w:space="0" w:color="000000"/>
              <w:left w:val="single" w:sz="4" w:space="0" w:color="000000"/>
              <w:bottom w:val="single" w:sz="4" w:space="0" w:color="000000"/>
              <w:right w:val="single" w:sz="4" w:space="0" w:color="000000"/>
            </w:tcBorders>
            <w:vAlign w:val="center"/>
          </w:tcPr>
          <w:p w14:paraId="78A5FA19" w14:textId="77777777" w:rsidR="006D0B8B" w:rsidRPr="00DD47DF" w:rsidRDefault="006D0B8B" w:rsidP="008F72F4">
            <w:pPr>
              <w:pStyle w:val="Tabulka"/>
              <w:jc w:val="left"/>
              <w:rPr>
                <w:rFonts w:cs="Calibri"/>
              </w:rPr>
            </w:pPr>
            <w:r w:rsidRPr="00DD47DF">
              <w:rPr>
                <w:rFonts w:cs="Calibri"/>
              </w:rPr>
              <w:t>Počet podniků pobírajících granty</w:t>
            </w:r>
          </w:p>
        </w:tc>
        <w:tc>
          <w:tcPr>
            <w:tcW w:w="716" w:type="pct"/>
            <w:tcBorders>
              <w:top w:val="single" w:sz="4" w:space="0" w:color="000000"/>
              <w:left w:val="single" w:sz="4" w:space="0" w:color="000000"/>
              <w:bottom w:val="single" w:sz="4" w:space="0" w:color="000000"/>
              <w:right w:val="single" w:sz="4" w:space="0" w:color="000000"/>
            </w:tcBorders>
            <w:vAlign w:val="center"/>
          </w:tcPr>
          <w:p w14:paraId="12787CD5" w14:textId="77777777" w:rsidR="006D0B8B" w:rsidRPr="00DD47DF" w:rsidRDefault="006D0B8B" w:rsidP="008F72F4">
            <w:pPr>
              <w:pStyle w:val="Tabulka"/>
              <w:rPr>
                <w:rFonts w:cs="Calibri"/>
              </w:rPr>
            </w:pPr>
            <w:r w:rsidRPr="00DD47DF">
              <w:rPr>
                <w:rFonts w:cs="Calibri"/>
              </w:rPr>
              <w:t>podniky</w:t>
            </w:r>
          </w:p>
        </w:tc>
        <w:tc>
          <w:tcPr>
            <w:tcW w:w="357" w:type="pct"/>
            <w:tcBorders>
              <w:top w:val="single" w:sz="4" w:space="0" w:color="000000"/>
              <w:left w:val="single" w:sz="4" w:space="0" w:color="000000"/>
              <w:bottom w:val="single" w:sz="4" w:space="0" w:color="000000"/>
              <w:right w:val="single" w:sz="4" w:space="0" w:color="000000"/>
            </w:tcBorders>
            <w:vAlign w:val="center"/>
          </w:tcPr>
          <w:p w14:paraId="3359B2A6" w14:textId="77777777" w:rsidR="006D0B8B" w:rsidRPr="00DD47DF" w:rsidRDefault="006D0B8B" w:rsidP="008F72F4">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132757C9" w14:textId="77777777" w:rsidR="006D0B8B" w:rsidRPr="00DD47DF" w:rsidRDefault="006D0B8B" w:rsidP="00400435">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675F6673" w14:textId="23C42034" w:rsidR="006D0B8B" w:rsidRPr="00DD47DF" w:rsidRDefault="00055AD8" w:rsidP="00994365">
            <w:pPr>
              <w:pStyle w:val="Tabulka"/>
              <w:rPr>
                <w:rFonts w:cs="Calibri"/>
              </w:rPr>
            </w:pPr>
            <w:r>
              <w:rPr>
                <w:rFonts w:cs="Calibri"/>
              </w:rPr>
              <w:t>1 967</w:t>
            </w:r>
          </w:p>
        </w:tc>
        <w:tc>
          <w:tcPr>
            <w:tcW w:w="535" w:type="pct"/>
            <w:tcBorders>
              <w:top w:val="single" w:sz="4" w:space="0" w:color="000000"/>
              <w:left w:val="single" w:sz="4" w:space="0" w:color="000000"/>
              <w:bottom w:val="single" w:sz="4" w:space="0" w:color="000000"/>
              <w:right w:val="single" w:sz="4" w:space="0" w:color="000000"/>
            </w:tcBorders>
            <w:vAlign w:val="center"/>
          </w:tcPr>
          <w:p w14:paraId="51EA3EF7" w14:textId="77777777" w:rsidR="006D0B8B" w:rsidRPr="00DD47DF" w:rsidRDefault="00934A97" w:rsidP="008F72F4">
            <w:pPr>
              <w:pStyle w:val="Tabulka"/>
              <w:rPr>
                <w:rFonts w:cs="Calibri"/>
              </w:rPr>
            </w:pPr>
            <w:r>
              <w:rPr>
                <w:rFonts w:cs="Calibri"/>
              </w:rPr>
              <w:t>MS</w:t>
            </w:r>
            <w:r w:rsidR="00080743">
              <w:rPr>
                <w:rFonts w:cs="Calibri"/>
              </w:rPr>
              <w:t>2014+</w:t>
            </w:r>
          </w:p>
        </w:tc>
        <w:tc>
          <w:tcPr>
            <w:tcW w:w="527" w:type="pct"/>
            <w:tcBorders>
              <w:top w:val="single" w:sz="4" w:space="0" w:color="000000"/>
              <w:left w:val="single" w:sz="4" w:space="0" w:color="000000"/>
              <w:bottom w:val="single" w:sz="4" w:space="0" w:color="000000"/>
              <w:right w:val="single" w:sz="4" w:space="0" w:color="000000"/>
            </w:tcBorders>
            <w:vAlign w:val="center"/>
          </w:tcPr>
          <w:p w14:paraId="227E66DE" w14:textId="77777777" w:rsidR="006D0B8B" w:rsidRPr="00DD47DF" w:rsidRDefault="00080743" w:rsidP="008F72F4">
            <w:pPr>
              <w:pStyle w:val="Tabulka"/>
              <w:rPr>
                <w:rFonts w:cs="Calibri"/>
              </w:rPr>
            </w:pPr>
            <w:r>
              <w:rPr>
                <w:rFonts w:cs="Calibri"/>
              </w:rPr>
              <w:t>průběžně</w:t>
            </w:r>
          </w:p>
        </w:tc>
      </w:tr>
      <w:tr w:rsidR="00055AD8" w:rsidRPr="00DD47DF" w14:paraId="180D4BED"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623A22BF" w14:textId="54377561" w:rsidR="00055AD8" w:rsidRPr="00DD47DF" w:rsidRDefault="00055AD8" w:rsidP="00055AD8">
            <w:pPr>
              <w:pStyle w:val="Tabulka"/>
              <w:rPr>
                <w:rFonts w:cs="Calibri"/>
              </w:rPr>
            </w:pPr>
            <w:r w:rsidRPr="00E435D7">
              <w:rPr>
                <w:rFonts w:cs="Calibri"/>
              </w:rPr>
              <w:t xml:space="preserve">CO 03 </w:t>
            </w:r>
          </w:p>
        </w:tc>
        <w:tc>
          <w:tcPr>
            <w:tcW w:w="1074" w:type="pct"/>
            <w:tcBorders>
              <w:top w:val="single" w:sz="4" w:space="0" w:color="000000"/>
              <w:left w:val="single" w:sz="4" w:space="0" w:color="000000"/>
              <w:bottom w:val="single" w:sz="4" w:space="0" w:color="000000"/>
              <w:right w:val="single" w:sz="4" w:space="0" w:color="000000"/>
            </w:tcBorders>
            <w:vAlign w:val="center"/>
          </w:tcPr>
          <w:p w14:paraId="6B53E3EF" w14:textId="6E9EE9B2" w:rsidR="00055AD8" w:rsidRPr="0002304E" w:rsidRDefault="00055AD8" w:rsidP="00055AD8">
            <w:pPr>
              <w:pStyle w:val="Tabulka"/>
              <w:jc w:val="left"/>
              <w:rPr>
                <w:rFonts w:cs="Calibri"/>
              </w:rPr>
            </w:pPr>
            <w:r w:rsidRPr="00E435D7">
              <w:rPr>
                <w:rFonts w:cs="Calibri"/>
              </w:rPr>
              <w:t>Počet podniků pobírajících jinou finanční podporu než granty</w:t>
            </w:r>
          </w:p>
        </w:tc>
        <w:tc>
          <w:tcPr>
            <w:tcW w:w="716" w:type="pct"/>
            <w:tcBorders>
              <w:top w:val="single" w:sz="4" w:space="0" w:color="000000"/>
              <w:left w:val="single" w:sz="4" w:space="0" w:color="000000"/>
              <w:bottom w:val="single" w:sz="4" w:space="0" w:color="000000"/>
              <w:right w:val="single" w:sz="4" w:space="0" w:color="000000"/>
            </w:tcBorders>
            <w:vAlign w:val="center"/>
          </w:tcPr>
          <w:p w14:paraId="0C5C2CE8" w14:textId="61783B3C" w:rsidR="00055AD8" w:rsidRPr="00DD47DF" w:rsidRDefault="00055AD8" w:rsidP="00055AD8">
            <w:pPr>
              <w:pStyle w:val="Tabulka"/>
              <w:rPr>
                <w:rFonts w:cs="Calibri"/>
              </w:rPr>
            </w:pPr>
            <w:r w:rsidRPr="00E435D7">
              <w:rPr>
                <w:rFonts w:cs="Calibri"/>
              </w:rPr>
              <w:t xml:space="preserve">podniky </w:t>
            </w:r>
          </w:p>
        </w:tc>
        <w:tc>
          <w:tcPr>
            <w:tcW w:w="357" w:type="pct"/>
            <w:tcBorders>
              <w:top w:val="single" w:sz="4" w:space="0" w:color="000000"/>
              <w:left w:val="single" w:sz="4" w:space="0" w:color="000000"/>
              <w:bottom w:val="single" w:sz="4" w:space="0" w:color="000000"/>
              <w:right w:val="single" w:sz="4" w:space="0" w:color="000000"/>
            </w:tcBorders>
            <w:vAlign w:val="center"/>
          </w:tcPr>
          <w:p w14:paraId="4733751B" w14:textId="5C856A73" w:rsidR="00055AD8" w:rsidRPr="00DD47DF" w:rsidRDefault="00055AD8" w:rsidP="00055AD8">
            <w:pPr>
              <w:pStyle w:val="Tabulka"/>
              <w:rPr>
                <w:rFonts w:cs="Calibri"/>
              </w:rPr>
            </w:pPr>
            <w:r w:rsidRPr="00E435D7">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1C2068D3" w14:textId="0551AF13" w:rsidR="00055AD8" w:rsidRPr="00DD47DF" w:rsidRDefault="00055AD8" w:rsidP="00055AD8">
            <w:pPr>
              <w:pStyle w:val="Tabulka"/>
              <w:rPr>
                <w:rFonts w:cs="Calibri"/>
              </w:rPr>
            </w:pPr>
            <w:r w:rsidRPr="00E435D7">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22621C3A" w14:textId="29B61198" w:rsidR="00055AD8" w:rsidRPr="00DD47DF" w:rsidRDefault="00055AD8" w:rsidP="00055AD8">
            <w:pPr>
              <w:pStyle w:val="Tabulka"/>
              <w:rPr>
                <w:rFonts w:cs="Calibri"/>
              </w:rPr>
            </w:pPr>
            <w:r w:rsidRPr="00E435D7">
              <w:rPr>
                <w:rFonts w:cs="Calibri"/>
              </w:rPr>
              <w:t>3</w:t>
            </w:r>
          </w:p>
        </w:tc>
        <w:tc>
          <w:tcPr>
            <w:tcW w:w="535" w:type="pct"/>
            <w:tcBorders>
              <w:top w:val="single" w:sz="4" w:space="0" w:color="000000"/>
              <w:left w:val="single" w:sz="4" w:space="0" w:color="000000"/>
              <w:bottom w:val="single" w:sz="4" w:space="0" w:color="000000"/>
              <w:right w:val="single" w:sz="4" w:space="0" w:color="000000"/>
            </w:tcBorders>
            <w:vAlign w:val="center"/>
          </w:tcPr>
          <w:p w14:paraId="28E1B20A" w14:textId="48CDB5B5" w:rsidR="00055AD8" w:rsidRDefault="00055AD8" w:rsidP="00055AD8">
            <w:pPr>
              <w:pStyle w:val="Tabulka"/>
              <w:rPr>
                <w:rFonts w:cs="Calibri"/>
              </w:rPr>
            </w:pPr>
            <w:r w:rsidRPr="00E435D7">
              <w:rPr>
                <w:rFonts w:cs="Calibri"/>
              </w:rPr>
              <w:t>MS2014+</w:t>
            </w:r>
          </w:p>
        </w:tc>
        <w:tc>
          <w:tcPr>
            <w:tcW w:w="527" w:type="pct"/>
            <w:tcBorders>
              <w:top w:val="single" w:sz="4" w:space="0" w:color="000000"/>
              <w:left w:val="single" w:sz="4" w:space="0" w:color="000000"/>
              <w:bottom w:val="single" w:sz="4" w:space="0" w:color="000000"/>
              <w:right w:val="single" w:sz="4" w:space="0" w:color="000000"/>
            </w:tcBorders>
            <w:vAlign w:val="center"/>
          </w:tcPr>
          <w:p w14:paraId="757802B8" w14:textId="16C0B128" w:rsidR="00055AD8" w:rsidRDefault="00055AD8" w:rsidP="00055AD8">
            <w:pPr>
              <w:pStyle w:val="Tabulka"/>
              <w:rPr>
                <w:rFonts w:cs="Calibri"/>
              </w:rPr>
            </w:pPr>
            <w:r w:rsidRPr="00E435D7">
              <w:rPr>
                <w:rFonts w:cs="Calibri"/>
              </w:rPr>
              <w:t>průběžně</w:t>
            </w:r>
          </w:p>
        </w:tc>
      </w:tr>
      <w:tr w:rsidR="00055AD8" w:rsidRPr="00DD47DF" w14:paraId="348103FE"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529BB7B2" w14:textId="38691540" w:rsidR="00055AD8" w:rsidRPr="00DD47DF" w:rsidRDefault="00055AD8" w:rsidP="00055AD8">
            <w:pPr>
              <w:pStyle w:val="Tabulka"/>
              <w:rPr>
                <w:rFonts w:cs="Calibri"/>
              </w:rPr>
            </w:pPr>
            <w:r w:rsidRPr="00DD47DF">
              <w:rPr>
                <w:rFonts w:cs="Calibri"/>
              </w:rPr>
              <w:t>CO 06</w:t>
            </w:r>
          </w:p>
        </w:tc>
        <w:tc>
          <w:tcPr>
            <w:tcW w:w="1074" w:type="pct"/>
            <w:tcBorders>
              <w:top w:val="single" w:sz="4" w:space="0" w:color="000000"/>
              <w:left w:val="single" w:sz="4" w:space="0" w:color="000000"/>
              <w:bottom w:val="single" w:sz="4" w:space="0" w:color="000000"/>
              <w:right w:val="single" w:sz="4" w:space="0" w:color="000000"/>
            </w:tcBorders>
            <w:vAlign w:val="center"/>
          </w:tcPr>
          <w:p w14:paraId="3AE30660" w14:textId="77777777" w:rsidR="00055AD8" w:rsidRPr="00DD47DF" w:rsidRDefault="00055AD8" w:rsidP="00055AD8">
            <w:pPr>
              <w:pStyle w:val="Tabulka"/>
              <w:jc w:val="left"/>
              <w:rPr>
                <w:rFonts w:cs="Calibri"/>
              </w:rPr>
            </w:pPr>
            <w:r w:rsidRPr="0002304E">
              <w:rPr>
                <w:rFonts w:cs="Calibri"/>
              </w:rPr>
              <w:t>Soukromé investice odpovídající veřejné podpoře podniků (granty)</w:t>
            </w:r>
          </w:p>
        </w:tc>
        <w:tc>
          <w:tcPr>
            <w:tcW w:w="716" w:type="pct"/>
            <w:tcBorders>
              <w:top w:val="single" w:sz="4" w:space="0" w:color="000000"/>
              <w:left w:val="single" w:sz="4" w:space="0" w:color="000000"/>
              <w:bottom w:val="single" w:sz="4" w:space="0" w:color="000000"/>
              <w:right w:val="single" w:sz="4" w:space="0" w:color="000000"/>
            </w:tcBorders>
            <w:vAlign w:val="center"/>
          </w:tcPr>
          <w:p w14:paraId="32785B21" w14:textId="77777777" w:rsidR="00055AD8" w:rsidRPr="00DD47DF" w:rsidRDefault="00055AD8" w:rsidP="00055AD8">
            <w:pPr>
              <w:pStyle w:val="Tabulka"/>
              <w:rPr>
                <w:rFonts w:cs="Calibri"/>
              </w:rPr>
            </w:pPr>
            <w:r w:rsidRPr="00DD47DF">
              <w:rPr>
                <w:rFonts w:cs="Calibri"/>
              </w:rPr>
              <w:t>EUR</w:t>
            </w:r>
          </w:p>
        </w:tc>
        <w:tc>
          <w:tcPr>
            <w:tcW w:w="357" w:type="pct"/>
            <w:tcBorders>
              <w:top w:val="single" w:sz="4" w:space="0" w:color="000000"/>
              <w:left w:val="single" w:sz="4" w:space="0" w:color="000000"/>
              <w:bottom w:val="single" w:sz="4" w:space="0" w:color="000000"/>
              <w:right w:val="single" w:sz="4" w:space="0" w:color="000000"/>
            </w:tcBorders>
            <w:vAlign w:val="center"/>
          </w:tcPr>
          <w:p w14:paraId="4E4CDB0D" w14:textId="77777777" w:rsidR="00055AD8" w:rsidRPr="00DD47DF" w:rsidRDefault="00055AD8" w:rsidP="00055AD8">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757C684C" w14:textId="77777777" w:rsidR="00055AD8" w:rsidRPr="00DD47DF" w:rsidRDefault="00055AD8" w:rsidP="00055AD8">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40BA1F00" w14:textId="48688E92" w:rsidR="00055AD8" w:rsidRPr="00DD47DF" w:rsidRDefault="00127560" w:rsidP="00055AD8">
            <w:pPr>
              <w:pStyle w:val="Tabulka"/>
              <w:rPr>
                <w:rFonts w:cs="Calibri"/>
              </w:rPr>
            </w:pPr>
            <w:r>
              <w:rPr>
                <w:rFonts w:cs="Calibri"/>
              </w:rPr>
              <w:t>3</w:t>
            </w:r>
            <w:r w:rsidR="00055AD8" w:rsidRPr="00DD47DF">
              <w:rPr>
                <w:rFonts w:cs="Calibri"/>
              </w:rPr>
              <w:t xml:space="preserve"> 761 000 000</w:t>
            </w:r>
          </w:p>
        </w:tc>
        <w:tc>
          <w:tcPr>
            <w:tcW w:w="535" w:type="pct"/>
            <w:tcBorders>
              <w:top w:val="single" w:sz="4" w:space="0" w:color="000000"/>
              <w:left w:val="single" w:sz="4" w:space="0" w:color="000000"/>
              <w:bottom w:val="single" w:sz="4" w:space="0" w:color="000000"/>
              <w:right w:val="single" w:sz="4" w:space="0" w:color="000000"/>
            </w:tcBorders>
            <w:vAlign w:val="center"/>
          </w:tcPr>
          <w:p w14:paraId="3F441259" w14:textId="77777777" w:rsidR="00055AD8" w:rsidRPr="00DD47DF" w:rsidRDefault="00055AD8" w:rsidP="00055AD8">
            <w:pPr>
              <w:pStyle w:val="Tabulka"/>
              <w:rPr>
                <w:rFonts w:cs="Calibri"/>
              </w:rPr>
            </w:pPr>
            <w:r>
              <w:rPr>
                <w:rFonts w:cs="Calibri"/>
              </w:rPr>
              <w:t>MS2014+</w:t>
            </w:r>
          </w:p>
        </w:tc>
        <w:tc>
          <w:tcPr>
            <w:tcW w:w="527" w:type="pct"/>
            <w:tcBorders>
              <w:top w:val="single" w:sz="4" w:space="0" w:color="000000"/>
              <w:left w:val="single" w:sz="4" w:space="0" w:color="000000"/>
              <w:bottom w:val="single" w:sz="4" w:space="0" w:color="000000"/>
              <w:right w:val="single" w:sz="4" w:space="0" w:color="000000"/>
            </w:tcBorders>
            <w:vAlign w:val="center"/>
          </w:tcPr>
          <w:p w14:paraId="3180C7E2" w14:textId="77777777" w:rsidR="00055AD8" w:rsidRPr="00DD47DF" w:rsidRDefault="00055AD8" w:rsidP="00055AD8">
            <w:pPr>
              <w:pStyle w:val="Tabulka"/>
              <w:rPr>
                <w:rFonts w:cs="Calibri"/>
              </w:rPr>
            </w:pPr>
            <w:r>
              <w:rPr>
                <w:rFonts w:cs="Calibri"/>
              </w:rPr>
              <w:t>průběžně</w:t>
            </w:r>
          </w:p>
        </w:tc>
      </w:tr>
      <w:tr w:rsidR="00055AD8" w:rsidRPr="00DD47DF" w14:paraId="5F01CABF"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5482E769" w14:textId="1B3E3E9C" w:rsidR="00055AD8" w:rsidRPr="00DD47DF" w:rsidDel="00C75691" w:rsidRDefault="00055AD8" w:rsidP="00055AD8">
            <w:pPr>
              <w:pStyle w:val="Tabulka"/>
              <w:rPr>
                <w:rFonts w:cs="Calibri"/>
              </w:rPr>
            </w:pPr>
            <w:r w:rsidRPr="00DD47DF">
              <w:rPr>
                <w:rFonts w:cs="Calibri"/>
              </w:rPr>
              <w:t>CO 24</w:t>
            </w:r>
          </w:p>
        </w:tc>
        <w:tc>
          <w:tcPr>
            <w:tcW w:w="1074" w:type="pct"/>
            <w:tcBorders>
              <w:top w:val="single" w:sz="4" w:space="0" w:color="000000"/>
              <w:left w:val="single" w:sz="4" w:space="0" w:color="000000"/>
              <w:bottom w:val="single" w:sz="4" w:space="0" w:color="000000"/>
              <w:right w:val="single" w:sz="4" w:space="0" w:color="000000"/>
            </w:tcBorders>
            <w:vAlign w:val="center"/>
          </w:tcPr>
          <w:p w14:paraId="3CF49391" w14:textId="77777777" w:rsidR="00055AD8" w:rsidRPr="00DD47DF" w:rsidRDefault="00055AD8" w:rsidP="00055AD8">
            <w:pPr>
              <w:pStyle w:val="Tabulka"/>
              <w:jc w:val="left"/>
              <w:rPr>
                <w:rFonts w:cs="Calibri"/>
              </w:rPr>
            </w:pPr>
            <w:r w:rsidRPr="00DD47DF">
              <w:rPr>
                <w:rFonts w:cs="Calibri"/>
              </w:rPr>
              <w:t>Počet nových výzkumných pracovníků v podporovaných subjektech</w:t>
            </w:r>
          </w:p>
        </w:tc>
        <w:tc>
          <w:tcPr>
            <w:tcW w:w="716" w:type="pct"/>
            <w:tcBorders>
              <w:top w:val="single" w:sz="4" w:space="0" w:color="000000"/>
              <w:left w:val="single" w:sz="4" w:space="0" w:color="000000"/>
              <w:bottom w:val="single" w:sz="4" w:space="0" w:color="000000"/>
              <w:right w:val="single" w:sz="4" w:space="0" w:color="000000"/>
            </w:tcBorders>
            <w:vAlign w:val="center"/>
          </w:tcPr>
          <w:p w14:paraId="0DCDF526" w14:textId="77777777" w:rsidR="00055AD8" w:rsidRPr="00DD47DF" w:rsidRDefault="00055AD8" w:rsidP="00055AD8">
            <w:pPr>
              <w:pStyle w:val="Tabulka"/>
              <w:rPr>
                <w:rFonts w:cs="Calibri"/>
              </w:rPr>
            </w:pPr>
            <w:r w:rsidRPr="00DD47DF">
              <w:rPr>
                <w:rFonts w:cs="Calibri"/>
              </w:rPr>
              <w:t>FTE</w:t>
            </w:r>
          </w:p>
        </w:tc>
        <w:tc>
          <w:tcPr>
            <w:tcW w:w="357" w:type="pct"/>
            <w:tcBorders>
              <w:top w:val="single" w:sz="4" w:space="0" w:color="000000"/>
              <w:left w:val="single" w:sz="4" w:space="0" w:color="000000"/>
              <w:bottom w:val="single" w:sz="4" w:space="0" w:color="000000"/>
              <w:right w:val="single" w:sz="4" w:space="0" w:color="000000"/>
            </w:tcBorders>
            <w:vAlign w:val="center"/>
          </w:tcPr>
          <w:p w14:paraId="3142739E" w14:textId="77777777" w:rsidR="00055AD8" w:rsidRPr="00DD47DF" w:rsidRDefault="00055AD8" w:rsidP="00055AD8">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5D5A52CE" w14:textId="77777777" w:rsidR="00055AD8" w:rsidRPr="00DD47DF" w:rsidRDefault="00055AD8" w:rsidP="00055AD8">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6D27A3F1" w14:textId="77777777" w:rsidR="00055AD8" w:rsidRPr="00DD47DF" w:rsidRDefault="00055AD8" w:rsidP="00055AD8">
            <w:pPr>
              <w:pStyle w:val="Tabulka"/>
              <w:rPr>
                <w:rFonts w:cs="Calibri"/>
              </w:rPr>
            </w:pPr>
            <w:r w:rsidRPr="00DD47DF">
              <w:rPr>
                <w:rFonts w:cs="Calibri"/>
              </w:rPr>
              <w:t>3 260</w:t>
            </w:r>
          </w:p>
        </w:tc>
        <w:tc>
          <w:tcPr>
            <w:tcW w:w="535" w:type="pct"/>
            <w:tcBorders>
              <w:top w:val="single" w:sz="4" w:space="0" w:color="000000"/>
              <w:left w:val="single" w:sz="4" w:space="0" w:color="000000"/>
              <w:bottom w:val="single" w:sz="4" w:space="0" w:color="000000"/>
              <w:right w:val="single" w:sz="4" w:space="0" w:color="000000"/>
            </w:tcBorders>
            <w:vAlign w:val="center"/>
          </w:tcPr>
          <w:p w14:paraId="24C93F1A" w14:textId="77777777" w:rsidR="00055AD8" w:rsidRPr="00DD47DF" w:rsidRDefault="00055AD8" w:rsidP="00055AD8">
            <w:pPr>
              <w:pStyle w:val="Tabulka"/>
              <w:rPr>
                <w:rFonts w:cs="Calibri"/>
              </w:rPr>
            </w:pPr>
            <w:r w:rsidRPr="00DD47DF">
              <w:rPr>
                <w:rFonts w:cs="Calibri"/>
              </w:rPr>
              <w:t>Ž/P</w:t>
            </w:r>
          </w:p>
        </w:tc>
        <w:tc>
          <w:tcPr>
            <w:tcW w:w="527" w:type="pct"/>
            <w:tcBorders>
              <w:top w:val="single" w:sz="4" w:space="0" w:color="000000"/>
              <w:left w:val="single" w:sz="4" w:space="0" w:color="000000"/>
              <w:bottom w:val="single" w:sz="4" w:space="0" w:color="000000"/>
              <w:right w:val="single" w:sz="4" w:space="0" w:color="000000"/>
            </w:tcBorders>
            <w:vAlign w:val="center"/>
          </w:tcPr>
          <w:p w14:paraId="5786874F" w14:textId="77777777" w:rsidR="00055AD8" w:rsidRPr="00DD47DF" w:rsidRDefault="00055AD8" w:rsidP="00055AD8">
            <w:pPr>
              <w:pStyle w:val="Tabulka"/>
              <w:rPr>
                <w:rFonts w:cs="Calibri"/>
              </w:rPr>
            </w:pPr>
            <w:r>
              <w:rPr>
                <w:rFonts w:cs="Calibri"/>
              </w:rPr>
              <w:t>průběžně</w:t>
            </w:r>
          </w:p>
        </w:tc>
      </w:tr>
      <w:tr w:rsidR="00055AD8" w:rsidRPr="00DD47DF" w14:paraId="7C7C73DC"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62CBF48D" w14:textId="3DF49FFE" w:rsidR="00055AD8" w:rsidRPr="00DD47DF" w:rsidRDefault="00055AD8" w:rsidP="00055AD8">
            <w:pPr>
              <w:pStyle w:val="Tabulka"/>
              <w:rPr>
                <w:rFonts w:cs="Calibri"/>
              </w:rPr>
            </w:pPr>
            <w:r w:rsidRPr="00DD47DF">
              <w:rPr>
                <w:rFonts w:cs="Calibri"/>
              </w:rPr>
              <w:t>CO 26</w:t>
            </w:r>
          </w:p>
        </w:tc>
        <w:tc>
          <w:tcPr>
            <w:tcW w:w="1074" w:type="pct"/>
            <w:tcBorders>
              <w:top w:val="single" w:sz="4" w:space="0" w:color="000000"/>
              <w:left w:val="single" w:sz="4" w:space="0" w:color="000000"/>
              <w:bottom w:val="single" w:sz="4" w:space="0" w:color="000000"/>
              <w:right w:val="single" w:sz="4" w:space="0" w:color="000000"/>
            </w:tcBorders>
            <w:vAlign w:val="center"/>
          </w:tcPr>
          <w:p w14:paraId="4571A608" w14:textId="77777777" w:rsidR="00055AD8" w:rsidRPr="00DD47DF" w:rsidRDefault="00055AD8" w:rsidP="00055AD8">
            <w:pPr>
              <w:pStyle w:val="Tabulka"/>
              <w:jc w:val="left"/>
              <w:rPr>
                <w:rFonts w:cs="Calibri"/>
              </w:rPr>
            </w:pPr>
            <w:r w:rsidRPr="00DD47DF">
              <w:rPr>
                <w:rFonts w:cs="Calibri"/>
              </w:rPr>
              <w:t>Počet podniků spolupracujících s výzkumnými institucemi</w:t>
            </w:r>
          </w:p>
        </w:tc>
        <w:tc>
          <w:tcPr>
            <w:tcW w:w="716" w:type="pct"/>
            <w:tcBorders>
              <w:top w:val="single" w:sz="4" w:space="0" w:color="000000"/>
              <w:left w:val="single" w:sz="4" w:space="0" w:color="000000"/>
              <w:bottom w:val="single" w:sz="4" w:space="0" w:color="000000"/>
              <w:right w:val="single" w:sz="4" w:space="0" w:color="000000"/>
            </w:tcBorders>
            <w:vAlign w:val="center"/>
          </w:tcPr>
          <w:p w14:paraId="33FB4E75" w14:textId="77777777" w:rsidR="00055AD8" w:rsidRPr="00DD47DF" w:rsidRDefault="00055AD8" w:rsidP="00055AD8">
            <w:pPr>
              <w:pStyle w:val="Tabulka"/>
              <w:rPr>
                <w:rFonts w:cs="Calibri"/>
              </w:rPr>
            </w:pPr>
            <w:r w:rsidRPr="00DD47DF">
              <w:rPr>
                <w:rFonts w:cs="Calibri"/>
              </w:rPr>
              <w:t>podniky</w:t>
            </w:r>
          </w:p>
        </w:tc>
        <w:tc>
          <w:tcPr>
            <w:tcW w:w="357" w:type="pct"/>
            <w:tcBorders>
              <w:top w:val="single" w:sz="4" w:space="0" w:color="000000"/>
              <w:left w:val="single" w:sz="4" w:space="0" w:color="000000"/>
              <w:bottom w:val="single" w:sz="4" w:space="0" w:color="000000"/>
              <w:right w:val="single" w:sz="4" w:space="0" w:color="000000"/>
            </w:tcBorders>
            <w:vAlign w:val="center"/>
          </w:tcPr>
          <w:p w14:paraId="4AFDB845" w14:textId="77777777" w:rsidR="00055AD8" w:rsidRPr="00DD47DF" w:rsidRDefault="00055AD8" w:rsidP="00055AD8">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0292F9C6" w14:textId="77777777" w:rsidR="00055AD8" w:rsidRPr="00DD47DF" w:rsidRDefault="00055AD8" w:rsidP="00055AD8">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5B84D813" w14:textId="2A06E044" w:rsidR="00055AD8" w:rsidRPr="00DD47DF" w:rsidRDefault="00055AD8" w:rsidP="0018368F">
            <w:pPr>
              <w:pStyle w:val="Tabulka"/>
              <w:rPr>
                <w:rFonts w:cs="Calibri"/>
              </w:rPr>
            </w:pPr>
            <w:r w:rsidRPr="00DD47DF">
              <w:rPr>
                <w:rFonts w:cs="Calibri"/>
              </w:rPr>
              <w:t xml:space="preserve">2 </w:t>
            </w:r>
            <w:r w:rsidR="0018368F">
              <w:rPr>
                <w:rFonts w:cs="Calibri"/>
              </w:rPr>
              <w:t>200</w:t>
            </w:r>
          </w:p>
        </w:tc>
        <w:tc>
          <w:tcPr>
            <w:tcW w:w="535" w:type="pct"/>
            <w:tcBorders>
              <w:top w:val="single" w:sz="4" w:space="0" w:color="000000"/>
              <w:left w:val="single" w:sz="4" w:space="0" w:color="000000"/>
              <w:bottom w:val="single" w:sz="4" w:space="0" w:color="000000"/>
              <w:right w:val="single" w:sz="4" w:space="0" w:color="000000"/>
            </w:tcBorders>
            <w:vAlign w:val="center"/>
          </w:tcPr>
          <w:p w14:paraId="1262451F" w14:textId="77777777" w:rsidR="00055AD8" w:rsidRPr="00DD47DF" w:rsidRDefault="00055AD8" w:rsidP="00055AD8">
            <w:pPr>
              <w:pStyle w:val="Tabulka"/>
              <w:rPr>
                <w:rFonts w:cs="Calibri"/>
              </w:rPr>
            </w:pPr>
            <w:r w:rsidRPr="00DD47DF">
              <w:rPr>
                <w:rFonts w:cs="Calibri"/>
              </w:rPr>
              <w:t>Ž/P</w:t>
            </w:r>
          </w:p>
        </w:tc>
        <w:tc>
          <w:tcPr>
            <w:tcW w:w="527" w:type="pct"/>
            <w:tcBorders>
              <w:top w:val="single" w:sz="4" w:space="0" w:color="000000"/>
              <w:left w:val="single" w:sz="4" w:space="0" w:color="000000"/>
              <w:bottom w:val="single" w:sz="4" w:space="0" w:color="000000"/>
              <w:right w:val="single" w:sz="4" w:space="0" w:color="000000"/>
            </w:tcBorders>
            <w:vAlign w:val="center"/>
          </w:tcPr>
          <w:p w14:paraId="5F02762D" w14:textId="77777777" w:rsidR="00055AD8" w:rsidRPr="00DD47DF" w:rsidRDefault="00055AD8" w:rsidP="00055AD8">
            <w:pPr>
              <w:pStyle w:val="Tabulka"/>
              <w:rPr>
                <w:rFonts w:cs="Calibri"/>
              </w:rPr>
            </w:pPr>
            <w:r>
              <w:rPr>
                <w:rFonts w:cs="Calibri"/>
              </w:rPr>
              <w:t>průběžně</w:t>
            </w:r>
          </w:p>
        </w:tc>
      </w:tr>
      <w:tr w:rsidR="00055AD8" w:rsidRPr="00DD47DF" w14:paraId="38927460"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4D75C51E" w14:textId="6CAAAB63" w:rsidR="00055AD8" w:rsidRPr="00DD47DF" w:rsidRDefault="00055AD8" w:rsidP="00055AD8">
            <w:pPr>
              <w:pStyle w:val="Tabulka"/>
              <w:rPr>
                <w:rFonts w:cs="Calibri"/>
              </w:rPr>
            </w:pPr>
            <w:r w:rsidRPr="00DD47DF">
              <w:rPr>
                <w:rFonts w:cs="Calibri"/>
              </w:rPr>
              <w:t>CO 27</w:t>
            </w:r>
          </w:p>
        </w:tc>
        <w:tc>
          <w:tcPr>
            <w:tcW w:w="1074" w:type="pct"/>
            <w:tcBorders>
              <w:top w:val="single" w:sz="4" w:space="0" w:color="000000"/>
              <w:left w:val="single" w:sz="4" w:space="0" w:color="000000"/>
              <w:bottom w:val="single" w:sz="4" w:space="0" w:color="000000"/>
              <w:right w:val="single" w:sz="4" w:space="0" w:color="000000"/>
            </w:tcBorders>
            <w:vAlign w:val="center"/>
          </w:tcPr>
          <w:p w14:paraId="3A17F607" w14:textId="77777777" w:rsidR="00055AD8" w:rsidRPr="00DD47DF" w:rsidRDefault="00055AD8" w:rsidP="00055AD8">
            <w:pPr>
              <w:pStyle w:val="Tabulka"/>
              <w:jc w:val="left"/>
              <w:rPr>
                <w:rFonts w:cs="Calibri"/>
              </w:rPr>
            </w:pPr>
            <w:r w:rsidRPr="00DD47DF">
              <w:rPr>
                <w:rFonts w:cs="Calibri"/>
              </w:rPr>
              <w:t>Soukromé investice v projektech s veřejnou podporou v oblasti inovací nebo výzkumu a vývoje</w:t>
            </w:r>
          </w:p>
        </w:tc>
        <w:tc>
          <w:tcPr>
            <w:tcW w:w="716" w:type="pct"/>
            <w:tcBorders>
              <w:top w:val="single" w:sz="4" w:space="0" w:color="000000"/>
              <w:left w:val="single" w:sz="4" w:space="0" w:color="000000"/>
              <w:bottom w:val="single" w:sz="4" w:space="0" w:color="000000"/>
              <w:right w:val="single" w:sz="4" w:space="0" w:color="000000"/>
            </w:tcBorders>
            <w:vAlign w:val="center"/>
          </w:tcPr>
          <w:p w14:paraId="4446341F" w14:textId="77777777" w:rsidR="00055AD8" w:rsidRPr="00DD47DF" w:rsidRDefault="00055AD8" w:rsidP="00055AD8">
            <w:pPr>
              <w:pStyle w:val="Tabulka"/>
              <w:rPr>
                <w:rFonts w:cs="Calibri"/>
              </w:rPr>
            </w:pPr>
            <w:r w:rsidRPr="00DD47DF">
              <w:rPr>
                <w:rFonts w:cs="Calibri"/>
              </w:rPr>
              <w:t>EUR</w:t>
            </w:r>
          </w:p>
        </w:tc>
        <w:tc>
          <w:tcPr>
            <w:tcW w:w="357" w:type="pct"/>
            <w:tcBorders>
              <w:top w:val="single" w:sz="4" w:space="0" w:color="000000"/>
              <w:left w:val="single" w:sz="4" w:space="0" w:color="000000"/>
              <w:bottom w:val="single" w:sz="4" w:space="0" w:color="000000"/>
              <w:right w:val="single" w:sz="4" w:space="0" w:color="000000"/>
            </w:tcBorders>
            <w:vAlign w:val="center"/>
          </w:tcPr>
          <w:p w14:paraId="544A7156" w14:textId="77777777" w:rsidR="00055AD8" w:rsidRPr="00DD47DF" w:rsidRDefault="00055AD8" w:rsidP="00055AD8">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46EAD58C" w14:textId="77777777" w:rsidR="00055AD8" w:rsidRPr="00DD47DF" w:rsidRDefault="00055AD8" w:rsidP="00055AD8">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3A0F2584" w14:textId="6E324CDE" w:rsidR="00055AD8" w:rsidRPr="00DD47DF" w:rsidRDefault="00127560" w:rsidP="00055AD8">
            <w:pPr>
              <w:pStyle w:val="Tabulka"/>
              <w:rPr>
                <w:rFonts w:cs="Calibri"/>
              </w:rPr>
            </w:pPr>
            <w:r>
              <w:rPr>
                <w:rFonts w:cs="Calibri"/>
              </w:rPr>
              <w:t>3</w:t>
            </w:r>
            <w:r w:rsidR="00055AD8" w:rsidRPr="00DD47DF">
              <w:rPr>
                <w:rFonts w:cs="Calibri"/>
              </w:rPr>
              <w:t xml:space="preserve"> 761 000 000</w:t>
            </w:r>
          </w:p>
        </w:tc>
        <w:tc>
          <w:tcPr>
            <w:tcW w:w="535" w:type="pct"/>
            <w:tcBorders>
              <w:top w:val="single" w:sz="4" w:space="0" w:color="000000"/>
              <w:left w:val="single" w:sz="4" w:space="0" w:color="000000"/>
              <w:bottom w:val="single" w:sz="4" w:space="0" w:color="000000"/>
              <w:right w:val="single" w:sz="4" w:space="0" w:color="000000"/>
            </w:tcBorders>
            <w:vAlign w:val="center"/>
          </w:tcPr>
          <w:p w14:paraId="721F01A1" w14:textId="77777777" w:rsidR="00055AD8" w:rsidRPr="00DD47DF" w:rsidRDefault="00055AD8" w:rsidP="00055AD8">
            <w:pPr>
              <w:pStyle w:val="Tabulka"/>
              <w:rPr>
                <w:rFonts w:cs="Calibri"/>
              </w:rPr>
            </w:pPr>
            <w:r>
              <w:rPr>
                <w:rFonts w:cs="Calibri"/>
              </w:rPr>
              <w:t>MS2014+</w:t>
            </w:r>
          </w:p>
        </w:tc>
        <w:tc>
          <w:tcPr>
            <w:tcW w:w="527" w:type="pct"/>
            <w:tcBorders>
              <w:top w:val="single" w:sz="4" w:space="0" w:color="000000"/>
              <w:left w:val="single" w:sz="4" w:space="0" w:color="000000"/>
              <w:bottom w:val="single" w:sz="4" w:space="0" w:color="000000"/>
              <w:right w:val="single" w:sz="4" w:space="0" w:color="000000"/>
            </w:tcBorders>
            <w:vAlign w:val="center"/>
          </w:tcPr>
          <w:p w14:paraId="2A8E8509" w14:textId="77777777" w:rsidR="00055AD8" w:rsidRPr="00DD47DF" w:rsidRDefault="00055AD8" w:rsidP="00055AD8">
            <w:pPr>
              <w:pStyle w:val="Tabulka"/>
              <w:rPr>
                <w:rFonts w:cs="Calibri"/>
              </w:rPr>
            </w:pPr>
            <w:r>
              <w:rPr>
                <w:rFonts w:cs="Calibri"/>
              </w:rPr>
              <w:t>průběžně</w:t>
            </w:r>
          </w:p>
        </w:tc>
      </w:tr>
      <w:tr w:rsidR="00055AD8" w:rsidRPr="00DD47DF" w14:paraId="5FFFBA83"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65875300" w14:textId="6A7DE62E" w:rsidR="00055AD8" w:rsidRPr="00DD47DF" w:rsidRDefault="00055AD8" w:rsidP="00055AD8">
            <w:pPr>
              <w:pStyle w:val="Tabulka"/>
              <w:jc w:val="left"/>
              <w:rPr>
                <w:rFonts w:cs="Calibri"/>
              </w:rPr>
            </w:pPr>
            <w:r w:rsidRPr="00DD47DF">
              <w:rPr>
                <w:rFonts w:cs="Calibri"/>
              </w:rPr>
              <w:lastRenderedPageBreak/>
              <w:t>CO 28</w:t>
            </w:r>
          </w:p>
        </w:tc>
        <w:tc>
          <w:tcPr>
            <w:tcW w:w="1074" w:type="pct"/>
            <w:tcBorders>
              <w:top w:val="single" w:sz="4" w:space="0" w:color="000000"/>
              <w:left w:val="single" w:sz="4" w:space="0" w:color="000000"/>
              <w:bottom w:val="single" w:sz="4" w:space="0" w:color="000000"/>
              <w:right w:val="single" w:sz="4" w:space="0" w:color="000000"/>
            </w:tcBorders>
            <w:vAlign w:val="center"/>
          </w:tcPr>
          <w:p w14:paraId="138815D2" w14:textId="77777777" w:rsidR="00055AD8" w:rsidRPr="00DD47DF" w:rsidRDefault="00055AD8" w:rsidP="00055AD8">
            <w:pPr>
              <w:pStyle w:val="Tabulka"/>
              <w:jc w:val="left"/>
              <w:rPr>
                <w:rFonts w:cs="Calibri"/>
              </w:rPr>
            </w:pPr>
            <w:r w:rsidRPr="00DD47DF">
              <w:rPr>
                <w:rFonts w:cs="Calibri"/>
              </w:rPr>
              <w:t>Počet podniků, které dostávají podporu pro účely uvádění nových výrobků na trh</w:t>
            </w:r>
          </w:p>
        </w:tc>
        <w:tc>
          <w:tcPr>
            <w:tcW w:w="716" w:type="pct"/>
            <w:tcBorders>
              <w:top w:val="single" w:sz="4" w:space="0" w:color="000000"/>
              <w:left w:val="single" w:sz="4" w:space="0" w:color="000000"/>
              <w:bottom w:val="single" w:sz="4" w:space="0" w:color="000000"/>
              <w:right w:val="single" w:sz="4" w:space="0" w:color="000000"/>
            </w:tcBorders>
            <w:vAlign w:val="center"/>
          </w:tcPr>
          <w:p w14:paraId="66B9E590" w14:textId="77777777" w:rsidR="00055AD8" w:rsidRPr="00DD47DF" w:rsidRDefault="00055AD8" w:rsidP="00055AD8">
            <w:pPr>
              <w:pStyle w:val="Tabulka"/>
              <w:rPr>
                <w:rFonts w:cs="Calibri"/>
              </w:rPr>
            </w:pPr>
            <w:r w:rsidRPr="00DD47DF">
              <w:rPr>
                <w:rFonts w:cs="Calibri"/>
              </w:rPr>
              <w:t>podniky</w:t>
            </w:r>
          </w:p>
        </w:tc>
        <w:tc>
          <w:tcPr>
            <w:tcW w:w="357" w:type="pct"/>
            <w:tcBorders>
              <w:top w:val="single" w:sz="4" w:space="0" w:color="000000"/>
              <w:left w:val="single" w:sz="4" w:space="0" w:color="000000"/>
              <w:bottom w:val="single" w:sz="4" w:space="0" w:color="000000"/>
              <w:right w:val="single" w:sz="4" w:space="0" w:color="000000"/>
            </w:tcBorders>
            <w:vAlign w:val="center"/>
          </w:tcPr>
          <w:p w14:paraId="04A8C212" w14:textId="77777777" w:rsidR="00055AD8" w:rsidRPr="00DD47DF" w:rsidRDefault="00055AD8" w:rsidP="00055AD8">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5929F093" w14:textId="77777777" w:rsidR="00055AD8" w:rsidRPr="00DD47DF" w:rsidRDefault="00055AD8" w:rsidP="00055AD8">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38FF0E8B" w14:textId="64D664EC" w:rsidR="00055AD8" w:rsidRPr="00DD47DF" w:rsidRDefault="004F3191" w:rsidP="00055AD8">
            <w:pPr>
              <w:pStyle w:val="Tabulka"/>
              <w:rPr>
                <w:rFonts w:cs="Calibri"/>
              </w:rPr>
            </w:pPr>
            <w:r>
              <w:rPr>
                <w:rFonts w:cs="Calibri"/>
              </w:rPr>
              <w:t>222</w:t>
            </w:r>
          </w:p>
        </w:tc>
        <w:tc>
          <w:tcPr>
            <w:tcW w:w="535" w:type="pct"/>
            <w:tcBorders>
              <w:top w:val="single" w:sz="4" w:space="0" w:color="000000"/>
              <w:left w:val="single" w:sz="4" w:space="0" w:color="000000"/>
              <w:bottom w:val="single" w:sz="4" w:space="0" w:color="000000"/>
              <w:right w:val="single" w:sz="4" w:space="0" w:color="000000"/>
            </w:tcBorders>
            <w:vAlign w:val="center"/>
          </w:tcPr>
          <w:p w14:paraId="2BDDCDDA" w14:textId="77777777" w:rsidR="00055AD8" w:rsidRPr="00DD47DF" w:rsidRDefault="00055AD8" w:rsidP="00055AD8">
            <w:pPr>
              <w:pStyle w:val="Tabulka"/>
              <w:rPr>
                <w:rFonts w:cs="Calibri"/>
              </w:rPr>
            </w:pPr>
            <w:r>
              <w:rPr>
                <w:rFonts w:cs="Calibri"/>
              </w:rPr>
              <w:t>Ž/P</w:t>
            </w:r>
          </w:p>
        </w:tc>
        <w:tc>
          <w:tcPr>
            <w:tcW w:w="527" w:type="pct"/>
            <w:tcBorders>
              <w:top w:val="single" w:sz="4" w:space="0" w:color="000000"/>
              <w:left w:val="single" w:sz="4" w:space="0" w:color="000000"/>
              <w:bottom w:val="single" w:sz="4" w:space="0" w:color="000000"/>
              <w:right w:val="single" w:sz="4" w:space="0" w:color="000000"/>
            </w:tcBorders>
            <w:vAlign w:val="center"/>
          </w:tcPr>
          <w:p w14:paraId="772EF87D" w14:textId="77777777" w:rsidR="00055AD8" w:rsidRPr="00DD47DF" w:rsidRDefault="00055AD8" w:rsidP="00055AD8">
            <w:pPr>
              <w:pStyle w:val="Tabulka"/>
              <w:rPr>
                <w:rFonts w:cs="Calibri"/>
              </w:rPr>
            </w:pPr>
            <w:r>
              <w:rPr>
                <w:rFonts w:cs="Calibri"/>
              </w:rPr>
              <w:t>průběžně</w:t>
            </w:r>
          </w:p>
        </w:tc>
      </w:tr>
      <w:tr w:rsidR="00055AD8" w:rsidRPr="00DD47DF" w14:paraId="3FB5CD88"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70A30B07" w14:textId="7AF45E3B" w:rsidR="00055AD8" w:rsidRPr="00DD47DF" w:rsidRDefault="00055AD8" w:rsidP="00055AD8">
            <w:pPr>
              <w:pStyle w:val="Tabulka"/>
              <w:jc w:val="left"/>
              <w:rPr>
                <w:rFonts w:cs="Calibri"/>
              </w:rPr>
            </w:pPr>
            <w:r w:rsidRPr="00DD47DF">
              <w:rPr>
                <w:rFonts w:cs="Calibri"/>
              </w:rPr>
              <w:t>CO 29</w:t>
            </w:r>
          </w:p>
        </w:tc>
        <w:tc>
          <w:tcPr>
            <w:tcW w:w="1074" w:type="pct"/>
            <w:tcBorders>
              <w:top w:val="single" w:sz="4" w:space="0" w:color="000000"/>
              <w:left w:val="single" w:sz="4" w:space="0" w:color="000000"/>
              <w:bottom w:val="single" w:sz="4" w:space="0" w:color="000000"/>
              <w:right w:val="single" w:sz="4" w:space="0" w:color="000000"/>
            </w:tcBorders>
            <w:vAlign w:val="center"/>
          </w:tcPr>
          <w:p w14:paraId="39EB0AC6" w14:textId="77777777" w:rsidR="00055AD8" w:rsidRPr="00DD47DF" w:rsidRDefault="00055AD8" w:rsidP="00055AD8">
            <w:pPr>
              <w:pStyle w:val="Tabulka"/>
              <w:jc w:val="left"/>
              <w:rPr>
                <w:rFonts w:cs="Calibri"/>
              </w:rPr>
            </w:pPr>
            <w:r w:rsidRPr="00DD47DF">
              <w:rPr>
                <w:rFonts w:cs="Calibri"/>
              </w:rPr>
              <w:t>Počet podniků, které dostávají podporu pro účely zavádění výrobků nových pro podnik</w:t>
            </w:r>
          </w:p>
        </w:tc>
        <w:tc>
          <w:tcPr>
            <w:tcW w:w="716" w:type="pct"/>
            <w:tcBorders>
              <w:top w:val="single" w:sz="4" w:space="0" w:color="000000"/>
              <w:left w:val="single" w:sz="4" w:space="0" w:color="000000"/>
              <w:bottom w:val="single" w:sz="4" w:space="0" w:color="000000"/>
              <w:right w:val="single" w:sz="4" w:space="0" w:color="000000"/>
            </w:tcBorders>
            <w:vAlign w:val="center"/>
          </w:tcPr>
          <w:p w14:paraId="090911E5" w14:textId="77777777" w:rsidR="00055AD8" w:rsidRPr="00DD47DF" w:rsidRDefault="00055AD8" w:rsidP="00055AD8">
            <w:pPr>
              <w:pStyle w:val="Tabulka"/>
              <w:rPr>
                <w:rFonts w:cs="Calibri"/>
              </w:rPr>
            </w:pPr>
            <w:r w:rsidRPr="00DD47DF">
              <w:rPr>
                <w:rFonts w:cs="Calibri"/>
              </w:rPr>
              <w:t>podniky</w:t>
            </w:r>
          </w:p>
        </w:tc>
        <w:tc>
          <w:tcPr>
            <w:tcW w:w="357" w:type="pct"/>
            <w:tcBorders>
              <w:top w:val="single" w:sz="4" w:space="0" w:color="000000"/>
              <w:left w:val="single" w:sz="4" w:space="0" w:color="000000"/>
              <w:bottom w:val="single" w:sz="4" w:space="0" w:color="000000"/>
              <w:right w:val="single" w:sz="4" w:space="0" w:color="000000"/>
            </w:tcBorders>
            <w:vAlign w:val="center"/>
          </w:tcPr>
          <w:p w14:paraId="3C002801" w14:textId="77777777" w:rsidR="00055AD8" w:rsidRPr="00DD47DF" w:rsidRDefault="00055AD8" w:rsidP="00055AD8">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6D0B6F79" w14:textId="77777777" w:rsidR="00055AD8" w:rsidRPr="00DD47DF" w:rsidRDefault="00055AD8" w:rsidP="00055AD8">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6AC06F3D" w14:textId="0FEA91DF" w:rsidR="00055AD8" w:rsidRPr="00DD47DF" w:rsidRDefault="004F3191" w:rsidP="00055AD8">
            <w:pPr>
              <w:pStyle w:val="Tabulka"/>
              <w:rPr>
                <w:rFonts w:cs="Calibri"/>
              </w:rPr>
            </w:pPr>
            <w:r>
              <w:rPr>
                <w:rFonts w:cs="Calibri"/>
              </w:rPr>
              <w:t>475</w:t>
            </w:r>
          </w:p>
        </w:tc>
        <w:tc>
          <w:tcPr>
            <w:tcW w:w="535" w:type="pct"/>
            <w:tcBorders>
              <w:top w:val="single" w:sz="4" w:space="0" w:color="000000"/>
              <w:left w:val="single" w:sz="4" w:space="0" w:color="000000"/>
              <w:bottom w:val="single" w:sz="4" w:space="0" w:color="000000"/>
              <w:right w:val="single" w:sz="4" w:space="0" w:color="000000"/>
            </w:tcBorders>
            <w:vAlign w:val="center"/>
          </w:tcPr>
          <w:p w14:paraId="737861C8" w14:textId="77777777" w:rsidR="00055AD8" w:rsidRPr="00DD47DF" w:rsidRDefault="00055AD8" w:rsidP="00055AD8">
            <w:pPr>
              <w:pStyle w:val="Tabulka"/>
              <w:rPr>
                <w:rFonts w:cs="Calibri"/>
              </w:rPr>
            </w:pPr>
            <w:r>
              <w:rPr>
                <w:rFonts w:cs="Calibri"/>
              </w:rPr>
              <w:t>Ž/P</w:t>
            </w:r>
          </w:p>
        </w:tc>
        <w:tc>
          <w:tcPr>
            <w:tcW w:w="527" w:type="pct"/>
            <w:tcBorders>
              <w:top w:val="single" w:sz="4" w:space="0" w:color="000000"/>
              <w:left w:val="single" w:sz="4" w:space="0" w:color="000000"/>
              <w:bottom w:val="single" w:sz="4" w:space="0" w:color="000000"/>
              <w:right w:val="single" w:sz="4" w:space="0" w:color="000000"/>
            </w:tcBorders>
            <w:vAlign w:val="center"/>
          </w:tcPr>
          <w:p w14:paraId="6C4C21B3" w14:textId="77777777" w:rsidR="00055AD8" w:rsidRPr="00DD47DF" w:rsidRDefault="00055AD8" w:rsidP="00055AD8">
            <w:pPr>
              <w:pStyle w:val="Tabulka"/>
              <w:rPr>
                <w:rFonts w:cs="Calibri"/>
              </w:rPr>
            </w:pPr>
            <w:r>
              <w:rPr>
                <w:rFonts w:cs="Calibri"/>
              </w:rPr>
              <w:t>průběžně</w:t>
            </w:r>
          </w:p>
        </w:tc>
      </w:tr>
      <w:tr w:rsidR="00055AD8" w:rsidRPr="00DD47DF" w14:paraId="0CC52E2C"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3C9ABDD6" w14:textId="77777777" w:rsidR="00055AD8" w:rsidRPr="00DD47DF" w:rsidDel="00C75691" w:rsidRDefault="00055AD8" w:rsidP="00055AD8">
            <w:pPr>
              <w:pStyle w:val="Tabulka"/>
              <w:jc w:val="left"/>
              <w:rPr>
                <w:rFonts w:cs="Calibri"/>
              </w:rPr>
            </w:pPr>
            <w:r w:rsidRPr="00DD47DF">
              <w:rPr>
                <w:rFonts w:cs="Calibri"/>
              </w:rPr>
              <w:t>20101</w:t>
            </w:r>
          </w:p>
        </w:tc>
        <w:tc>
          <w:tcPr>
            <w:tcW w:w="1074" w:type="pct"/>
            <w:tcBorders>
              <w:top w:val="single" w:sz="4" w:space="0" w:color="000000"/>
              <w:left w:val="single" w:sz="4" w:space="0" w:color="000000"/>
              <w:bottom w:val="single" w:sz="4" w:space="0" w:color="000000"/>
              <w:right w:val="single" w:sz="4" w:space="0" w:color="000000"/>
            </w:tcBorders>
            <w:vAlign w:val="center"/>
          </w:tcPr>
          <w:p w14:paraId="17719602" w14:textId="77777777" w:rsidR="00055AD8" w:rsidRPr="00DD47DF" w:rsidRDefault="00055AD8" w:rsidP="00055AD8">
            <w:pPr>
              <w:pStyle w:val="Tabulka"/>
              <w:jc w:val="left"/>
              <w:rPr>
                <w:rFonts w:cs="Calibri"/>
              </w:rPr>
            </w:pPr>
            <w:r w:rsidRPr="00DD47DF">
              <w:rPr>
                <w:rFonts w:cs="Calibri"/>
              </w:rPr>
              <w:t>Počet výzkumných organizací spolupracujících s firmami</w:t>
            </w:r>
          </w:p>
        </w:tc>
        <w:tc>
          <w:tcPr>
            <w:tcW w:w="716" w:type="pct"/>
            <w:tcBorders>
              <w:top w:val="single" w:sz="4" w:space="0" w:color="000000"/>
              <w:left w:val="single" w:sz="4" w:space="0" w:color="000000"/>
              <w:bottom w:val="single" w:sz="4" w:space="0" w:color="000000"/>
              <w:right w:val="single" w:sz="4" w:space="0" w:color="000000"/>
            </w:tcBorders>
            <w:vAlign w:val="center"/>
          </w:tcPr>
          <w:p w14:paraId="7B948757" w14:textId="77777777" w:rsidR="00055AD8" w:rsidRPr="00DD47DF" w:rsidRDefault="00055AD8" w:rsidP="00055AD8">
            <w:pPr>
              <w:pStyle w:val="Tabulka"/>
              <w:rPr>
                <w:rFonts w:cs="Calibri"/>
              </w:rPr>
            </w:pPr>
            <w:r w:rsidRPr="00DD47DF">
              <w:rPr>
                <w:rFonts w:cs="Calibri"/>
              </w:rPr>
              <w:t>organizace</w:t>
            </w:r>
          </w:p>
        </w:tc>
        <w:tc>
          <w:tcPr>
            <w:tcW w:w="357" w:type="pct"/>
            <w:tcBorders>
              <w:top w:val="single" w:sz="4" w:space="0" w:color="000000"/>
              <w:left w:val="single" w:sz="4" w:space="0" w:color="000000"/>
              <w:bottom w:val="single" w:sz="4" w:space="0" w:color="000000"/>
              <w:right w:val="single" w:sz="4" w:space="0" w:color="000000"/>
            </w:tcBorders>
            <w:vAlign w:val="center"/>
          </w:tcPr>
          <w:p w14:paraId="0C1912CA" w14:textId="77777777" w:rsidR="00055AD8" w:rsidRPr="00DD47DF" w:rsidRDefault="00055AD8" w:rsidP="00055AD8">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38F27E5D" w14:textId="77777777" w:rsidR="00055AD8" w:rsidRPr="00DD47DF" w:rsidRDefault="00055AD8" w:rsidP="00055AD8">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49E68B5A" w14:textId="77777777" w:rsidR="00055AD8" w:rsidRPr="00DD47DF" w:rsidRDefault="00055AD8" w:rsidP="00055AD8">
            <w:pPr>
              <w:pStyle w:val="Tabulka"/>
              <w:rPr>
                <w:rFonts w:cs="Calibri"/>
              </w:rPr>
            </w:pPr>
            <w:r w:rsidRPr="00DD47DF">
              <w:rPr>
                <w:rFonts w:cs="Calibri"/>
              </w:rPr>
              <w:t>195</w:t>
            </w:r>
          </w:p>
        </w:tc>
        <w:tc>
          <w:tcPr>
            <w:tcW w:w="535" w:type="pct"/>
            <w:tcBorders>
              <w:top w:val="single" w:sz="4" w:space="0" w:color="000000"/>
              <w:left w:val="single" w:sz="4" w:space="0" w:color="000000"/>
              <w:bottom w:val="single" w:sz="4" w:space="0" w:color="000000"/>
              <w:right w:val="single" w:sz="4" w:space="0" w:color="000000"/>
            </w:tcBorders>
            <w:vAlign w:val="center"/>
          </w:tcPr>
          <w:p w14:paraId="2C7CE62C" w14:textId="77777777" w:rsidR="00055AD8" w:rsidRPr="00DD47DF" w:rsidRDefault="00055AD8" w:rsidP="00055AD8">
            <w:pPr>
              <w:pStyle w:val="Tabulka"/>
              <w:rPr>
                <w:rFonts w:cs="Calibri"/>
              </w:rPr>
            </w:pPr>
            <w:r w:rsidRPr="00DD47DF">
              <w:rPr>
                <w:rFonts w:cs="Calibri"/>
              </w:rPr>
              <w:t>Ž/P</w:t>
            </w:r>
          </w:p>
        </w:tc>
        <w:tc>
          <w:tcPr>
            <w:tcW w:w="527" w:type="pct"/>
            <w:tcBorders>
              <w:top w:val="single" w:sz="4" w:space="0" w:color="000000"/>
              <w:left w:val="single" w:sz="4" w:space="0" w:color="000000"/>
              <w:bottom w:val="single" w:sz="4" w:space="0" w:color="000000"/>
              <w:right w:val="single" w:sz="4" w:space="0" w:color="000000"/>
            </w:tcBorders>
            <w:vAlign w:val="center"/>
          </w:tcPr>
          <w:p w14:paraId="4E96DDBB" w14:textId="77777777" w:rsidR="00055AD8" w:rsidRPr="00DD47DF" w:rsidRDefault="00055AD8" w:rsidP="00055AD8">
            <w:pPr>
              <w:pStyle w:val="Tabulka"/>
              <w:rPr>
                <w:rFonts w:cs="Calibri"/>
              </w:rPr>
            </w:pPr>
            <w:r>
              <w:rPr>
                <w:rFonts w:cs="Calibri"/>
              </w:rPr>
              <w:t>průběžně</w:t>
            </w:r>
          </w:p>
        </w:tc>
      </w:tr>
      <w:tr w:rsidR="00055AD8" w:rsidRPr="00DD47DF" w14:paraId="020D26F5"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0388FC4B" w14:textId="77777777" w:rsidR="00055AD8" w:rsidRPr="00DD47DF" w:rsidDel="00C75691" w:rsidRDefault="00055AD8" w:rsidP="00055AD8">
            <w:pPr>
              <w:pStyle w:val="Tabulka"/>
              <w:jc w:val="left"/>
              <w:rPr>
                <w:rFonts w:cs="Calibri"/>
              </w:rPr>
            </w:pPr>
            <w:r w:rsidRPr="00DD47DF">
              <w:rPr>
                <w:rFonts w:cs="Calibri"/>
              </w:rPr>
              <w:t>23000</w:t>
            </w:r>
          </w:p>
        </w:tc>
        <w:tc>
          <w:tcPr>
            <w:tcW w:w="1074" w:type="pct"/>
            <w:tcBorders>
              <w:top w:val="single" w:sz="4" w:space="0" w:color="000000"/>
              <w:left w:val="single" w:sz="4" w:space="0" w:color="000000"/>
              <w:bottom w:val="single" w:sz="4" w:space="0" w:color="000000"/>
              <w:right w:val="single" w:sz="4" w:space="0" w:color="000000"/>
            </w:tcBorders>
            <w:vAlign w:val="center"/>
          </w:tcPr>
          <w:p w14:paraId="39438677" w14:textId="77777777" w:rsidR="00055AD8" w:rsidRPr="00DD47DF" w:rsidRDefault="00055AD8" w:rsidP="00055AD8">
            <w:pPr>
              <w:pStyle w:val="Tabulka"/>
              <w:jc w:val="left"/>
              <w:rPr>
                <w:rFonts w:cs="Calibri"/>
              </w:rPr>
            </w:pPr>
            <w:r w:rsidRPr="00DD47DF">
              <w:rPr>
                <w:rFonts w:cs="Calibri"/>
              </w:rPr>
              <w:t>Počet nově vzniklých a modernizovaných inovačních infrastruktur</w:t>
            </w:r>
          </w:p>
        </w:tc>
        <w:tc>
          <w:tcPr>
            <w:tcW w:w="716" w:type="pct"/>
            <w:tcBorders>
              <w:top w:val="single" w:sz="4" w:space="0" w:color="000000"/>
              <w:left w:val="single" w:sz="4" w:space="0" w:color="000000"/>
              <w:bottom w:val="single" w:sz="4" w:space="0" w:color="000000"/>
              <w:right w:val="single" w:sz="4" w:space="0" w:color="000000"/>
            </w:tcBorders>
            <w:vAlign w:val="center"/>
          </w:tcPr>
          <w:p w14:paraId="6E8A4610" w14:textId="77777777" w:rsidR="00055AD8" w:rsidRPr="00DD47DF" w:rsidRDefault="00055AD8" w:rsidP="00055AD8">
            <w:pPr>
              <w:pStyle w:val="Tabulka"/>
              <w:rPr>
                <w:rFonts w:cs="Calibri"/>
              </w:rPr>
            </w:pPr>
            <w:r w:rsidRPr="00DD47DF">
              <w:rPr>
                <w:rFonts w:cs="Calibri"/>
              </w:rPr>
              <w:t>Infrastruktury</w:t>
            </w:r>
          </w:p>
        </w:tc>
        <w:tc>
          <w:tcPr>
            <w:tcW w:w="357" w:type="pct"/>
            <w:tcBorders>
              <w:top w:val="single" w:sz="4" w:space="0" w:color="000000"/>
              <w:left w:val="single" w:sz="4" w:space="0" w:color="000000"/>
              <w:bottom w:val="single" w:sz="4" w:space="0" w:color="000000"/>
              <w:right w:val="single" w:sz="4" w:space="0" w:color="000000"/>
            </w:tcBorders>
            <w:vAlign w:val="center"/>
          </w:tcPr>
          <w:p w14:paraId="49AED4EA" w14:textId="77777777" w:rsidR="00055AD8" w:rsidRPr="00DD47DF" w:rsidRDefault="00055AD8" w:rsidP="00055AD8">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532AEDA6" w14:textId="77777777" w:rsidR="00055AD8" w:rsidRPr="00DD47DF" w:rsidRDefault="00055AD8" w:rsidP="00055AD8">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30EBCE93" w14:textId="34EACD36" w:rsidR="00055AD8" w:rsidRPr="00DD47DF" w:rsidRDefault="00F03BBB" w:rsidP="00055AD8">
            <w:pPr>
              <w:pStyle w:val="Tabulka"/>
              <w:rPr>
                <w:rFonts w:cs="Calibri"/>
              </w:rPr>
            </w:pPr>
            <w:r>
              <w:rPr>
                <w:rFonts w:cs="Calibri"/>
              </w:rPr>
              <w:t>31</w:t>
            </w:r>
          </w:p>
        </w:tc>
        <w:tc>
          <w:tcPr>
            <w:tcW w:w="535" w:type="pct"/>
            <w:tcBorders>
              <w:top w:val="single" w:sz="4" w:space="0" w:color="000000"/>
              <w:left w:val="single" w:sz="4" w:space="0" w:color="000000"/>
              <w:bottom w:val="single" w:sz="4" w:space="0" w:color="000000"/>
              <w:right w:val="single" w:sz="4" w:space="0" w:color="000000"/>
            </w:tcBorders>
            <w:vAlign w:val="center"/>
          </w:tcPr>
          <w:p w14:paraId="6160AC00" w14:textId="77777777" w:rsidR="00055AD8" w:rsidRPr="00DD47DF" w:rsidRDefault="00055AD8" w:rsidP="00055AD8">
            <w:pPr>
              <w:pStyle w:val="Tabulka"/>
              <w:rPr>
                <w:rFonts w:cs="Calibri"/>
              </w:rPr>
            </w:pPr>
            <w:r w:rsidRPr="00DD47DF">
              <w:rPr>
                <w:rFonts w:cs="Calibri"/>
              </w:rPr>
              <w:t>Ž/P</w:t>
            </w:r>
          </w:p>
        </w:tc>
        <w:tc>
          <w:tcPr>
            <w:tcW w:w="527" w:type="pct"/>
            <w:tcBorders>
              <w:top w:val="single" w:sz="4" w:space="0" w:color="000000"/>
              <w:left w:val="single" w:sz="4" w:space="0" w:color="000000"/>
              <w:bottom w:val="single" w:sz="4" w:space="0" w:color="000000"/>
              <w:right w:val="single" w:sz="4" w:space="0" w:color="000000"/>
            </w:tcBorders>
            <w:vAlign w:val="center"/>
          </w:tcPr>
          <w:p w14:paraId="54B36A98" w14:textId="77777777" w:rsidR="00055AD8" w:rsidRPr="00DD47DF" w:rsidRDefault="00055AD8" w:rsidP="00055AD8">
            <w:pPr>
              <w:pStyle w:val="Tabulka"/>
              <w:rPr>
                <w:rFonts w:cs="Calibri"/>
              </w:rPr>
            </w:pPr>
            <w:r>
              <w:rPr>
                <w:rFonts w:cs="Calibri"/>
              </w:rPr>
              <w:t>průběžně</w:t>
            </w:r>
          </w:p>
        </w:tc>
      </w:tr>
      <w:tr w:rsidR="00055AD8" w:rsidRPr="00DD47DF" w14:paraId="3872FFF0"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4D9C4165" w14:textId="77777777" w:rsidR="00055AD8" w:rsidRPr="00DD47DF" w:rsidRDefault="00055AD8" w:rsidP="00055AD8">
            <w:pPr>
              <w:pStyle w:val="Tabulka"/>
              <w:jc w:val="left"/>
              <w:rPr>
                <w:rFonts w:cs="Calibri"/>
              </w:rPr>
            </w:pPr>
            <w:r w:rsidRPr="00DD47DF">
              <w:rPr>
                <w:rFonts w:cs="Calibri"/>
              </w:rPr>
              <w:t>22100</w:t>
            </w:r>
          </w:p>
        </w:tc>
        <w:tc>
          <w:tcPr>
            <w:tcW w:w="1074" w:type="pct"/>
            <w:tcBorders>
              <w:top w:val="single" w:sz="4" w:space="0" w:color="000000"/>
              <w:left w:val="single" w:sz="4" w:space="0" w:color="000000"/>
              <w:bottom w:val="single" w:sz="4" w:space="0" w:color="000000"/>
              <w:right w:val="single" w:sz="4" w:space="0" w:color="000000"/>
            </w:tcBorders>
            <w:vAlign w:val="center"/>
          </w:tcPr>
          <w:p w14:paraId="7E85A8F7" w14:textId="77777777" w:rsidR="00055AD8" w:rsidRPr="00DD47DF" w:rsidRDefault="00055AD8" w:rsidP="00055AD8">
            <w:pPr>
              <w:pStyle w:val="Tabulka"/>
              <w:jc w:val="left"/>
              <w:rPr>
                <w:rFonts w:cs="Calibri"/>
              </w:rPr>
            </w:pPr>
            <w:r w:rsidRPr="00DD47DF">
              <w:rPr>
                <w:rFonts w:cs="Calibri"/>
              </w:rPr>
              <w:t>Počet přihlášek na ochranu práv průmyslového vlastnictví</w:t>
            </w:r>
          </w:p>
        </w:tc>
        <w:tc>
          <w:tcPr>
            <w:tcW w:w="716" w:type="pct"/>
            <w:tcBorders>
              <w:top w:val="single" w:sz="4" w:space="0" w:color="000000"/>
              <w:left w:val="single" w:sz="4" w:space="0" w:color="000000"/>
              <w:bottom w:val="single" w:sz="4" w:space="0" w:color="000000"/>
              <w:right w:val="single" w:sz="4" w:space="0" w:color="000000"/>
            </w:tcBorders>
            <w:vAlign w:val="center"/>
          </w:tcPr>
          <w:p w14:paraId="68B00470" w14:textId="77777777" w:rsidR="00055AD8" w:rsidRPr="00DD47DF" w:rsidRDefault="00055AD8" w:rsidP="00055AD8">
            <w:pPr>
              <w:pStyle w:val="Tabulka"/>
              <w:rPr>
                <w:rFonts w:cs="Calibri"/>
              </w:rPr>
            </w:pPr>
            <w:r w:rsidRPr="00DD47DF">
              <w:rPr>
                <w:rFonts w:cs="Calibri"/>
              </w:rPr>
              <w:t>přihlášky</w:t>
            </w:r>
          </w:p>
        </w:tc>
        <w:tc>
          <w:tcPr>
            <w:tcW w:w="357" w:type="pct"/>
            <w:tcBorders>
              <w:top w:val="single" w:sz="4" w:space="0" w:color="000000"/>
              <w:left w:val="single" w:sz="4" w:space="0" w:color="000000"/>
              <w:bottom w:val="single" w:sz="4" w:space="0" w:color="000000"/>
              <w:right w:val="single" w:sz="4" w:space="0" w:color="000000"/>
            </w:tcBorders>
            <w:vAlign w:val="center"/>
          </w:tcPr>
          <w:p w14:paraId="43A72E81" w14:textId="77777777" w:rsidR="00055AD8" w:rsidRPr="00DD47DF" w:rsidRDefault="00055AD8" w:rsidP="00055AD8">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7FAFE154" w14:textId="77777777" w:rsidR="00055AD8" w:rsidRPr="00DD47DF" w:rsidRDefault="00055AD8" w:rsidP="00055AD8">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196444E3" w14:textId="77777777" w:rsidR="00055AD8" w:rsidRPr="00DD47DF" w:rsidRDefault="00055AD8" w:rsidP="00055AD8">
            <w:pPr>
              <w:pStyle w:val="Tabulka"/>
              <w:rPr>
                <w:rFonts w:cs="Calibri"/>
              </w:rPr>
            </w:pPr>
            <w:r w:rsidRPr="00DD47DF">
              <w:rPr>
                <w:rFonts w:cs="Calibri"/>
              </w:rPr>
              <w:t>600</w:t>
            </w:r>
          </w:p>
        </w:tc>
        <w:tc>
          <w:tcPr>
            <w:tcW w:w="535" w:type="pct"/>
            <w:tcBorders>
              <w:top w:val="single" w:sz="4" w:space="0" w:color="000000"/>
              <w:left w:val="single" w:sz="4" w:space="0" w:color="000000"/>
              <w:bottom w:val="single" w:sz="4" w:space="0" w:color="000000"/>
              <w:right w:val="single" w:sz="4" w:space="0" w:color="000000"/>
            </w:tcBorders>
            <w:vAlign w:val="center"/>
          </w:tcPr>
          <w:p w14:paraId="36B36533" w14:textId="77777777" w:rsidR="00055AD8" w:rsidRPr="00DD47DF" w:rsidRDefault="00055AD8" w:rsidP="00055AD8">
            <w:pPr>
              <w:pStyle w:val="Tabulka"/>
              <w:rPr>
                <w:rFonts w:cs="Calibri"/>
              </w:rPr>
            </w:pPr>
            <w:r w:rsidRPr="00DD47DF">
              <w:rPr>
                <w:rFonts w:cs="Calibri"/>
              </w:rPr>
              <w:t>Ž/P</w:t>
            </w:r>
          </w:p>
        </w:tc>
        <w:tc>
          <w:tcPr>
            <w:tcW w:w="527" w:type="pct"/>
            <w:tcBorders>
              <w:top w:val="single" w:sz="4" w:space="0" w:color="000000"/>
              <w:left w:val="single" w:sz="4" w:space="0" w:color="000000"/>
              <w:bottom w:val="single" w:sz="4" w:space="0" w:color="000000"/>
              <w:right w:val="single" w:sz="4" w:space="0" w:color="000000"/>
            </w:tcBorders>
            <w:vAlign w:val="center"/>
          </w:tcPr>
          <w:p w14:paraId="1B3E19DD" w14:textId="77777777" w:rsidR="00055AD8" w:rsidRPr="00DD47DF" w:rsidRDefault="00055AD8" w:rsidP="00055AD8">
            <w:pPr>
              <w:pStyle w:val="Tabulka"/>
              <w:rPr>
                <w:rFonts w:cs="Calibri"/>
              </w:rPr>
            </w:pPr>
            <w:r>
              <w:rPr>
                <w:rFonts w:cs="Calibri"/>
              </w:rPr>
              <w:t>průběžně</w:t>
            </w:r>
          </w:p>
        </w:tc>
      </w:tr>
    </w:tbl>
    <w:p w14:paraId="2ED16D0F" w14:textId="77777777" w:rsidR="00F262C8" w:rsidRPr="00DD47DF" w:rsidRDefault="00AC6E26" w:rsidP="00441D67">
      <w:pPr>
        <w:pStyle w:val="kapitola2A0"/>
        <w:numPr>
          <w:ilvl w:val="2"/>
          <w:numId w:val="128"/>
        </w:numPr>
      </w:pPr>
      <w:bookmarkStart w:id="34" w:name="_Toc351464367"/>
      <w:bookmarkStart w:id="35" w:name="_Toc520445252"/>
      <w:r w:rsidRPr="00DD47DF">
        <w:t>Sociální inovace, nadnárodní spolupráce a přínos k tematickým cílům 1 až 7</w:t>
      </w:r>
      <w:bookmarkEnd w:id="35"/>
      <w:r w:rsidR="00F262C8" w:rsidRPr="00DD47DF">
        <w:t xml:space="preserve"> </w:t>
      </w:r>
    </w:p>
    <w:p w14:paraId="3351AE3E" w14:textId="77777777" w:rsidR="004126CC" w:rsidRPr="00DD47DF" w:rsidRDefault="008A5FCE" w:rsidP="008A5FCE">
      <w:pPr>
        <w:pStyle w:val="Standardntext"/>
        <w:sectPr w:rsidR="004126CC" w:rsidRPr="00DD47DF" w:rsidSect="000E3FBB">
          <w:headerReference w:type="default" r:id="rId29"/>
          <w:footerReference w:type="default" r:id="rId30"/>
          <w:pgSz w:w="11906" w:h="16838"/>
          <w:pgMar w:top="1418" w:right="1276" w:bottom="1276" w:left="1418" w:header="709" w:footer="709" w:gutter="0"/>
          <w:cols w:space="708"/>
          <w:docGrid w:linePitch="272"/>
        </w:sectPr>
      </w:pPr>
      <w:r w:rsidRPr="00DD47DF">
        <w:t>Není relevantní pro OP PIK.</w:t>
      </w:r>
    </w:p>
    <w:p w14:paraId="5F965989" w14:textId="77777777" w:rsidR="00DB73B5" w:rsidRPr="00DD47DF" w:rsidRDefault="00AC6E26" w:rsidP="00441D67">
      <w:pPr>
        <w:pStyle w:val="kapitola2A0"/>
        <w:numPr>
          <w:ilvl w:val="2"/>
          <w:numId w:val="128"/>
        </w:numPr>
      </w:pPr>
      <w:bookmarkStart w:id="36" w:name="_Toc520445253"/>
      <w:bookmarkEnd w:id="34"/>
      <w:r w:rsidRPr="00DD47DF">
        <w:lastRenderedPageBreak/>
        <w:t>Výkonnostní rámec</w:t>
      </w:r>
      <w:bookmarkEnd w:id="36"/>
    </w:p>
    <w:p w14:paraId="25F5D4E2" w14:textId="77777777" w:rsidR="00FB2288" w:rsidRPr="00DD47DF" w:rsidRDefault="00FB2288" w:rsidP="008F72F4">
      <w:pPr>
        <w:pStyle w:val="Titulek"/>
        <w:keepNext/>
        <w:keepLines/>
        <w:rPr>
          <w:i/>
        </w:rPr>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6</w:t>
      </w:r>
      <w:r w:rsidR="002756E7" w:rsidRPr="00DD47DF">
        <w:rPr>
          <w:noProof/>
        </w:rPr>
        <w:fldChar w:fldCharType="end"/>
      </w:r>
      <w:r w:rsidRPr="00DD47DF">
        <w:t xml:space="preserve">: </w:t>
      </w:r>
      <w:r w:rsidR="00AC6E26" w:rsidRPr="00DD47DF">
        <w:t>Výkonnostní rámec prioritní osy</w:t>
      </w:r>
      <w:r w:rsidRPr="00DD47DF">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933"/>
        <w:gridCol w:w="1557"/>
        <w:gridCol w:w="799"/>
        <w:gridCol w:w="1670"/>
        <w:gridCol w:w="1329"/>
        <w:gridCol w:w="777"/>
        <w:gridCol w:w="1190"/>
        <w:gridCol w:w="1193"/>
        <w:gridCol w:w="1476"/>
        <w:gridCol w:w="997"/>
        <w:gridCol w:w="2337"/>
      </w:tblGrid>
      <w:tr w:rsidR="00D16DE9" w:rsidRPr="00DD47DF" w14:paraId="3D2E5BE5" w14:textId="77777777">
        <w:tc>
          <w:tcPr>
            <w:tcW w:w="325" w:type="pct"/>
            <w:shd w:val="clear" w:color="auto" w:fill="B8CCE4"/>
            <w:vAlign w:val="center"/>
          </w:tcPr>
          <w:p w14:paraId="62F49C18" w14:textId="77777777" w:rsidR="00A8261C" w:rsidRPr="00DD47DF" w:rsidRDefault="00AE32DE" w:rsidP="00D16DE9">
            <w:pPr>
              <w:pStyle w:val="Tabulka"/>
              <w:keepNext/>
              <w:keepLines/>
              <w:rPr>
                <w:rFonts w:cs="Calibri"/>
                <w:b/>
              </w:rPr>
            </w:pPr>
            <w:r w:rsidRPr="00DD47DF">
              <w:rPr>
                <w:rFonts w:cs="Calibri"/>
                <w:b/>
              </w:rPr>
              <w:t>Prioritní osa</w:t>
            </w:r>
          </w:p>
        </w:tc>
        <w:tc>
          <w:tcPr>
            <w:tcW w:w="571" w:type="pct"/>
            <w:shd w:val="clear" w:color="auto" w:fill="B8CCE4"/>
            <w:vAlign w:val="center"/>
          </w:tcPr>
          <w:p w14:paraId="5D15352F" w14:textId="77777777" w:rsidR="00A8261C" w:rsidRPr="00DD47DF" w:rsidRDefault="00A8261C" w:rsidP="00D16DE9">
            <w:pPr>
              <w:pStyle w:val="Tabulka"/>
              <w:keepNext/>
              <w:keepLines/>
              <w:rPr>
                <w:rFonts w:cs="Calibri"/>
                <w:b/>
              </w:rPr>
            </w:pPr>
            <w:r w:rsidRPr="00DD47DF">
              <w:rPr>
                <w:rFonts w:cs="Calibri"/>
                <w:b/>
              </w:rPr>
              <w:t>Typ ukazatele</w:t>
            </w:r>
          </w:p>
          <w:p w14:paraId="11A63E91" w14:textId="77777777" w:rsidR="00A8261C" w:rsidRPr="00DD47DF" w:rsidRDefault="00A8261C" w:rsidP="00D16DE9">
            <w:pPr>
              <w:pStyle w:val="Tabulka"/>
              <w:keepNext/>
              <w:keepLines/>
              <w:rPr>
                <w:rFonts w:cs="Calibri"/>
                <w:b/>
              </w:rPr>
            </w:pPr>
            <w:r w:rsidRPr="00DD47DF">
              <w:rPr>
                <w:rFonts w:cs="Calibri"/>
                <w:b/>
              </w:rPr>
              <w:t>(klíčový krok provádění, finanční výstup nebo popřípadě ukazatel výsledků)</w:t>
            </w:r>
          </w:p>
        </w:tc>
        <w:tc>
          <w:tcPr>
            <w:tcW w:w="216" w:type="pct"/>
            <w:shd w:val="clear" w:color="auto" w:fill="B8CCE4"/>
            <w:vAlign w:val="center"/>
          </w:tcPr>
          <w:p w14:paraId="31BB0922" w14:textId="77777777" w:rsidR="00A8261C" w:rsidRPr="00DD47DF" w:rsidRDefault="00A8261C" w:rsidP="00D16DE9">
            <w:pPr>
              <w:pStyle w:val="Tabulka"/>
              <w:keepNext/>
              <w:keepLines/>
              <w:rPr>
                <w:rFonts w:cs="Calibri"/>
                <w:b/>
              </w:rPr>
            </w:pPr>
            <w:r w:rsidRPr="00DD47DF">
              <w:rPr>
                <w:rFonts w:cs="Calibri"/>
                <w:b/>
              </w:rPr>
              <w:t>ID</w:t>
            </w:r>
          </w:p>
        </w:tc>
        <w:tc>
          <w:tcPr>
            <w:tcW w:w="583" w:type="pct"/>
            <w:shd w:val="clear" w:color="auto" w:fill="B8CCE4"/>
            <w:tcMar>
              <w:top w:w="0" w:type="dxa"/>
              <w:left w:w="108" w:type="dxa"/>
              <w:bottom w:w="0" w:type="dxa"/>
              <w:right w:w="108" w:type="dxa"/>
            </w:tcMar>
            <w:vAlign w:val="center"/>
          </w:tcPr>
          <w:p w14:paraId="6F5A29A0" w14:textId="77777777" w:rsidR="00A8261C" w:rsidRPr="00DD47DF" w:rsidRDefault="00AE32DE" w:rsidP="008F72F4">
            <w:pPr>
              <w:pStyle w:val="Tabulka"/>
              <w:keepNext/>
              <w:keepLines/>
              <w:rPr>
                <w:rFonts w:cs="Calibri"/>
                <w:b/>
              </w:rPr>
            </w:pPr>
            <w:r w:rsidRPr="00DD47DF">
              <w:rPr>
                <w:rFonts w:cs="Calibri"/>
                <w:b/>
              </w:rPr>
              <w:t>Ukazatel nebo klíčový krok provádění</w:t>
            </w:r>
          </w:p>
        </w:tc>
        <w:tc>
          <w:tcPr>
            <w:tcW w:w="491" w:type="pct"/>
            <w:shd w:val="clear" w:color="auto" w:fill="B8CCE4"/>
            <w:tcMar>
              <w:top w:w="0" w:type="dxa"/>
              <w:left w:w="108" w:type="dxa"/>
              <w:bottom w:w="0" w:type="dxa"/>
              <w:right w:w="108" w:type="dxa"/>
            </w:tcMar>
            <w:vAlign w:val="center"/>
          </w:tcPr>
          <w:p w14:paraId="70FBDBE1" w14:textId="77777777" w:rsidR="00A8261C" w:rsidRPr="00DD47DF" w:rsidRDefault="00AE32DE" w:rsidP="008F72F4">
            <w:pPr>
              <w:pStyle w:val="Tabulka"/>
              <w:keepNext/>
              <w:keepLines/>
              <w:rPr>
                <w:rFonts w:cs="Calibri"/>
                <w:b/>
              </w:rPr>
            </w:pPr>
            <w:r w:rsidRPr="00DD47DF">
              <w:rPr>
                <w:rFonts w:cs="Calibri"/>
                <w:b/>
              </w:rPr>
              <w:t>Měrná jednotka (použije-li se)</w:t>
            </w:r>
          </w:p>
        </w:tc>
        <w:tc>
          <w:tcPr>
            <w:tcW w:w="297" w:type="pct"/>
            <w:shd w:val="clear" w:color="auto" w:fill="B8CCE4"/>
            <w:tcMar>
              <w:top w:w="0" w:type="dxa"/>
              <w:left w:w="108" w:type="dxa"/>
              <w:bottom w:w="0" w:type="dxa"/>
              <w:right w:w="108" w:type="dxa"/>
            </w:tcMar>
            <w:vAlign w:val="center"/>
          </w:tcPr>
          <w:p w14:paraId="092F3137" w14:textId="77777777" w:rsidR="00A8261C" w:rsidRPr="00DD47DF" w:rsidRDefault="00A8261C" w:rsidP="008F72F4">
            <w:pPr>
              <w:pStyle w:val="Tabulka"/>
              <w:keepNext/>
              <w:keepLines/>
              <w:rPr>
                <w:rFonts w:cs="Calibri"/>
                <w:b/>
              </w:rPr>
            </w:pPr>
            <w:r w:rsidRPr="00DD47DF">
              <w:rPr>
                <w:rFonts w:cs="Calibri"/>
                <w:b/>
              </w:rPr>
              <w:t>Fond</w:t>
            </w:r>
          </w:p>
        </w:tc>
        <w:tc>
          <w:tcPr>
            <w:tcW w:w="442" w:type="pct"/>
            <w:shd w:val="clear" w:color="auto" w:fill="B8CCE4"/>
            <w:tcMar>
              <w:top w:w="0" w:type="dxa"/>
              <w:left w:w="108" w:type="dxa"/>
              <w:bottom w:w="0" w:type="dxa"/>
              <w:right w:w="108" w:type="dxa"/>
            </w:tcMar>
            <w:vAlign w:val="center"/>
          </w:tcPr>
          <w:p w14:paraId="727FC2CD" w14:textId="77777777" w:rsidR="00A8261C" w:rsidRPr="00DD47DF" w:rsidRDefault="00AE32DE" w:rsidP="008F72F4">
            <w:pPr>
              <w:pStyle w:val="Tabulka"/>
              <w:keepNext/>
              <w:keepLines/>
              <w:rPr>
                <w:rFonts w:cs="Calibri"/>
                <w:b/>
              </w:rPr>
            </w:pPr>
            <w:r w:rsidRPr="00DD47DF">
              <w:rPr>
                <w:rFonts w:cs="Calibri"/>
                <w:b/>
              </w:rPr>
              <w:t>Kategorie regionů</w:t>
            </w:r>
          </w:p>
        </w:tc>
        <w:tc>
          <w:tcPr>
            <w:tcW w:w="443" w:type="pct"/>
            <w:shd w:val="clear" w:color="auto" w:fill="B8CCE4"/>
            <w:vAlign w:val="center"/>
          </w:tcPr>
          <w:p w14:paraId="2A6118AD" w14:textId="77777777" w:rsidR="00A8261C" w:rsidRPr="00DD47DF" w:rsidRDefault="00A8261C" w:rsidP="008F72F4">
            <w:pPr>
              <w:pStyle w:val="Tabulka"/>
              <w:keepNext/>
              <w:keepLines/>
              <w:rPr>
                <w:rFonts w:cs="Calibri"/>
                <w:b/>
              </w:rPr>
            </w:pPr>
            <w:r w:rsidRPr="00DD47DF">
              <w:rPr>
                <w:rFonts w:cs="Calibri"/>
                <w:b/>
              </w:rPr>
              <w:t>Milník pro rok 2018</w:t>
            </w:r>
          </w:p>
        </w:tc>
        <w:tc>
          <w:tcPr>
            <w:tcW w:w="542" w:type="pct"/>
            <w:shd w:val="clear" w:color="auto" w:fill="B8CCE4"/>
            <w:tcMar>
              <w:top w:w="0" w:type="dxa"/>
              <w:left w:w="108" w:type="dxa"/>
              <w:bottom w:w="0" w:type="dxa"/>
              <w:right w:w="108" w:type="dxa"/>
            </w:tcMar>
            <w:vAlign w:val="center"/>
          </w:tcPr>
          <w:p w14:paraId="69FC7565" w14:textId="77777777" w:rsidR="00A8261C" w:rsidRPr="00DD47DF" w:rsidRDefault="00AE32DE" w:rsidP="008F72F4">
            <w:pPr>
              <w:pStyle w:val="Tabulka"/>
              <w:keepNext/>
              <w:keepLines/>
              <w:rPr>
                <w:rFonts w:cs="Calibri"/>
                <w:b/>
              </w:rPr>
            </w:pPr>
            <w:r w:rsidRPr="00DD47DF">
              <w:rPr>
                <w:rFonts w:cs="Calibri"/>
                <w:b/>
              </w:rPr>
              <w:t xml:space="preserve">Konečný cíl </w:t>
            </w:r>
            <w:r w:rsidR="00A8261C" w:rsidRPr="00DD47DF">
              <w:rPr>
                <w:rFonts w:cs="Calibri"/>
                <w:b/>
              </w:rPr>
              <w:t>(2023)</w:t>
            </w:r>
          </w:p>
        </w:tc>
        <w:tc>
          <w:tcPr>
            <w:tcW w:w="246" w:type="pct"/>
            <w:shd w:val="clear" w:color="auto" w:fill="B8CCE4"/>
            <w:vAlign w:val="center"/>
          </w:tcPr>
          <w:p w14:paraId="153087A6" w14:textId="77777777" w:rsidR="00A8261C" w:rsidRPr="00DD47DF" w:rsidRDefault="00A8261C" w:rsidP="008F72F4">
            <w:pPr>
              <w:pStyle w:val="Tabulka"/>
              <w:keepNext/>
              <w:keepLines/>
              <w:rPr>
                <w:rFonts w:cs="Calibri"/>
                <w:b/>
              </w:rPr>
            </w:pPr>
            <w:r w:rsidRPr="00DD47DF">
              <w:rPr>
                <w:rFonts w:cs="Calibri"/>
                <w:b/>
              </w:rPr>
              <w:t>Zdroj dat</w:t>
            </w:r>
          </w:p>
        </w:tc>
        <w:tc>
          <w:tcPr>
            <w:tcW w:w="844" w:type="pct"/>
            <w:shd w:val="clear" w:color="auto" w:fill="B8CCE4"/>
            <w:vAlign w:val="center"/>
          </w:tcPr>
          <w:p w14:paraId="01D0AAA0" w14:textId="77777777" w:rsidR="00A8261C" w:rsidRPr="00DD47DF" w:rsidRDefault="00AE32DE" w:rsidP="008F72F4">
            <w:pPr>
              <w:pStyle w:val="Tabulka"/>
              <w:keepNext/>
              <w:keepLines/>
              <w:rPr>
                <w:rFonts w:cs="Calibri"/>
                <w:b/>
              </w:rPr>
            </w:pPr>
            <w:r w:rsidRPr="00DD47DF">
              <w:rPr>
                <w:rFonts w:cs="Calibri"/>
                <w:b/>
              </w:rPr>
              <w:t>Popřípadě vysvětlení relevantnosti ukazatele</w:t>
            </w:r>
          </w:p>
        </w:tc>
      </w:tr>
      <w:tr w:rsidR="00D16DE9" w:rsidRPr="00DD47DF" w14:paraId="6CE995EE" w14:textId="77777777">
        <w:trPr>
          <w:trHeight w:val="957"/>
        </w:trPr>
        <w:tc>
          <w:tcPr>
            <w:tcW w:w="325" w:type="pct"/>
            <w:vAlign w:val="center"/>
          </w:tcPr>
          <w:p w14:paraId="36883AA2" w14:textId="77777777" w:rsidR="00A8261C" w:rsidRPr="00DD47DF" w:rsidRDefault="00AE32DE" w:rsidP="00D16DE9">
            <w:pPr>
              <w:pStyle w:val="Tabulka"/>
              <w:keepNext/>
              <w:keepLines/>
              <w:rPr>
                <w:rFonts w:cs="Calibri"/>
              </w:rPr>
            </w:pPr>
            <w:r w:rsidRPr="00DD47DF">
              <w:rPr>
                <w:rFonts w:cs="Calibri"/>
              </w:rPr>
              <w:t>PO 1</w:t>
            </w:r>
          </w:p>
        </w:tc>
        <w:tc>
          <w:tcPr>
            <w:tcW w:w="571" w:type="pct"/>
            <w:vAlign w:val="center"/>
          </w:tcPr>
          <w:p w14:paraId="233E2C8C" w14:textId="77777777" w:rsidR="00A8261C" w:rsidRPr="00DD47DF" w:rsidRDefault="00A8261C" w:rsidP="00D16DE9">
            <w:pPr>
              <w:pStyle w:val="Tabulka"/>
              <w:keepNext/>
              <w:keepLines/>
              <w:rPr>
                <w:rFonts w:cs="Calibri"/>
              </w:rPr>
            </w:pPr>
            <w:r w:rsidRPr="00DD47DF">
              <w:rPr>
                <w:rFonts w:cs="Calibri"/>
              </w:rPr>
              <w:t>finanční</w:t>
            </w:r>
          </w:p>
        </w:tc>
        <w:tc>
          <w:tcPr>
            <w:tcW w:w="216" w:type="pct"/>
            <w:vAlign w:val="center"/>
          </w:tcPr>
          <w:p w14:paraId="233FCC94" w14:textId="77777777" w:rsidR="00A8261C" w:rsidRPr="00DD47DF" w:rsidRDefault="00A6082B" w:rsidP="00D16DE9">
            <w:pPr>
              <w:pStyle w:val="Tabulka"/>
              <w:keepNext/>
              <w:keepLines/>
              <w:rPr>
                <w:rFonts w:cs="Calibri"/>
              </w:rPr>
            </w:pPr>
            <w:r w:rsidRPr="00DD47DF">
              <w:rPr>
                <w:rFonts w:cs="Calibri"/>
              </w:rPr>
              <w:t>FINMT</w:t>
            </w:r>
          </w:p>
        </w:tc>
        <w:tc>
          <w:tcPr>
            <w:tcW w:w="583" w:type="pct"/>
            <w:shd w:val="clear" w:color="auto" w:fill="auto"/>
            <w:tcMar>
              <w:top w:w="0" w:type="dxa"/>
              <w:left w:w="108" w:type="dxa"/>
              <w:bottom w:w="0" w:type="dxa"/>
              <w:right w:w="108" w:type="dxa"/>
            </w:tcMar>
            <w:vAlign w:val="center"/>
          </w:tcPr>
          <w:p w14:paraId="61981BCF" w14:textId="77777777" w:rsidR="00A8261C" w:rsidRPr="00DD47DF" w:rsidRDefault="003D1BB3" w:rsidP="008F72F4">
            <w:pPr>
              <w:pStyle w:val="Tabulka"/>
              <w:keepNext/>
              <w:keepLines/>
              <w:rPr>
                <w:rFonts w:cs="Calibri"/>
              </w:rPr>
            </w:pPr>
            <w:r w:rsidRPr="00DD47DF">
              <w:rPr>
                <w:rFonts w:cs="Calibri"/>
              </w:rPr>
              <w:t>Celkové způsobilé certifikované finanční prostředky</w:t>
            </w:r>
          </w:p>
        </w:tc>
        <w:tc>
          <w:tcPr>
            <w:tcW w:w="491" w:type="pct"/>
            <w:shd w:val="clear" w:color="auto" w:fill="auto"/>
            <w:tcMar>
              <w:top w:w="0" w:type="dxa"/>
              <w:left w:w="108" w:type="dxa"/>
              <w:bottom w:w="0" w:type="dxa"/>
              <w:right w:w="108" w:type="dxa"/>
            </w:tcMar>
            <w:vAlign w:val="center"/>
          </w:tcPr>
          <w:p w14:paraId="236FD06F" w14:textId="77777777" w:rsidR="00A8261C" w:rsidRPr="00DD47DF" w:rsidRDefault="00A8261C" w:rsidP="008F72F4">
            <w:pPr>
              <w:pStyle w:val="Tabulka"/>
              <w:keepNext/>
              <w:keepLines/>
              <w:rPr>
                <w:rFonts w:cs="Calibri"/>
              </w:rPr>
            </w:pPr>
            <w:r w:rsidRPr="00DD47DF">
              <w:rPr>
                <w:rFonts w:cs="Calibri"/>
              </w:rPr>
              <w:t>EUR</w:t>
            </w:r>
          </w:p>
        </w:tc>
        <w:tc>
          <w:tcPr>
            <w:tcW w:w="297" w:type="pct"/>
            <w:shd w:val="clear" w:color="auto" w:fill="auto"/>
            <w:tcMar>
              <w:top w:w="0" w:type="dxa"/>
              <w:left w:w="108" w:type="dxa"/>
              <w:bottom w:w="0" w:type="dxa"/>
              <w:right w:w="108" w:type="dxa"/>
            </w:tcMar>
            <w:vAlign w:val="center"/>
          </w:tcPr>
          <w:p w14:paraId="139BEBF2" w14:textId="77777777" w:rsidR="00A8261C" w:rsidRPr="00DD47DF" w:rsidRDefault="00A8261C" w:rsidP="008F72F4">
            <w:pPr>
              <w:pStyle w:val="Tabulka"/>
              <w:keepNext/>
              <w:keepLines/>
              <w:rPr>
                <w:rFonts w:cs="Calibri"/>
              </w:rPr>
            </w:pPr>
            <w:r w:rsidRPr="00DD47DF">
              <w:rPr>
                <w:rFonts w:cs="Calibri"/>
              </w:rPr>
              <w:t>EFRR</w:t>
            </w:r>
          </w:p>
        </w:tc>
        <w:tc>
          <w:tcPr>
            <w:tcW w:w="442" w:type="pct"/>
            <w:shd w:val="clear" w:color="auto" w:fill="auto"/>
            <w:tcMar>
              <w:top w:w="0" w:type="dxa"/>
              <w:left w:w="108" w:type="dxa"/>
              <w:bottom w:w="0" w:type="dxa"/>
              <w:right w:w="108" w:type="dxa"/>
            </w:tcMar>
            <w:vAlign w:val="center"/>
          </w:tcPr>
          <w:p w14:paraId="5FB7708A" w14:textId="77777777" w:rsidR="00A8261C" w:rsidRPr="00DD47DF" w:rsidRDefault="00A8261C" w:rsidP="008F72F4">
            <w:pPr>
              <w:keepNext/>
              <w:keepLines/>
              <w:jc w:val="center"/>
              <w:rPr>
                <w:sz w:val="24"/>
                <w:szCs w:val="24"/>
              </w:rPr>
            </w:pPr>
            <w:r w:rsidRPr="00DD47DF">
              <w:rPr>
                <w:sz w:val="24"/>
                <w:szCs w:val="24"/>
              </w:rPr>
              <w:t>Méně rozvinuté regiony</w:t>
            </w:r>
          </w:p>
        </w:tc>
        <w:tc>
          <w:tcPr>
            <w:tcW w:w="443" w:type="pct"/>
            <w:vAlign w:val="center"/>
          </w:tcPr>
          <w:p w14:paraId="1B653EDE" w14:textId="77777777" w:rsidR="00A8261C" w:rsidRPr="00DD47DF" w:rsidRDefault="00F243A9" w:rsidP="004940AD">
            <w:pPr>
              <w:pStyle w:val="Tabulka"/>
              <w:keepNext/>
              <w:keepLines/>
              <w:rPr>
                <w:rFonts w:cs="Calibri"/>
              </w:rPr>
            </w:pPr>
            <w:r w:rsidRPr="00DD47DF">
              <w:rPr>
                <w:rFonts w:cs="Calibri"/>
              </w:rPr>
              <w:t>5</w:t>
            </w:r>
            <w:r w:rsidR="00CC653D" w:rsidRPr="00DD47DF">
              <w:rPr>
                <w:rFonts w:cs="Calibri"/>
              </w:rPr>
              <w:t>52</w:t>
            </w:r>
            <w:r w:rsidR="000A2CE5" w:rsidRPr="00DD47DF">
              <w:rPr>
                <w:rFonts w:cs="Calibri"/>
              </w:rPr>
              <w:t> </w:t>
            </w:r>
            <w:r w:rsidR="00CC653D" w:rsidRPr="00DD47DF">
              <w:rPr>
                <w:rFonts w:cs="Calibri"/>
              </w:rPr>
              <w:t>4</w:t>
            </w:r>
            <w:r w:rsidR="000A2CE5" w:rsidRPr="00DD47DF">
              <w:rPr>
                <w:rFonts w:cs="Calibri"/>
              </w:rPr>
              <w:t>00 000</w:t>
            </w:r>
          </w:p>
        </w:tc>
        <w:tc>
          <w:tcPr>
            <w:tcW w:w="542" w:type="pct"/>
            <w:shd w:val="clear" w:color="auto" w:fill="auto"/>
            <w:tcMar>
              <w:top w:w="0" w:type="dxa"/>
              <w:left w:w="108" w:type="dxa"/>
              <w:bottom w:w="0" w:type="dxa"/>
              <w:right w:w="108" w:type="dxa"/>
            </w:tcMar>
            <w:vAlign w:val="center"/>
          </w:tcPr>
          <w:p w14:paraId="1629913C" w14:textId="2ECF691C" w:rsidR="00A8261C" w:rsidRPr="00DD47DF" w:rsidRDefault="002C6227" w:rsidP="000A2CE5">
            <w:pPr>
              <w:pStyle w:val="Tabulka"/>
              <w:keepNext/>
              <w:keepLines/>
              <w:rPr>
                <w:rFonts w:cs="Calibri"/>
              </w:rPr>
            </w:pPr>
            <w:r w:rsidRPr="00700E39">
              <w:t>2 782 298 907</w:t>
            </w:r>
          </w:p>
        </w:tc>
        <w:tc>
          <w:tcPr>
            <w:tcW w:w="246" w:type="pct"/>
            <w:vAlign w:val="center"/>
          </w:tcPr>
          <w:p w14:paraId="53B56251" w14:textId="77777777" w:rsidR="00A8261C" w:rsidRPr="00DD47DF" w:rsidRDefault="001B0574" w:rsidP="008F72F4">
            <w:pPr>
              <w:pStyle w:val="Tabulka"/>
              <w:keepNext/>
              <w:keepLines/>
              <w:rPr>
                <w:rFonts w:cs="Calibri"/>
              </w:rPr>
            </w:pPr>
            <w:r w:rsidRPr="00DD47DF">
              <w:rPr>
                <w:rFonts w:cs="Calibri"/>
              </w:rPr>
              <w:t>ŘO</w:t>
            </w:r>
          </w:p>
        </w:tc>
        <w:tc>
          <w:tcPr>
            <w:tcW w:w="844" w:type="pct"/>
            <w:vAlign w:val="center"/>
          </w:tcPr>
          <w:p w14:paraId="7089AE1E" w14:textId="77777777" w:rsidR="00A8261C" w:rsidRPr="00DD47DF" w:rsidRDefault="00775E69" w:rsidP="005479FC">
            <w:pPr>
              <w:pStyle w:val="Tabulka"/>
              <w:keepNext/>
              <w:keepLines/>
              <w:rPr>
                <w:rFonts w:cs="Calibri"/>
              </w:rPr>
            </w:pPr>
            <w:r w:rsidRPr="00DD47DF">
              <w:rPr>
                <w:rFonts w:cs="Calibri"/>
              </w:rPr>
              <w:t>Objem celkových způsobilých výdajů zaslaných do účetního systému certifikačního</w:t>
            </w:r>
            <w:r w:rsidR="005479FC" w:rsidRPr="00DD47DF">
              <w:rPr>
                <w:rFonts w:cs="Calibri"/>
              </w:rPr>
              <w:t xml:space="preserve"> </w:t>
            </w:r>
            <w:r w:rsidRPr="00DD47DF">
              <w:rPr>
                <w:rFonts w:cs="Calibri"/>
              </w:rPr>
              <w:t>orgánu a certifikovaných</w:t>
            </w:r>
            <w:r w:rsidR="00C70BA9" w:rsidRPr="00DD47DF">
              <w:rPr>
                <w:rFonts w:cs="Calibri"/>
              </w:rPr>
              <w:t xml:space="preserve"> certifikačním orgánem</w:t>
            </w:r>
            <w:r w:rsidR="000620DB" w:rsidRPr="00DD47DF">
              <w:rPr>
                <w:rFonts w:cs="Calibri"/>
              </w:rPr>
              <w:t>.</w:t>
            </w:r>
          </w:p>
        </w:tc>
      </w:tr>
      <w:tr w:rsidR="00D16DE9" w:rsidRPr="00DD47DF" w14:paraId="1392D04B" w14:textId="77777777">
        <w:tc>
          <w:tcPr>
            <w:tcW w:w="325" w:type="pct"/>
            <w:vAlign w:val="center"/>
          </w:tcPr>
          <w:p w14:paraId="5829ADFE" w14:textId="77777777" w:rsidR="00194795" w:rsidRPr="00DD47DF" w:rsidRDefault="00194795" w:rsidP="00D16DE9">
            <w:pPr>
              <w:pStyle w:val="Tabulka"/>
              <w:rPr>
                <w:rFonts w:cs="Calibri"/>
              </w:rPr>
            </w:pPr>
            <w:r w:rsidRPr="00DD47DF">
              <w:rPr>
                <w:rFonts w:cs="Calibri"/>
              </w:rPr>
              <w:t>PO 1</w:t>
            </w:r>
          </w:p>
        </w:tc>
        <w:tc>
          <w:tcPr>
            <w:tcW w:w="571" w:type="pct"/>
            <w:vAlign w:val="center"/>
          </w:tcPr>
          <w:p w14:paraId="5204BDB8" w14:textId="77777777" w:rsidR="00194795" w:rsidRPr="00DD47DF" w:rsidRDefault="00194795" w:rsidP="00D16DE9">
            <w:pPr>
              <w:pStyle w:val="Tabulka"/>
              <w:rPr>
                <w:rFonts w:cs="Calibri"/>
              </w:rPr>
            </w:pPr>
            <w:r w:rsidRPr="00DD47DF">
              <w:rPr>
                <w:rFonts w:cs="Calibri"/>
              </w:rPr>
              <w:t>výstupový</w:t>
            </w:r>
          </w:p>
        </w:tc>
        <w:tc>
          <w:tcPr>
            <w:tcW w:w="216" w:type="pct"/>
            <w:vAlign w:val="center"/>
          </w:tcPr>
          <w:p w14:paraId="1AEF0A85" w14:textId="0BCFF061" w:rsidR="00194795" w:rsidRPr="00DD47DF" w:rsidRDefault="00C75691" w:rsidP="00D16DE9">
            <w:pPr>
              <w:pStyle w:val="Tabulka"/>
              <w:rPr>
                <w:rFonts w:cs="Calibri"/>
              </w:rPr>
            </w:pPr>
            <w:r w:rsidRPr="00DD47DF">
              <w:rPr>
                <w:rFonts w:cs="Calibri"/>
              </w:rPr>
              <w:t xml:space="preserve">CO </w:t>
            </w:r>
            <w:r w:rsidR="00CE0853" w:rsidRPr="00DD47DF">
              <w:rPr>
                <w:rFonts w:cs="Calibri"/>
              </w:rPr>
              <w:t>0</w:t>
            </w:r>
            <w:r w:rsidR="00194795" w:rsidRPr="00DD47DF">
              <w:rPr>
                <w:rFonts w:cs="Calibri"/>
              </w:rPr>
              <w:t>1</w:t>
            </w:r>
          </w:p>
        </w:tc>
        <w:tc>
          <w:tcPr>
            <w:tcW w:w="583" w:type="pct"/>
            <w:shd w:val="clear" w:color="auto" w:fill="auto"/>
            <w:tcMar>
              <w:top w:w="0" w:type="dxa"/>
              <w:left w:w="108" w:type="dxa"/>
              <w:bottom w:w="0" w:type="dxa"/>
              <w:right w:w="108" w:type="dxa"/>
            </w:tcMar>
            <w:vAlign w:val="center"/>
          </w:tcPr>
          <w:p w14:paraId="5F735F84" w14:textId="77777777" w:rsidR="00194795" w:rsidRPr="00DD47DF" w:rsidRDefault="00194795" w:rsidP="003D33BE">
            <w:pPr>
              <w:pStyle w:val="Tabulka"/>
              <w:rPr>
                <w:rFonts w:cs="Calibri"/>
              </w:rPr>
            </w:pPr>
            <w:r w:rsidRPr="00DD47DF">
              <w:rPr>
                <w:rFonts w:cs="Calibri"/>
              </w:rPr>
              <w:t>Počet podniků pobírajících podporu</w:t>
            </w:r>
          </w:p>
        </w:tc>
        <w:tc>
          <w:tcPr>
            <w:tcW w:w="491" w:type="pct"/>
            <w:shd w:val="clear" w:color="auto" w:fill="auto"/>
            <w:tcMar>
              <w:top w:w="0" w:type="dxa"/>
              <w:left w:w="108" w:type="dxa"/>
              <w:bottom w:w="0" w:type="dxa"/>
              <w:right w:w="108" w:type="dxa"/>
            </w:tcMar>
            <w:vAlign w:val="center"/>
          </w:tcPr>
          <w:p w14:paraId="68242491" w14:textId="77777777" w:rsidR="00194795" w:rsidRPr="00DD47DF" w:rsidRDefault="00194795" w:rsidP="003D33BE">
            <w:pPr>
              <w:pStyle w:val="Tabulka"/>
              <w:rPr>
                <w:rFonts w:cs="Calibri"/>
              </w:rPr>
            </w:pPr>
            <w:r w:rsidRPr="00DD47DF">
              <w:rPr>
                <w:rFonts w:cs="Calibri"/>
              </w:rPr>
              <w:t>Podniky</w:t>
            </w:r>
          </w:p>
        </w:tc>
        <w:tc>
          <w:tcPr>
            <w:tcW w:w="297" w:type="pct"/>
            <w:shd w:val="clear" w:color="auto" w:fill="auto"/>
            <w:tcMar>
              <w:top w:w="0" w:type="dxa"/>
              <w:left w:w="108" w:type="dxa"/>
              <w:bottom w:w="0" w:type="dxa"/>
              <w:right w:w="108" w:type="dxa"/>
            </w:tcMar>
            <w:vAlign w:val="center"/>
          </w:tcPr>
          <w:p w14:paraId="4D9BB1CE" w14:textId="77777777" w:rsidR="00194795" w:rsidRPr="00DD47DF" w:rsidRDefault="00194795" w:rsidP="003D33BE">
            <w:pPr>
              <w:pStyle w:val="Tabulka"/>
              <w:rPr>
                <w:rFonts w:cs="Calibri"/>
              </w:rPr>
            </w:pPr>
            <w:r w:rsidRPr="00DD47DF">
              <w:rPr>
                <w:rFonts w:cs="Calibri"/>
              </w:rPr>
              <w:t>EFRR</w:t>
            </w:r>
          </w:p>
        </w:tc>
        <w:tc>
          <w:tcPr>
            <w:tcW w:w="442" w:type="pct"/>
            <w:shd w:val="clear" w:color="auto" w:fill="auto"/>
            <w:tcMar>
              <w:top w:w="0" w:type="dxa"/>
              <w:left w:w="108" w:type="dxa"/>
              <w:bottom w:w="0" w:type="dxa"/>
              <w:right w:w="108" w:type="dxa"/>
            </w:tcMar>
            <w:vAlign w:val="center"/>
          </w:tcPr>
          <w:p w14:paraId="69011196" w14:textId="77777777" w:rsidR="00194795" w:rsidRPr="00DD47DF" w:rsidRDefault="00194795" w:rsidP="00295899">
            <w:pPr>
              <w:jc w:val="center"/>
              <w:rPr>
                <w:sz w:val="24"/>
                <w:szCs w:val="24"/>
              </w:rPr>
            </w:pPr>
            <w:r w:rsidRPr="00DD47DF">
              <w:rPr>
                <w:sz w:val="24"/>
                <w:szCs w:val="24"/>
              </w:rPr>
              <w:t>Méně rozvinuté regiony</w:t>
            </w:r>
          </w:p>
        </w:tc>
        <w:tc>
          <w:tcPr>
            <w:tcW w:w="443" w:type="pct"/>
            <w:vAlign w:val="center"/>
          </w:tcPr>
          <w:p w14:paraId="690C9AF4" w14:textId="77777777" w:rsidR="00194795" w:rsidRPr="00DD47DF" w:rsidRDefault="009B2E0D" w:rsidP="00DD63AD">
            <w:pPr>
              <w:jc w:val="center"/>
              <w:rPr>
                <w:sz w:val="24"/>
                <w:szCs w:val="24"/>
              </w:rPr>
            </w:pPr>
            <w:r w:rsidRPr="00DD47DF">
              <w:rPr>
                <w:sz w:val="24"/>
                <w:szCs w:val="24"/>
              </w:rPr>
              <w:t>4</w:t>
            </w:r>
            <w:r w:rsidR="00F243A9" w:rsidRPr="00DD47DF">
              <w:rPr>
                <w:sz w:val="24"/>
                <w:szCs w:val="24"/>
              </w:rPr>
              <w:t>2</w:t>
            </w:r>
            <w:r w:rsidRPr="00DD47DF">
              <w:rPr>
                <w:sz w:val="24"/>
                <w:szCs w:val="24"/>
              </w:rPr>
              <w:t>0</w:t>
            </w:r>
          </w:p>
        </w:tc>
        <w:tc>
          <w:tcPr>
            <w:tcW w:w="542" w:type="pct"/>
            <w:shd w:val="clear" w:color="auto" w:fill="auto"/>
            <w:tcMar>
              <w:top w:w="0" w:type="dxa"/>
              <w:left w:w="108" w:type="dxa"/>
              <w:bottom w:w="0" w:type="dxa"/>
              <w:right w:w="108" w:type="dxa"/>
            </w:tcMar>
            <w:vAlign w:val="center"/>
          </w:tcPr>
          <w:p w14:paraId="23A17F53" w14:textId="77777777" w:rsidR="00194795" w:rsidRPr="00DD47DF" w:rsidRDefault="009B2E0D" w:rsidP="00DD63AD">
            <w:pPr>
              <w:jc w:val="center"/>
              <w:rPr>
                <w:sz w:val="24"/>
                <w:szCs w:val="24"/>
              </w:rPr>
            </w:pPr>
            <w:r w:rsidRPr="00DD47DF">
              <w:rPr>
                <w:sz w:val="24"/>
                <w:szCs w:val="24"/>
              </w:rPr>
              <w:t xml:space="preserve">1 </w:t>
            </w:r>
            <w:r w:rsidR="00F243A9" w:rsidRPr="00DD47DF">
              <w:rPr>
                <w:sz w:val="24"/>
                <w:szCs w:val="24"/>
              </w:rPr>
              <w:t>9</w:t>
            </w:r>
            <w:r w:rsidRPr="00DD47DF">
              <w:rPr>
                <w:sz w:val="24"/>
                <w:szCs w:val="24"/>
              </w:rPr>
              <w:t>70</w:t>
            </w:r>
          </w:p>
        </w:tc>
        <w:tc>
          <w:tcPr>
            <w:tcW w:w="246" w:type="pct"/>
            <w:vAlign w:val="center"/>
          </w:tcPr>
          <w:p w14:paraId="059E5039" w14:textId="77777777" w:rsidR="00194795" w:rsidRPr="00DD47DF" w:rsidRDefault="00EA3203" w:rsidP="003D33BE">
            <w:pPr>
              <w:pStyle w:val="Tabulka"/>
              <w:rPr>
                <w:rFonts w:cs="Calibri"/>
              </w:rPr>
            </w:pPr>
            <w:r>
              <w:rPr>
                <w:rFonts w:cs="Calibri"/>
              </w:rPr>
              <w:t>MS2014+</w:t>
            </w:r>
          </w:p>
        </w:tc>
        <w:tc>
          <w:tcPr>
            <w:tcW w:w="844" w:type="pct"/>
            <w:vAlign w:val="center"/>
          </w:tcPr>
          <w:p w14:paraId="25784F9C" w14:textId="3E961795" w:rsidR="00194795" w:rsidRPr="00DD47DF" w:rsidRDefault="00194795" w:rsidP="00D16DE9">
            <w:pPr>
              <w:pStyle w:val="Tabulka"/>
              <w:rPr>
                <w:rFonts w:cs="Calibri"/>
              </w:rPr>
            </w:pPr>
            <w:r w:rsidRPr="00DD47DF">
              <w:rPr>
                <w:rFonts w:cs="Calibri"/>
              </w:rPr>
              <w:t>Indikátor sleduje počet</w:t>
            </w:r>
            <w:r w:rsidR="00D16DE9" w:rsidRPr="00DD47DF">
              <w:rPr>
                <w:rFonts w:cs="Calibri"/>
              </w:rPr>
              <w:t xml:space="preserve"> </w:t>
            </w:r>
            <w:r w:rsidRPr="00DD47DF">
              <w:rPr>
                <w:rFonts w:cs="Calibri"/>
              </w:rPr>
              <w:t>podpořených firem a pokrývá finančně</w:t>
            </w:r>
            <w:r w:rsidR="00D16DE9" w:rsidRPr="00DD47DF">
              <w:rPr>
                <w:rFonts w:cs="Calibri"/>
              </w:rPr>
              <w:t xml:space="preserve"> </w:t>
            </w:r>
            <w:r w:rsidRPr="00DD47DF">
              <w:rPr>
                <w:rFonts w:cs="Calibri"/>
              </w:rPr>
              <w:t>nejobjemnější část intervence</w:t>
            </w:r>
            <w:r w:rsidR="00D16DE9" w:rsidRPr="00DD47DF">
              <w:rPr>
                <w:rFonts w:cs="Calibri"/>
              </w:rPr>
              <w:t xml:space="preserve"> </w:t>
            </w:r>
            <w:r w:rsidRPr="00DD47DF">
              <w:rPr>
                <w:rFonts w:cs="Calibri"/>
              </w:rPr>
              <w:t xml:space="preserve">v rámci prioritní osy 1. </w:t>
            </w:r>
            <w:r w:rsidR="00FE762D" w:rsidRPr="00FE762D">
              <w:rPr>
                <w:rFonts w:cs="Calibri"/>
              </w:rPr>
              <w:t>Vykazování skutečně dosažených hodnot se provádí v souladu s prováděcím nařízením (EU) č. 215/2014, v platném znění.</w:t>
            </w:r>
          </w:p>
        </w:tc>
      </w:tr>
      <w:tr w:rsidR="00D16DE9" w:rsidRPr="00DD47DF" w14:paraId="79F64B35" w14:textId="77777777">
        <w:tc>
          <w:tcPr>
            <w:tcW w:w="325" w:type="pct"/>
            <w:vAlign w:val="center"/>
          </w:tcPr>
          <w:p w14:paraId="024D7EB4" w14:textId="77777777" w:rsidR="00194795" w:rsidRPr="00DD47DF" w:rsidRDefault="00194795" w:rsidP="00D16DE9">
            <w:pPr>
              <w:pStyle w:val="Tabulka"/>
              <w:keepNext/>
              <w:keepLines/>
              <w:rPr>
                <w:rFonts w:cs="Calibri"/>
              </w:rPr>
            </w:pPr>
            <w:r w:rsidRPr="00DD47DF">
              <w:rPr>
                <w:rFonts w:cs="Calibri"/>
              </w:rPr>
              <w:lastRenderedPageBreak/>
              <w:t>PO 1</w:t>
            </w:r>
          </w:p>
        </w:tc>
        <w:tc>
          <w:tcPr>
            <w:tcW w:w="571" w:type="pct"/>
            <w:vAlign w:val="center"/>
          </w:tcPr>
          <w:p w14:paraId="72026E5E" w14:textId="77777777" w:rsidR="00194795" w:rsidRPr="00DD47DF" w:rsidRDefault="00194795" w:rsidP="00D16DE9">
            <w:pPr>
              <w:pStyle w:val="Tabulka"/>
              <w:keepNext/>
              <w:keepLines/>
              <w:rPr>
                <w:rFonts w:cs="Calibri"/>
              </w:rPr>
            </w:pPr>
            <w:r w:rsidRPr="00DD47DF">
              <w:rPr>
                <w:rFonts w:cs="Calibri"/>
              </w:rPr>
              <w:t>výstupový</w:t>
            </w:r>
          </w:p>
        </w:tc>
        <w:tc>
          <w:tcPr>
            <w:tcW w:w="216" w:type="pct"/>
            <w:vAlign w:val="center"/>
          </w:tcPr>
          <w:p w14:paraId="62510815" w14:textId="43455EED" w:rsidR="00194795" w:rsidRPr="00DD47DF" w:rsidRDefault="00C75691" w:rsidP="00D16DE9">
            <w:pPr>
              <w:pStyle w:val="Tabulka"/>
              <w:keepNext/>
              <w:keepLines/>
              <w:rPr>
                <w:rFonts w:cs="Calibri"/>
              </w:rPr>
            </w:pPr>
            <w:r w:rsidRPr="00DD47DF">
              <w:rPr>
                <w:rFonts w:cs="Calibri"/>
              </w:rPr>
              <w:t xml:space="preserve">CO </w:t>
            </w:r>
            <w:r w:rsidR="00194795" w:rsidRPr="00DD47DF">
              <w:rPr>
                <w:rFonts w:cs="Calibri"/>
              </w:rPr>
              <w:t>26</w:t>
            </w:r>
          </w:p>
        </w:tc>
        <w:tc>
          <w:tcPr>
            <w:tcW w:w="583" w:type="pct"/>
            <w:shd w:val="clear" w:color="auto" w:fill="auto"/>
            <w:tcMar>
              <w:top w:w="0" w:type="dxa"/>
              <w:left w:w="108" w:type="dxa"/>
              <w:bottom w:w="0" w:type="dxa"/>
              <w:right w:w="108" w:type="dxa"/>
            </w:tcMar>
            <w:vAlign w:val="center"/>
          </w:tcPr>
          <w:p w14:paraId="59AFE8D1" w14:textId="77777777" w:rsidR="00194795" w:rsidRPr="00DD47DF" w:rsidRDefault="00194795" w:rsidP="004126CC">
            <w:pPr>
              <w:pStyle w:val="Tabulka"/>
              <w:keepNext/>
              <w:keepLines/>
              <w:rPr>
                <w:rFonts w:cs="Calibri"/>
              </w:rPr>
            </w:pPr>
            <w:r w:rsidRPr="00DD47DF">
              <w:rPr>
                <w:rFonts w:cs="Calibri"/>
              </w:rPr>
              <w:t>Počet podniků spolupracujících s výzkumnými institucemi</w:t>
            </w:r>
          </w:p>
        </w:tc>
        <w:tc>
          <w:tcPr>
            <w:tcW w:w="491" w:type="pct"/>
            <w:shd w:val="clear" w:color="auto" w:fill="auto"/>
            <w:tcMar>
              <w:top w:w="0" w:type="dxa"/>
              <w:left w:w="108" w:type="dxa"/>
              <w:bottom w:w="0" w:type="dxa"/>
              <w:right w:w="108" w:type="dxa"/>
            </w:tcMar>
            <w:vAlign w:val="center"/>
          </w:tcPr>
          <w:p w14:paraId="4C8375F0" w14:textId="77777777" w:rsidR="00194795" w:rsidRPr="00DD47DF" w:rsidRDefault="00194795" w:rsidP="004126CC">
            <w:pPr>
              <w:pStyle w:val="Tabulka"/>
              <w:keepNext/>
              <w:keepLines/>
              <w:rPr>
                <w:rFonts w:cs="Calibri"/>
              </w:rPr>
            </w:pPr>
            <w:r w:rsidRPr="00DD47DF">
              <w:rPr>
                <w:rFonts w:cs="Calibri"/>
              </w:rPr>
              <w:t>Podniky</w:t>
            </w:r>
          </w:p>
        </w:tc>
        <w:tc>
          <w:tcPr>
            <w:tcW w:w="297" w:type="pct"/>
            <w:shd w:val="clear" w:color="auto" w:fill="auto"/>
            <w:tcMar>
              <w:top w:w="0" w:type="dxa"/>
              <w:left w:w="108" w:type="dxa"/>
              <w:bottom w:w="0" w:type="dxa"/>
              <w:right w:w="108" w:type="dxa"/>
            </w:tcMar>
            <w:vAlign w:val="center"/>
          </w:tcPr>
          <w:p w14:paraId="6A50541F" w14:textId="77777777" w:rsidR="00194795" w:rsidRPr="00DD47DF" w:rsidRDefault="00194795" w:rsidP="004126CC">
            <w:pPr>
              <w:pStyle w:val="Tabulka"/>
              <w:keepNext/>
              <w:keepLines/>
              <w:rPr>
                <w:rFonts w:cs="Calibri"/>
              </w:rPr>
            </w:pPr>
            <w:r w:rsidRPr="00DD47DF">
              <w:rPr>
                <w:rFonts w:cs="Calibri"/>
              </w:rPr>
              <w:t>EFRR</w:t>
            </w:r>
          </w:p>
        </w:tc>
        <w:tc>
          <w:tcPr>
            <w:tcW w:w="442" w:type="pct"/>
            <w:shd w:val="clear" w:color="auto" w:fill="auto"/>
            <w:tcMar>
              <w:top w:w="0" w:type="dxa"/>
              <w:left w:w="108" w:type="dxa"/>
              <w:bottom w:w="0" w:type="dxa"/>
              <w:right w:w="108" w:type="dxa"/>
            </w:tcMar>
            <w:vAlign w:val="center"/>
          </w:tcPr>
          <w:p w14:paraId="26B82498" w14:textId="77777777" w:rsidR="00194795" w:rsidRPr="00DD47DF" w:rsidRDefault="00194795" w:rsidP="004126CC">
            <w:pPr>
              <w:keepNext/>
              <w:keepLines/>
              <w:jc w:val="center"/>
              <w:rPr>
                <w:sz w:val="24"/>
                <w:szCs w:val="24"/>
              </w:rPr>
            </w:pPr>
            <w:r w:rsidRPr="00DD47DF">
              <w:rPr>
                <w:sz w:val="24"/>
                <w:szCs w:val="24"/>
              </w:rPr>
              <w:t>Méně rozvinuté regiony</w:t>
            </w:r>
          </w:p>
        </w:tc>
        <w:tc>
          <w:tcPr>
            <w:tcW w:w="443" w:type="pct"/>
            <w:vAlign w:val="center"/>
          </w:tcPr>
          <w:p w14:paraId="0160B450" w14:textId="66001E80" w:rsidR="00194795" w:rsidRPr="00DD47DF" w:rsidRDefault="00417D94" w:rsidP="004126CC">
            <w:pPr>
              <w:keepNext/>
              <w:keepLines/>
              <w:jc w:val="center"/>
              <w:rPr>
                <w:sz w:val="24"/>
                <w:szCs w:val="24"/>
              </w:rPr>
            </w:pPr>
            <w:r>
              <w:rPr>
                <w:sz w:val="24"/>
                <w:szCs w:val="24"/>
              </w:rPr>
              <w:t>3</w:t>
            </w:r>
            <w:r w:rsidR="00194795" w:rsidRPr="00DD47DF">
              <w:rPr>
                <w:sz w:val="24"/>
                <w:szCs w:val="24"/>
              </w:rPr>
              <w:t>50</w:t>
            </w:r>
          </w:p>
        </w:tc>
        <w:tc>
          <w:tcPr>
            <w:tcW w:w="542" w:type="pct"/>
            <w:shd w:val="clear" w:color="auto" w:fill="auto"/>
            <w:tcMar>
              <w:top w:w="0" w:type="dxa"/>
              <w:left w:w="108" w:type="dxa"/>
              <w:bottom w:w="0" w:type="dxa"/>
              <w:right w:w="108" w:type="dxa"/>
            </w:tcMar>
            <w:vAlign w:val="center"/>
          </w:tcPr>
          <w:p w14:paraId="75F21369" w14:textId="2D9F11B5" w:rsidR="00194795" w:rsidRPr="00DD47DF" w:rsidRDefault="00194795" w:rsidP="004126CC">
            <w:pPr>
              <w:keepNext/>
              <w:keepLines/>
              <w:jc w:val="center"/>
              <w:rPr>
                <w:sz w:val="24"/>
                <w:szCs w:val="24"/>
              </w:rPr>
            </w:pPr>
            <w:r w:rsidRPr="00DD47DF">
              <w:rPr>
                <w:sz w:val="24"/>
                <w:szCs w:val="24"/>
              </w:rPr>
              <w:t xml:space="preserve">2 </w:t>
            </w:r>
            <w:r w:rsidR="00417D94">
              <w:rPr>
                <w:sz w:val="24"/>
                <w:szCs w:val="24"/>
              </w:rPr>
              <w:t>200</w:t>
            </w:r>
          </w:p>
        </w:tc>
        <w:tc>
          <w:tcPr>
            <w:tcW w:w="246" w:type="pct"/>
            <w:vAlign w:val="center"/>
          </w:tcPr>
          <w:p w14:paraId="62DFA5BE" w14:textId="77777777" w:rsidR="00194795" w:rsidRPr="00DD47DF" w:rsidRDefault="00194795" w:rsidP="004126CC">
            <w:pPr>
              <w:pStyle w:val="Tabulka"/>
              <w:keepNext/>
              <w:keepLines/>
              <w:rPr>
                <w:rFonts w:cs="Calibri"/>
              </w:rPr>
            </w:pPr>
            <w:r w:rsidRPr="00DD47DF">
              <w:rPr>
                <w:rFonts w:cs="Calibri"/>
              </w:rPr>
              <w:t>Ž/P</w:t>
            </w:r>
          </w:p>
        </w:tc>
        <w:tc>
          <w:tcPr>
            <w:tcW w:w="844" w:type="pct"/>
            <w:vAlign w:val="center"/>
          </w:tcPr>
          <w:p w14:paraId="38E6667B" w14:textId="77777777" w:rsidR="00194795" w:rsidRPr="00DD47DF" w:rsidRDefault="00194795" w:rsidP="00D16DE9">
            <w:pPr>
              <w:pStyle w:val="Tabulka"/>
              <w:keepNext/>
              <w:keepLines/>
              <w:rPr>
                <w:rFonts w:cs="Calibri"/>
              </w:rPr>
            </w:pPr>
            <w:r w:rsidRPr="00DD47DF">
              <w:rPr>
                <w:rFonts w:cs="Calibri"/>
              </w:rPr>
              <w:t>Indikátor pokrývá rozhodující</w:t>
            </w:r>
            <w:r w:rsidR="00D16DE9" w:rsidRPr="00DD47DF">
              <w:rPr>
                <w:rFonts w:cs="Calibri"/>
              </w:rPr>
              <w:t xml:space="preserve"> </w:t>
            </w:r>
            <w:r w:rsidRPr="00DD47DF">
              <w:rPr>
                <w:rFonts w:cs="Calibri"/>
              </w:rPr>
              <w:t xml:space="preserve">část projektů naplňující SC </w:t>
            </w:r>
            <w:r w:rsidR="00D16DE9" w:rsidRPr="00DD47DF">
              <w:rPr>
                <w:rFonts w:cs="Calibri"/>
              </w:rPr>
              <w:t>p</w:t>
            </w:r>
            <w:r w:rsidRPr="00DD47DF">
              <w:rPr>
                <w:rFonts w:cs="Calibri"/>
              </w:rPr>
              <w:t>rioritní</w:t>
            </w:r>
            <w:r w:rsidR="00D16DE9" w:rsidRPr="00DD47DF">
              <w:rPr>
                <w:rFonts w:cs="Calibri"/>
              </w:rPr>
              <w:t xml:space="preserve"> </w:t>
            </w:r>
            <w:r w:rsidRPr="00DD47DF">
              <w:rPr>
                <w:rFonts w:cs="Calibri"/>
              </w:rPr>
              <w:t>osy</w:t>
            </w:r>
            <w:r w:rsidR="00D16DE9" w:rsidRPr="00DD47DF">
              <w:rPr>
                <w:rFonts w:cs="Calibri"/>
              </w:rPr>
              <w:t xml:space="preserve"> </w:t>
            </w:r>
            <w:r w:rsidRPr="00DD47DF">
              <w:rPr>
                <w:rFonts w:cs="Calibri"/>
              </w:rPr>
              <w:t>1. Je</w:t>
            </w:r>
            <w:r w:rsidR="00D16DE9" w:rsidRPr="00DD47DF">
              <w:rPr>
                <w:rFonts w:cs="Calibri"/>
              </w:rPr>
              <w:t xml:space="preserve"> </w:t>
            </w:r>
            <w:r w:rsidRPr="00DD47DF">
              <w:rPr>
                <w:rFonts w:cs="Calibri"/>
              </w:rPr>
              <w:t>společným indikátorem v</w:t>
            </w:r>
            <w:r w:rsidR="00D16DE9" w:rsidRPr="00DD47DF">
              <w:rPr>
                <w:rFonts w:cs="Calibri"/>
              </w:rPr>
              <w:t xml:space="preserve"> </w:t>
            </w:r>
            <w:r w:rsidRPr="00DD47DF">
              <w:rPr>
                <w:rFonts w:cs="Calibri"/>
              </w:rPr>
              <w:t>souladu s nařízením ERDF.</w:t>
            </w:r>
          </w:p>
        </w:tc>
      </w:tr>
    </w:tbl>
    <w:p w14:paraId="78B017E0" w14:textId="77777777" w:rsidR="004126CC" w:rsidRPr="00DD47DF" w:rsidRDefault="00606989" w:rsidP="00606989">
      <w:pPr>
        <w:pStyle w:val="Titulek"/>
      </w:pPr>
      <w:r w:rsidRPr="00DD47DF">
        <w:t>Další kvalitativní informace o stanovení výkonnostního rámce</w:t>
      </w:r>
    </w:p>
    <w:p w14:paraId="1690F4AC" w14:textId="77777777" w:rsidR="00B523F1" w:rsidRPr="00DD47DF" w:rsidRDefault="00B523F1" w:rsidP="00B523F1">
      <w:pPr>
        <w:pStyle w:val="Standardntext"/>
      </w:pPr>
      <w:r w:rsidRPr="00DD47DF">
        <w:t>Pro OP PIK byly stanoveny hodnoty milníků pro rok 2018 a 2023 (finanční ukazatele „certifikované finanční prostředky“</w:t>
      </w:r>
      <w:r w:rsidR="00282A6A" w:rsidRPr="00DD47DF">
        <w:t xml:space="preserve"> a </w:t>
      </w:r>
      <w:r w:rsidR="00037695" w:rsidRPr="00DD47DF">
        <w:t>ukazatele výstupů).</w:t>
      </w:r>
    </w:p>
    <w:p w14:paraId="52072D8B" w14:textId="77777777" w:rsidR="00606989" w:rsidRPr="00DD47DF" w:rsidRDefault="00606989" w:rsidP="001B0B94">
      <w:pPr>
        <w:pStyle w:val="Standardntext"/>
      </w:pPr>
      <w:r w:rsidRPr="00DD47DF">
        <w:t xml:space="preserve">Při kvantifikaci milníků </w:t>
      </w:r>
      <w:r w:rsidRPr="00DD47DF">
        <w:rPr>
          <w:b/>
          <w:bCs/>
        </w:rPr>
        <w:t>pro rok 2018</w:t>
      </w:r>
      <w:r w:rsidRPr="00DD47DF">
        <w:t xml:space="preserve"> byly zohledněny dále uvedené klíčové předpoklady:</w:t>
      </w:r>
    </w:p>
    <w:p w14:paraId="786B1D23" w14:textId="77777777" w:rsidR="00EE5FD7" w:rsidRPr="00DD47DF" w:rsidRDefault="00606989" w:rsidP="00DA3512">
      <w:pPr>
        <w:pStyle w:val="Standardntext"/>
        <w:numPr>
          <w:ilvl w:val="0"/>
          <w:numId w:val="81"/>
        </w:numPr>
      </w:pPr>
      <w:r w:rsidRPr="00DD47DF">
        <w:t>Zohledněn je aktuální finanční plán OP PIK</w:t>
      </w:r>
      <w:r w:rsidR="00C74346" w:rsidRPr="00DD47DF">
        <w:t>;</w:t>
      </w:r>
    </w:p>
    <w:p w14:paraId="4049BA48" w14:textId="77777777" w:rsidR="00606989" w:rsidRPr="00DD47DF" w:rsidRDefault="00606989" w:rsidP="00DA3512">
      <w:pPr>
        <w:pStyle w:val="Standardntext"/>
        <w:numPr>
          <w:ilvl w:val="0"/>
          <w:numId w:val="81"/>
        </w:numPr>
      </w:pPr>
      <w:r w:rsidRPr="00DD47DF">
        <w:t>Při stanovení milníku bylo v maximální možné míře vycházeno ze zkušeností s OPPI;</w:t>
      </w:r>
    </w:p>
    <w:p w14:paraId="677C2BA7" w14:textId="77777777" w:rsidR="00606989" w:rsidRPr="00DD47DF" w:rsidRDefault="009B5DCA" w:rsidP="00DA3512">
      <w:pPr>
        <w:pStyle w:val="Standardntext"/>
        <w:numPr>
          <w:ilvl w:val="0"/>
          <w:numId w:val="81"/>
        </w:numPr>
      </w:pPr>
      <w:r w:rsidRPr="00DD47DF">
        <w:t>První výzvy budou vyhlášeny pravděpodobně nejdříve až ve 2. čtvrtletí 2015, není ovšem zřejmé (ve vazbě na připravovaný indikativní plán výzev), zda budou v tomto období vyhlášeny výzvy již ve všech prioritních osách a specifických cílech. Od nich se bude odvíjet příjem žádostí, hodnocení projektů a následně zahájení realizace prvních podpořených projektů, tj. pravděpodobně až ve 3. čtvrtletí 2015</w:t>
      </w:r>
      <w:r w:rsidR="00606989" w:rsidRPr="00DD47DF">
        <w:t>;</w:t>
      </w:r>
    </w:p>
    <w:p w14:paraId="21A39B28" w14:textId="77777777" w:rsidR="00606989" w:rsidRPr="00DD47DF" w:rsidRDefault="009B5DCA" w:rsidP="00DA3512">
      <w:pPr>
        <w:pStyle w:val="Standardntext"/>
        <w:numPr>
          <w:ilvl w:val="0"/>
          <w:numId w:val="81"/>
        </w:numPr>
      </w:pPr>
      <w:r w:rsidRPr="00DD47DF">
        <w:t>Při možném předpokladu, že projekty budou dvouleté, to znamená, že první z nich ukončí realizaci nejdříve koncem roku 2017 a finanční prostředky tak budou předkládány k certifikaci až v průběhu roku 2018 (u delších projektů však až počátkem roku 2019)</w:t>
      </w:r>
      <w:r w:rsidR="00606989" w:rsidRPr="00DD47DF">
        <w:t xml:space="preserve">; </w:t>
      </w:r>
    </w:p>
    <w:p w14:paraId="1C84202E" w14:textId="77777777" w:rsidR="009B5DCA" w:rsidRPr="00DD47DF" w:rsidRDefault="009B5DCA" w:rsidP="00DA3512">
      <w:pPr>
        <w:pStyle w:val="Standardntext"/>
        <w:numPr>
          <w:ilvl w:val="0"/>
          <w:numId w:val="81"/>
        </w:numPr>
      </w:pPr>
      <w:r w:rsidRPr="00DD47DF">
        <w:t>Není započítána výkonnostní rezerva stanovená ŘO OP PIK na roky 2014 a 2015;</w:t>
      </w:r>
    </w:p>
    <w:p w14:paraId="13D3459A" w14:textId="77777777" w:rsidR="00606989" w:rsidRPr="00DD47DF" w:rsidRDefault="00606989" w:rsidP="00DA3512">
      <w:pPr>
        <w:pStyle w:val="Standardntext"/>
        <w:numPr>
          <w:ilvl w:val="0"/>
          <w:numId w:val="81"/>
        </w:numPr>
      </w:pPr>
      <w:r w:rsidRPr="00DD47DF">
        <w:t>Ukazatelé výstupů stanovené ve výkonnostním rámci odpovídají více než 50 % finančního přídělu na prioritu (v souladu se čl. 5 Prováděcího nařízení komise (EU) č. 215/2014);</w:t>
      </w:r>
    </w:p>
    <w:p w14:paraId="2B21E3F6" w14:textId="77777777" w:rsidR="00606989" w:rsidRPr="00DD47DF" w:rsidRDefault="00606989" w:rsidP="00DA3512">
      <w:pPr>
        <w:pStyle w:val="Standardntext"/>
        <w:numPr>
          <w:ilvl w:val="0"/>
          <w:numId w:val="81"/>
        </w:numPr>
      </w:pPr>
      <w:r w:rsidRPr="00DD47DF">
        <w:t>Pravidlo n+3, na základě kterého je nutné vzít v úvahu, že na konci roku 2018 by měla být vyčerpána alokace let 2014, 2015;</w:t>
      </w:r>
    </w:p>
    <w:p w14:paraId="4E3324FD" w14:textId="77777777" w:rsidR="00EE5FD7" w:rsidRPr="00DD47DF" w:rsidRDefault="00606989" w:rsidP="00DA3512">
      <w:pPr>
        <w:pStyle w:val="Standardntext"/>
        <w:numPr>
          <w:ilvl w:val="0"/>
          <w:numId w:val="81"/>
        </w:numPr>
        <w:rPr>
          <w:strike/>
        </w:rPr>
      </w:pPr>
      <w:r w:rsidRPr="00DD47DF">
        <w:t>Nové typy aktivit</w:t>
      </w:r>
      <w:r w:rsidR="00282A6A" w:rsidRPr="00DD47DF">
        <w:t xml:space="preserve"> v této prioritní ose </w:t>
      </w:r>
      <w:r w:rsidRPr="00DD47DF">
        <w:t>OP PIK</w:t>
      </w:r>
      <w:r w:rsidR="00282A6A" w:rsidRPr="00DD47DF">
        <w:t>;</w:t>
      </w:r>
    </w:p>
    <w:p w14:paraId="1B1EE8D6" w14:textId="77777777" w:rsidR="00606989" w:rsidRPr="00DD47DF" w:rsidRDefault="00606989" w:rsidP="00DA3512">
      <w:pPr>
        <w:pStyle w:val="Standardntext"/>
        <w:numPr>
          <w:ilvl w:val="0"/>
          <w:numId w:val="82"/>
        </w:numPr>
      </w:pPr>
      <w:r w:rsidRPr="00DD47DF">
        <w:t>Širší portfolio možných příjemců – s ohledem na možnou rozdílnou flexibilitu některých subjektů při přípravě a realizaci projektu, lze tak předpokládat pomalejší rozjezd některých aktivit</w:t>
      </w:r>
      <w:r w:rsidR="00A81FD6" w:rsidRPr="00DD47DF">
        <w:t>;</w:t>
      </w:r>
    </w:p>
    <w:p w14:paraId="0BD714F0" w14:textId="77777777" w:rsidR="00A81FD6" w:rsidRPr="00DD47DF" w:rsidRDefault="00A81FD6" w:rsidP="00DA3512">
      <w:pPr>
        <w:pStyle w:val="Standardntext"/>
        <w:numPr>
          <w:ilvl w:val="0"/>
          <w:numId w:val="82"/>
        </w:numPr>
      </w:pPr>
      <w:r w:rsidRPr="00DD47DF">
        <w:lastRenderedPageBreak/>
        <w:t>Výše alokace na jednotlivé aktivity SC včetně předpokládané výše veřejné podpory;</w:t>
      </w:r>
    </w:p>
    <w:p w14:paraId="554B01B2" w14:textId="77777777" w:rsidR="00A81FD6" w:rsidRPr="00DD47DF" w:rsidRDefault="00A81FD6" w:rsidP="00DA3512">
      <w:pPr>
        <w:pStyle w:val="Odstavecseseznamem1"/>
        <w:numPr>
          <w:ilvl w:val="0"/>
          <w:numId w:val="82"/>
        </w:numPr>
        <w:overflowPunct/>
        <w:autoSpaceDE/>
        <w:autoSpaceDN/>
        <w:adjustRightInd/>
        <w:contextualSpacing w:val="0"/>
        <w:jc w:val="both"/>
        <w:textAlignment w:val="auto"/>
      </w:pPr>
      <w:r w:rsidRPr="00DD47DF">
        <w:rPr>
          <w:sz w:val="24"/>
          <w:szCs w:val="24"/>
        </w:rPr>
        <w:t>Předpokládaná délka projektů v rámci jednotlivých aktivit – nejčastěji 2 – 3 roky.</w:t>
      </w:r>
    </w:p>
    <w:p w14:paraId="398CE095" w14:textId="77777777" w:rsidR="00A81FD6" w:rsidRPr="00DD47DF" w:rsidRDefault="00A81FD6" w:rsidP="00466CFC">
      <w:pPr>
        <w:pStyle w:val="Odstavecseseznamem1"/>
        <w:overflowPunct/>
        <w:autoSpaceDE/>
        <w:autoSpaceDN/>
        <w:adjustRightInd/>
        <w:contextualSpacing w:val="0"/>
        <w:jc w:val="both"/>
        <w:textAlignment w:val="auto"/>
      </w:pPr>
    </w:p>
    <w:p w14:paraId="6C908294" w14:textId="77777777" w:rsidR="00A81FD6" w:rsidRPr="00DD47DF" w:rsidRDefault="00A81FD6" w:rsidP="00DA3512">
      <w:pPr>
        <w:pStyle w:val="Odstavecseseznamem1"/>
        <w:numPr>
          <w:ilvl w:val="0"/>
          <w:numId w:val="82"/>
        </w:numPr>
        <w:overflowPunct/>
        <w:autoSpaceDE/>
        <w:autoSpaceDN/>
        <w:adjustRightInd/>
        <w:contextualSpacing w:val="0"/>
        <w:jc w:val="both"/>
        <w:textAlignment w:val="auto"/>
      </w:pPr>
      <w:r w:rsidRPr="00DD47DF">
        <w:rPr>
          <w:i/>
          <w:sz w:val="24"/>
          <w:szCs w:val="24"/>
        </w:rPr>
        <w:t>Milník</w:t>
      </w:r>
      <w:r w:rsidRPr="00DD47DF">
        <w:rPr>
          <w:i/>
          <w:sz w:val="24"/>
          <w:szCs w:val="24"/>
          <w:vertAlign w:val="superscript"/>
        </w:rPr>
        <w:t>2018 PO1</w:t>
      </w:r>
      <w:r w:rsidRPr="00DD47DF">
        <w:rPr>
          <w:i/>
          <w:sz w:val="24"/>
          <w:szCs w:val="24"/>
        </w:rPr>
        <w:t>= (celkové způsobilé výdaje na PO 1 v roce 2014 + celkové způsobilé výdaje na PO 1 v roce 2015) – (10% finančních prostředků ERDF na PO 1 + podíl výkonnostní rezervy za roky 2014 a 2015 na PO 1)</w:t>
      </w:r>
    </w:p>
    <w:p w14:paraId="7EEE486B" w14:textId="77777777" w:rsidR="00A81FD6" w:rsidRPr="00DD47DF" w:rsidRDefault="00A81FD6" w:rsidP="00A81FD6">
      <w:pPr>
        <w:pStyle w:val="Odstavecseseznamem1"/>
        <w:overflowPunct/>
        <w:autoSpaceDE/>
        <w:autoSpaceDN/>
        <w:adjustRightInd/>
        <w:contextualSpacing w:val="0"/>
        <w:jc w:val="both"/>
        <w:textAlignment w:val="auto"/>
        <w:rPr>
          <w:sz w:val="24"/>
          <w:szCs w:val="24"/>
        </w:rPr>
      </w:pPr>
    </w:p>
    <w:p w14:paraId="165D3D5D" w14:textId="77777777" w:rsidR="00606989" w:rsidRPr="00DD47DF" w:rsidRDefault="00606989" w:rsidP="001B0B94">
      <w:pPr>
        <w:pStyle w:val="Standardntext"/>
      </w:pPr>
      <w:r w:rsidRPr="00DD47DF">
        <w:t xml:space="preserve">Při kvantifikaci milníků </w:t>
      </w:r>
      <w:r w:rsidRPr="00DD47DF">
        <w:rPr>
          <w:b/>
          <w:bCs/>
        </w:rPr>
        <w:t>pro rok 2023</w:t>
      </w:r>
      <w:r w:rsidRPr="00DD47DF">
        <w:t xml:space="preserve"> byly zohledněny ještě dále uvedené klíčové předpoklady:</w:t>
      </w:r>
    </w:p>
    <w:p w14:paraId="1207E271" w14:textId="77777777" w:rsidR="00606989" w:rsidRPr="00DD47DF" w:rsidRDefault="00606989" w:rsidP="00DA3512">
      <w:pPr>
        <w:pStyle w:val="Standardntext"/>
        <w:numPr>
          <w:ilvl w:val="0"/>
          <w:numId w:val="83"/>
        </w:numPr>
      </w:pPr>
      <w:r w:rsidRPr="00DD47DF">
        <w:t>Klíčovým předpokladem je naplnění stanovených cílů programu v jednotlivých prioritních osách (finanční i věcné plnění);</w:t>
      </w:r>
    </w:p>
    <w:p w14:paraId="5386D1BB" w14:textId="77777777" w:rsidR="00606989" w:rsidRPr="00DD47DF" w:rsidRDefault="00606989" w:rsidP="00DA3512">
      <w:pPr>
        <w:pStyle w:val="Standardntext"/>
        <w:numPr>
          <w:ilvl w:val="0"/>
          <w:numId w:val="83"/>
        </w:numPr>
      </w:pPr>
      <w:r w:rsidRPr="00DD47DF">
        <w:t xml:space="preserve">Započítána je již i výkonnostní rezerva. </w:t>
      </w:r>
    </w:p>
    <w:p w14:paraId="7628D41D" w14:textId="77777777" w:rsidR="00606989" w:rsidRPr="00DD47DF" w:rsidRDefault="00606989" w:rsidP="00314D81">
      <w:pPr>
        <w:pStyle w:val="Standardntext"/>
      </w:pPr>
      <w:r w:rsidRPr="00DD47DF">
        <w:t>Vzhledem k výše uvedenému lze proto reálně očekávat stále ještě relativně nízkou míru plnění jednotlivých milníků, a to i ke konci roku 2018. Právě z tohoto důvodu byl při kvantifikaci milníků zvolen ke konci roku 2018 spíše konzervativnější způsob výpočtu hodnoty dotčeného milníku. Naplňování milníků vzhledem k předpokládanému časovému skluzu v rozběhu implementace nového OP PIK, bude komplikovanější (zejména právě v první fázi), a bude si vyžadovat i speciální přístupy, jako např. urychlování prvních výzev a jejich naplňování, větší vysvětlovací seminární či jiné aktivity ze strany Řídícího orgánu vůči potenciálním příjemcům, atd</w:t>
      </w:r>
      <w:r w:rsidR="00E54216" w:rsidRPr="00DD47DF">
        <w:t>. Téma výkonnostní rezervy a milníků je dále rozpracováno v</w:t>
      </w:r>
      <w:r w:rsidR="00DD549F" w:rsidRPr="00DD47DF">
        <w:t xml:space="preserve"> Nepovinné </w:t>
      </w:r>
      <w:r w:rsidR="00E54216" w:rsidRPr="00DD47DF">
        <w:t xml:space="preserve">příloze </w:t>
      </w:r>
      <w:r w:rsidR="00DD549F" w:rsidRPr="00DD47DF">
        <w:t xml:space="preserve">č. </w:t>
      </w:r>
      <w:r w:rsidR="00E54216" w:rsidRPr="00DD47DF">
        <w:t xml:space="preserve">3. </w:t>
      </w:r>
    </w:p>
    <w:p w14:paraId="175E4CEE" w14:textId="77777777" w:rsidR="00606989" w:rsidRPr="00DD47DF" w:rsidRDefault="00606989" w:rsidP="004126CC">
      <w:pPr>
        <w:pStyle w:val="kapitola2A0"/>
        <w:numPr>
          <w:ilvl w:val="0"/>
          <w:numId w:val="0"/>
        </w:numPr>
        <w:rPr>
          <w:color w:val="auto"/>
        </w:rPr>
        <w:sectPr w:rsidR="00606989" w:rsidRPr="00DD47DF" w:rsidSect="004126CC">
          <w:headerReference w:type="default" r:id="rId31"/>
          <w:footerReference w:type="default" r:id="rId32"/>
          <w:pgSz w:w="16838" w:h="11906" w:orient="landscape"/>
          <w:pgMar w:top="1418" w:right="1418" w:bottom="1276" w:left="1276" w:header="709" w:footer="709" w:gutter="0"/>
          <w:cols w:space="708"/>
          <w:docGrid w:linePitch="272"/>
        </w:sectPr>
      </w:pPr>
    </w:p>
    <w:p w14:paraId="17BA0B9F" w14:textId="77777777" w:rsidR="00DB73B5" w:rsidRPr="00DD47DF" w:rsidRDefault="00636BAA" w:rsidP="00441D67">
      <w:pPr>
        <w:pStyle w:val="kapitola2A0"/>
        <w:numPr>
          <w:ilvl w:val="2"/>
          <w:numId w:val="128"/>
        </w:numPr>
      </w:pPr>
      <w:bookmarkStart w:id="37" w:name="_Toc520445254"/>
      <w:r w:rsidRPr="00DD47DF">
        <w:lastRenderedPageBreak/>
        <w:t>K</w:t>
      </w:r>
      <w:r w:rsidR="00F2469F" w:rsidRPr="00DD47DF">
        <w:t>ategorie zásahů</w:t>
      </w:r>
      <w:bookmarkEnd w:id="37"/>
    </w:p>
    <w:p w14:paraId="575C9F56" w14:textId="5EFD7E80" w:rsidR="002A1792" w:rsidRPr="00DD47DF" w:rsidRDefault="002A1792" w:rsidP="004126CC">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7</w:t>
      </w:r>
      <w:r w:rsidR="002756E7" w:rsidRPr="00DD47DF">
        <w:rPr>
          <w:noProof/>
        </w:rPr>
        <w:fldChar w:fldCharType="end"/>
      </w:r>
      <w:r w:rsidRPr="00DD47DF">
        <w:t xml:space="preserve"> - </w:t>
      </w:r>
      <w:r w:rsidR="00BE086E">
        <w:t>10</w:t>
      </w:r>
      <w:r w:rsidRPr="00DD47DF">
        <w:t xml:space="preserve">: Kategorie </w:t>
      </w:r>
      <w:r w:rsidR="00F2469F" w:rsidRPr="00DD47DF">
        <w:t>zásahů</w:t>
      </w:r>
      <w:r w:rsidR="00BA502F" w:rsidRPr="00DD47DF">
        <w:rPr>
          <w:rStyle w:val="Znakapoznpodarou"/>
        </w:rPr>
        <w:footnoteReference w:id="48"/>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78"/>
        <w:gridCol w:w="1656"/>
        <w:gridCol w:w="509"/>
        <w:gridCol w:w="1720"/>
        <w:gridCol w:w="589"/>
        <w:gridCol w:w="1643"/>
        <w:gridCol w:w="526"/>
        <w:gridCol w:w="1705"/>
      </w:tblGrid>
      <w:tr w:rsidR="000B2315" w:rsidRPr="00DD47DF" w14:paraId="24FF76B8" w14:textId="77777777">
        <w:tc>
          <w:tcPr>
            <w:tcW w:w="5000" w:type="pct"/>
            <w:gridSpan w:val="8"/>
            <w:shd w:val="clear" w:color="auto" w:fill="B8CCE4"/>
            <w:vAlign w:val="center"/>
          </w:tcPr>
          <w:p w14:paraId="17599883" w14:textId="77777777" w:rsidR="000B2315" w:rsidRPr="00DD47DF" w:rsidRDefault="005646B0" w:rsidP="004126CC">
            <w:pPr>
              <w:pStyle w:val="Tabulka"/>
              <w:keepNext/>
              <w:keepLines/>
              <w:rPr>
                <w:rFonts w:cs="Calibri"/>
                <w:b/>
              </w:rPr>
            </w:pPr>
            <w:r w:rsidRPr="00DD47DF">
              <w:rPr>
                <w:rFonts w:cs="Calibri"/>
                <w:b/>
              </w:rPr>
              <w:t>F</w:t>
            </w:r>
            <w:r w:rsidR="000B2315" w:rsidRPr="00DD47DF">
              <w:rPr>
                <w:rFonts w:cs="Calibri"/>
                <w:b/>
              </w:rPr>
              <w:t>ond</w:t>
            </w:r>
            <w:r w:rsidRPr="00DD47DF">
              <w:rPr>
                <w:rFonts w:cs="Calibri"/>
                <w:b/>
              </w:rPr>
              <w:t xml:space="preserve">: </w:t>
            </w:r>
            <w:r w:rsidRPr="00DD47DF">
              <w:rPr>
                <w:rFonts w:cs="Calibri"/>
              </w:rPr>
              <w:t>EFRR</w:t>
            </w:r>
          </w:p>
          <w:p w14:paraId="633C8D24" w14:textId="77777777" w:rsidR="000B2315" w:rsidRPr="00DD47DF" w:rsidRDefault="005646B0" w:rsidP="004126CC">
            <w:pPr>
              <w:pStyle w:val="Tabulka"/>
              <w:keepNext/>
              <w:keepLines/>
              <w:rPr>
                <w:rFonts w:cs="Calibri"/>
              </w:rPr>
            </w:pPr>
            <w:r w:rsidRPr="00DD47DF">
              <w:rPr>
                <w:rFonts w:cs="Calibri"/>
                <w:b/>
              </w:rPr>
              <w:t xml:space="preserve">Kategorie regionů: </w:t>
            </w:r>
            <w:r w:rsidR="000B2315" w:rsidRPr="00DD47DF">
              <w:rPr>
                <w:rFonts w:cs="Calibri"/>
              </w:rPr>
              <w:t>Méně rozvinuté regiony</w:t>
            </w:r>
          </w:p>
        </w:tc>
      </w:tr>
      <w:tr w:rsidR="000B2315" w:rsidRPr="00DD47DF" w14:paraId="09F354A5" w14:textId="77777777">
        <w:tc>
          <w:tcPr>
            <w:tcW w:w="1412" w:type="pct"/>
            <w:gridSpan w:val="2"/>
            <w:shd w:val="clear" w:color="auto" w:fill="B8CCE4"/>
            <w:vAlign w:val="center"/>
          </w:tcPr>
          <w:p w14:paraId="777A461C" w14:textId="77777777" w:rsidR="000B2315" w:rsidRPr="00DD47DF" w:rsidRDefault="000B2315" w:rsidP="008F72F4">
            <w:pPr>
              <w:pStyle w:val="Tabulka"/>
              <w:keepNext/>
              <w:keepLines/>
              <w:rPr>
                <w:rFonts w:cs="Calibri"/>
              </w:rPr>
            </w:pPr>
            <w:r w:rsidRPr="00DD47DF">
              <w:rPr>
                <w:rFonts w:cs="Calibri"/>
              </w:rPr>
              <w:t>Tabulka č. 7:</w:t>
            </w:r>
          </w:p>
          <w:p w14:paraId="28E09523" w14:textId="77777777" w:rsidR="000B2315" w:rsidRPr="00DD47DF" w:rsidRDefault="000B2315" w:rsidP="008F72F4">
            <w:pPr>
              <w:pStyle w:val="Tabulka"/>
              <w:keepNext/>
              <w:keepLines/>
              <w:rPr>
                <w:rFonts w:cs="Calibri"/>
              </w:rPr>
            </w:pPr>
            <w:r w:rsidRPr="00DD47DF">
              <w:rPr>
                <w:rFonts w:cs="Calibri"/>
              </w:rPr>
              <w:t>Dimenze 1</w:t>
            </w:r>
          </w:p>
          <w:p w14:paraId="4AC62805" w14:textId="77777777" w:rsidR="000B2315" w:rsidRPr="00DD47DF" w:rsidRDefault="000B2315" w:rsidP="008F72F4">
            <w:pPr>
              <w:pStyle w:val="Tabulka"/>
              <w:keepNext/>
              <w:keepLines/>
              <w:rPr>
                <w:rFonts w:cs="Calibri"/>
              </w:rPr>
            </w:pPr>
            <w:r w:rsidRPr="00DD47DF">
              <w:rPr>
                <w:rFonts w:cs="Calibri"/>
              </w:rPr>
              <w:t>Oblast zásahu</w:t>
            </w:r>
          </w:p>
        </w:tc>
        <w:tc>
          <w:tcPr>
            <w:tcW w:w="1195" w:type="pct"/>
            <w:gridSpan w:val="2"/>
            <w:shd w:val="clear" w:color="auto" w:fill="B8CCE4"/>
            <w:vAlign w:val="center"/>
          </w:tcPr>
          <w:p w14:paraId="2EFA2C85" w14:textId="77777777" w:rsidR="000B2315" w:rsidRPr="00DD47DF" w:rsidRDefault="000B2315" w:rsidP="008F72F4">
            <w:pPr>
              <w:pStyle w:val="Tabulka"/>
              <w:keepNext/>
              <w:keepLines/>
              <w:rPr>
                <w:rFonts w:cs="Calibri"/>
              </w:rPr>
            </w:pPr>
            <w:r w:rsidRPr="00DD47DF">
              <w:rPr>
                <w:rFonts w:cs="Calibri"/>
              </w:rPr>
              <w:t>Tabulka č. 8:</w:t>
            </w:r>
          </w:p>
          <w:p w14:paraId="4E8AC8F3" w14:textId="77777777" w:rsidR="000B2315" w:rsidRPr="00DD47DF" w:rsidRDefault="000B2315" w:rsidP="008F72F4">
            <w:pPr>
              <w:pStyle w:val="Tabulka"/>
              <w:keepNext/>
              <w:keepLines/>
              <w:rPr>
                <w:rFonts w:cs="Calibri"/>
              </w:rPr>
            </w:pPr>
            <w:r w:rsidRPr="00DD47DF">
              <w:rPr>
                <w:rFonts w:cs="Calibri"/>
              </w:rPr>
              <w:t>Dimenze 2</w:t>
            </w:r>
          </w:p>
          <w:p w14:paraId="3D4BFBED" w14:textId="77777777" w:rsidR="000B2315" w:rsidRPr="00DD47DF" w:rsidRDefault="000B2315" w:rsidP="008F72F4">
            <w:pPr>
              <w:pStyle w:val="Tabulka"/>
              <w:keepNext/>
              <w:keepLines/>
              <w:rPr>
                <w:rFonts w:cs="Calibri"/>
              </w:rPr>
            </w:pPr>
            <w:r w:rsidRPr="00DD47DF">
              <w:rPr>
                <w:rFonts w:cs="Calibri"/>
              </w:rPr>
              <w:t>Forma financování</w:t>
            </w:r>
          </w:p>
        </w:tc>
        <w:tc>
          <w:tcPr>
            <w:tcW w:w="1197" w:type="pct"/>
            <w:gridSpan w:val="2"/>
            <w:shd w:val="clear" w:color="auto" w:fill="B8CCE4"/>
            <w:vAlign w:val="center"/>
          </w:tcPr>
          <w:p w14:paraId="270C9149" w14:textId="77777777" w:rsidR="000B2315" w:rsidRPr="00DD47DF" w:rsidRDefault="000B2315" w:rsidP="008F72F4">
            <w:pPr>
              <w:pStyle w:val="Tabulka"/>
              <w:keepNext/>
              <w:keepLines/>
              <w:rPr>
                <w:rFonts w:cs="Calibri"/>
              </w:rPr>
            </w:pPr>
            <w:r w:rsidRPr="00DD47DF">
              <w:rPr>
                <w:rFonts w:cs="Calibri"/>
              </w:rPr>
              <w:t>Tabulka č. 9:</w:t>
            </w:r>
          </w:p>
          <w:p w14:paraId="282E5D5C" w14:textId="77777777" w:rsidR="000B2315" w:rsidRPr="00DD47DF" w:rsidRDefault="000B2315" w:rsidP="008F72F4">
            <w:pPr>
              <w:pStyle w:val="Tabulka"/>
              <w:keepNext/>
              <w:keepLines/>
              <w:rPr>
                <w:rFonts w:cs="Calibri"/>
              </w:rPr>
            </w:pPr>
            <w:r w:rsidRPr="00DD47DF">
              <w:rPr>
                <w:rFonts w:cs="Calibri"/>
              </w:rPr>
              <w:t>Dimenze 3</w:t>
            </w:r>
          </w:p>
          <w:p w14:paraId="15C062F9" w14:textId="77777777" w:rsidR="000B2315" w:rsidRPr="00DD47DF" w:rsidRDefault="000B2315" w:rsidP="008F72F4">
            <w:pPr>
              <w:pStyle w:val="Tabulka"/>
              <w:keepNext/>
              <w:keepLines/>
              <w:rPr>
                <w:rFonts w:cs="Calibri"/>
              </w:rPr>
            </w:pPr>
            <w:r w:rsidRPr="00DD47DF">
              <w:rPr>
                <w:rFonts w:cs="Calibri"/>
              </w:rPr>
              <w:t>Typ území</w:t>
            </w:r>
          </w:p>
        </w:tc>
        <w:tc>
          <w:tcPr>
            <w:tcW w:w="1196" w:type="pct"/>
            <w:gridSpan w:val="2"/>
            <w:shd w:val="clear" w:color="auto" w:fill="B8CCE4"/>
            <w:vAlign w:val="center"/>
          </w:tcPr>
          <w:p w14:paraId="10A1A80D" w14:textId="77777777" w:rsidR="000B2315" w:rsidRPr="00DD47DF" w:rsidRDefault="000B2315" w:rsidP="008F72F4">
            <w:pPr>
              <w:pStyle w:val="Tabulka"/>
              <w:keepNext/>
              <w:keepLines/>
              <w:rPr>
                <w:rFonts w:cs="Calibri"/>
              </w:rPr>
            </w:pPr>
            <w:r w:rsidRPr="00DD47DF">
              <w:rPr>
                <w:rFonts w:cs="Calibri"/>
              </w:rPr>
              <w:t>Tabulka č. 10:</w:t>
            </w:r>
          </w:p>
          <w:p w14:paraId="24B8BA0A" w14:textId="77777777" w:rsidR="000B2315" w:rsidRPr="00DD47DF" w:rsidRDefault="000B2315" w:rsidP="008F72F4">
            <w:pPr>
              <w:pStyle w:val="Tabulka"/>
              <w:keepNext/>
              <w:keepLines/>
              <w:rPr>
                <w:rFonts w:cs="Calibri"/>
              </w:rPr>
            </w:pPr>
            <w:r w:rsidRPr="00DD47DF">
              <w:rPr>
                <w:rFonts w:cs="Calibri"/>
              </w:rPr>
              <w:t>Dimenze 4</w:t>
            </w:r>
          </w:p>
          <w:p w14:paraId="5DC5D7C4" w14:textId="77777777" w:rsidR="000B2315" w:rsidRPr="00DD47DF" w:rsidRDefault="000B2315" w:rsidP="008F72F4">
            <w:pPr>
              <w:pStyle w:val="Tabulka"/>
              <w:keepNext/>
              <w:keepLines/>
              <w:rPr>
                <w:rFonts w:cs="Calibri"/>
              </w:rPr>
            </w:pPr>
            <w:r w:rsidRPr="00DD47DF">
              <w:rPr>
                <w:rFonts w:cs="Calibri"/>
              </w:rPr>
              <w:t>Mechanismus územního plnění</w:t>
            </w:r>
          </w:p>
        </w:tc>
      </w:tr>
      <w:tr w:rsidR="000B2315" w:rsidRPr="00DD47DF" w14:paraId="28B2B3BE" w14:textId="77777777" w:rsidTr="00F42FC2">
        <w:tc>
          <w:tcPr>
            <w:tcW w:w="524" w:type="pct"/>
            <w:shd w:val="clear" w:color="auto" w:fill="DBE5F1"/>
            <w:vAlign w:val="center"/>
          </w:tcPr>
          <w:p w14:paraId="5702FAA2" w14:textId="77777777" w:rsidR="000B2315" w:rsidRPr="00DD47DF" w:rsidRDefault="000B2315" w:rsidP="008F72F4">
            <w:pPr>
              <w:pStyle w:val="Tabulka"/>
              <w:keepNext/>
              <w:keepLines/>
              <w:rPr>
                <w:rFonts w:cs="Calibri"/>
              </w:rPr>
            </w:pPr>
            <w:r w:rsidRPr="00DD47DF">
              <w:rPr>
                <w:rFonts w:cs="Calibri"/>
              </w:rPr>
              <w:t>Kód</w:t>
            </w:r>
          </w:p>
        </w:tc>
        <w:tc>
          <w:tcPr>
            <w:tcW w:w="888" w:type="pct"/>
            <w:shd w:val="clear" w:color="auto" w:fill="DBE5F1"/>
            <w:vAlign w:val="center"/>
          </w:tcPr>
          <w:p w14:paraId="2855F7A3" w14:textId="77777777" w:rsidR="000B2315" w:rsidRPr="00DD47DF" w:rsidRDefault="00D16DE9" w:rsidP="00814828">
            <w:pPr>
              <w:pStyle w:val="Tabulka"/>
              <w:keepNext/>
              <w:keepLines/>
              <w:rPr>
                <w:rFonts w:cs="Calibri"/>
              </w:rPr>
            </w:pPr>
            <w:r w:rsidRPr="00DD47DF">
              <w:rPr>
                <w:rFonts w:cs="Calibri"/>
              </w:rPr>
              <w:t>Částka (v EUR)</w:t>
            </w:r>
          </w:p>
        </w:tc>
        <w:tc>
          <w:tcPr>
            <w:tcW w:w="273" w:type="pct"/>
            <w:shd w:val="clear" w:color="auto" w:fill="DBE5F1"/>
            <w:vAlign w:val="center"/>
          </w:tcPr>
          <w:p w14:paraId="0509F971" w14:textId="77777777" w:rsidR="000B2315" w:rsidRPr="00DD47DF" w:rsidRDefault="000B2315" w:rsidP="008F72F4">
            <w:pPr>
              <w:pStyle w:val="Tabulka"/>
              <w:keepNext/>
              <w:keepLines/>
              <w:rPr>
                <w:rFonts w:cs="Calibri"/>
              </w:rPr>
            </w:pPr>
            <w:r w:rsidRPr="00DD47DF">
              <w:rPr>
                <w:rFonts w:cs="Calibri"/>
              </w:rPr>
              <w:t>Kód</w:t>
            </w:r>
          </w:p>
        </w:tc>
        <w:tc>
          <w:tcPr>
            <w:tcW w:w="922" w:type="pct"/>
            <w:shd w:val="clear" w:color="auto" w:fill="DBE5F1"/>
            <w:vAlign w:val="center"/>
          </w:tcPr>
          <w:p w14:paraId="6AB313A1" w14:textId="77777777" w:rsidR="000B2315" w:rsidRPr="00DD47DF" w:rsidRDefault="00D16DE9" w:rsidP="008F72F4">
            <w:pPr>
              <w:pStyle w:val="Tabulka"/>
              <w:keepNext/>
              <w:keepLines/>
              <w:rPr>
                <w:rFonts w:cs="Calibri"/>
              </w:rPr>
            </w:pPr>
            <w:r w:rsidRPr="00DD47DF">
              <w:rPr>
                <w:rFonts w:cs="Calibri"/>
              </w:rPr>
              <w:t>Částka (v EUR)</w:t>
            </w:r>
          </w:p>
        </w:tc>
        <w:tc>
          <w:tcPr>
            <w:tcW w:w="316" w:type="pct"/>
            <w:shd w:val="clear" w:color="auto" w:fill="DBE5F1"/>
            <w:vAlign w:val="center"/>
          </w:tcPr>
          <w:p w14:paraId="7304EE70" w14:textId="77777777" w:rsidR="000B2315" w:rsidRPr="00DD47DF" w:rsidRDefault="000B2315" w:rsidP="008F72F4">
            <w:pPr>
              <w:pStyle w:val="Tabulka"/>
              <w:keepNext/>
              <w:keepLines/>
              <w:rPr>
                <w:rFonts w:cs="Calibri"/>
              </w:rPr>
            </w:pPr>
            <w:r w:rsidRPr="00DD47DF">
              <w:rPr>
                <w:rFonts w:cs="Calibri"/>
              </w:rPr>
              <w:t>Kód</w:t>
            </w:r>
          </w:p>
        </w:tc>
        <w:tc>
          <w:tcPr>
            <w:tcW w:w="881" w:type="pct"/>
            <w:shd w:val="clear" w:color="auto" w:fill="DBE5F1"/>
            <w:vAlign w:val="center"/>
          </w:tcPr>
          <w:p w14:paraId="1F3C2E8F" w14:textId="77777777" w:rsidR="000B2315" w:rsidRPr="00DD47DF" w:rsidRDefault="00D16DE9" w:rsidP="008F72F4">
            <w:pPr>
              <w:pStyle w:val="Tabulka"/>
              <w:keepNext/>
              <w:keepLines/>
              <w:rPr>
                <w:rFonts w:cs="Calibri"/>
              </w:rPr>
            </w:pPr>
            <w:r w:rsidRPr="00DD47DF">
              <w:rPr>
                <w:rFonts w:cs="Calibri"/>
              </w:rPr>
              <w:t>Částka (v EUR)</w:t>
            </w:r>
          </w:p>
        </w:tc>
        <w:tc>
          <w:tcPr>
            <w:tcW w:w="282" w:type="pct"/>
            <w:shd w:val="clear" w:color="auto" w:fill="DBE5F1"/>
            <w:vAlign w:val="center"/>
          </w:tcPr>
          <w:p w14:paraId="62D2DEC4" w14:textId="77777777" w:rsidR="000B2315" w:rsidRPr="00DD47DF" w:rsidRDefault="000B2315" w:rsidP="008F72F4">
            <w:pPr>
              <w:pStyle w:val="Tabulka"/>
              <w:keepNext/>
              <w:keepLines/>
              <w:rPr>
                <w:rFonts w:cs="Calibri"/>
              </w:rPr>
            </w:pPr>
            <w:r w:rsidRPr="00DD47DF">
              <w:rPr>
                <w:rFonts w:cs="Calibri"/>
              </w:rPr>
              <w:t>Kód</w:t>
            </w:r>
          </w:p>
        </w:tc>
        <w:tc>
          <w:tcPr>
            <w:tcW w:w="914" w:type="pct"/>
            <w:shd w:val="clear" w:color="auto" w:fill="DBE5F1"/>
            <w:vAlign w:val="center"/>
          </w:tcPr>
          <w:p w14:paraId="4EB8F598" w14:textId="77777777" w:rsidR="000B2315" w:rsidRPr="00DD47DF" w:rsidRDefault="00D16DE9" w:rsidP="008F72F4">
            <w:pPr>
              <w:pStyle w:val="Tabulka"/>
              <w:keepNext/>
              <w:keepLines/>
              <w:rPr>
                <w:rFonts w:cs="Calibri"/>
              </w:rPr>
            </w:pPr>
            <w:r w:rsidRPr="00DD47DF">
              <w:rPr>
                <w:rFonts w:cs="Calibri"/>
              </w:rPr>
              <w:t>Částka (v EUR)</w:t>
            </w:r>
          </w:p>
        </w:tc>
      </w:tr>
      <w:tr w:rsidR="00E129EE" w:rsidRPr="00DD47DF" w14:paraId="64C19428" w14:textId="77777777" w:rsidTr="00D05A06">
        <w:tc>
          <w:tcPr>
            <w:tcW w:w="524" w:type="pct"/>
            <w:shd w:val="clear" w:color="auto" w:fill="auto"/>
            <w:vAlign w:val="center"/>
          </w:tcPr>
          <w:p w14:paraId="6AA64C99" w14:textId="77777777" w:rsidR="00E129EE" w:rsidRPr="00DD47DF" w:rsidRDefault="00E129EE" w:rsidP="00E129EE">
            <w:pPr>
              <w:pStyle w:val="Tabulka"/>
              <w:keepNext/>
              <w:keepLines/>
              <w:rPr>
                <w:rFonts w:cs="Calibri"/>
              </w:rPr>
            </w:pPr>
            <w:r w:rsidRPr="00DD47DF">
              <w:rPr>
                <w:rFonts w:cs="Calibri"/>
              </w:rPr>
              <w:t>002</w:t>
            </w:r>
          </w:p>
        </w:tc>
        <w:tc>
          <w:tcPr>
            <w:tcW w:w="888" w:type="pct"/>
            <w:tcBorders>
              <w:top w:val="single" w:sz="8" w:space="0" w:color="auto"/>
              <w:left w:val="nil"/>
              <w:bottom w:val="single" w:sz="8" w:space="0" w:color="auto"/>
              <w:right w:val="single" w:sz="8" w:space="0" w:color="auto"/>
            </w:tcBorders>
            <w:shd w:val="clear" w:color="auto" w:fill="auto"/>
            <w:vAlign w:val="center"/>
          </w:tcPr>
          <w:p w14:paraId="08D57BDA" w14:textId="4A77143C" w:rsidR="00E129EE" w:rsidRPr="00DD47DF" w:rsidRDefault="00E129EE" w:rsidP="00E129EE">
            <w:pPr>
              <w:pStyle w:val="Tabulka"/>
              <w:jc w:val="right"/>
              <w:rPr>
                <w:color w:val="000000"/>
              </w:rPr>
            </w:pPr>
            <w:r w:rsidRPr="00091531">
              <w:rPr>
                <w:color w:val="000000"/>
              </w:rPr>
              <w:t>167</w:t>
            </w:r>
            <w:r>
              <w:rPr>
                <w:color w:val="000000"/>
              </w:rPr>
              <w:t xml:space="preserve"> 0</w:t>
            </w:r>
            <w:r w:rsidRPr="00091531">
              <w:rPr>
                <w:color w:val="000000"/>
              </w:rPr>
              <w:t>00</w:t>
            </w:r>
            <w:r>
              <w:rPr>
                <w:color w:val="000000"/>
              </w:rPr>
              <w:t xml:space="preserve"> </w:t>
            </w:r>
            <w:r w:rsidRPr="00091531">
              <w:rPr>
                <w:color w:val="000000"/>
              </w:rPr>
              <w:t>000</w:t>
            </w:r>
          </w:p>
        </w:tc>
        <w:tc>
          <w:tcPr>
            <w:tcW w:w="273" w:type="pct"/>
            <w:shd w:val="clear" w:color="auto" w:fill="auto"/>
            <w:vAlign w:val="center"/>
          </w:tcPr>
          <w:p w14:paraId="00FD0DC0" w14:textId="77777777" w:rsidR="00E129EE" w:rsidRPr="00DD47DF" w:rsidRDefault="00E129EE" w:rsidP="00E129EE">
            <w:pPr>
              <w:pStyle w:val="Tabulka"/>
              <w:rPr>
                <w:rFonts w:cs="Calibri"/>
              </w:rPr>
            </w:pPr>
            <w:r w:rsidRPr="00DD47DF">
              <w:rPr>
                <w:rFonts w:cs="Calibri"/>
              </w:rPr>
              <w:t>01</w:t>
            </w:r>
          </w:p>
        </w:tc>
        <w:tc>
          <w:tcPr>
            <w:tcW w:w="922" w:type="pct"/>
            <w:shd w:val="clear" w:color="auto" w:fill="auto"/>
            <w:vAlign w:val="center"/>
          </w:tcPr>
          <w:p w14:paraId="07053108" w14:textId="36141FA4" w:rsidR="00E129EE" w:rsidRPr="00DD47DF" w:rsidRDefault="00E129EE" w:rsidP="00E129EE">
            <w:pPr>
              <w:pStyle w:val="Tabulka"/>
              <w:jc w:val="right"/>
              <w:rPr>
                <w:rFonts w:cs="Calibri"/>
              </w:rPr>
            </w:pPr>
            <w:r>
              <w:t>1 340 544 411</w:t>
            </w:r>
          </w:p>
        </w:tc>
        <w:tc>
          <w:tcPr>
            <w:tcW w:w="316" w:type="pct"/>
            <w:shd w:val="clear" w:color="auto" w:fill="auto"/>
            <w:vAlign w:val="center"/>
          </w:tcPr>
          <w:p w14:paraId="6D36AECF" w14:textId="77777777" w:rsidR="00E129EE" w:rsidRPr="00DD47DF" w:rsidRDefault="00E129EE" w:rsidP="00E129EE">
            <w:pPr>
              <w:pStyle w:val="Tabulka"/>
              <w:rPr>
                <w:rFonts w:cs="Calibri"/>
              </w:rPr>
            </w:pPr>
            <w:r w:rsidRPr="00DD47DF">
              <w:rPr>
                <w:rFonts w:cs="Calibri"/>
              </w:rPr>
              <w:t>01</w:t>
            </w:r>
          </w:p>
        </w:tc>
        <w:tc>
          <w:tcPr>
            <w:tcW w:w="881" w:type="pct"/>
            <w:shd w:val="clear" w:color="auto" w:fill="auto"/>
            <w:vAlign w:val="bottom"/>
          </w:tcPr>
          <w:p w14:paraId="65DD3BA9" w14:textId="55502693" w:rsidR="00E129EE" w:rsidRPr="00DD47DF" w:rsidRDefault="00E129EE" w:rsidP="00E129EE">
            <w:pPr>
              <w:pStyle w:val="Tabulka"/>
              <w:jc w:val="right"/>
            </w:pPr>
            <w:r w:rsidRPr="00700E39">
              <w:t>438 825 443</w:t>
            </w:r>
          </w:p>
        </w:tc>
        <w:tc>
          <w:tcPr>
            <w:tcW w:w="282" w:type="pct"/>
            <w:shd w:val="clear" w:color="auto" w:fill="auto"/>
            <w:vAlign w:val="center"/>
          </w:tcPr>
          <w:p w14:paraId="7346BFBF" w14:textId="77777777" w:rsidR="00E129EE" w:rsidRPr="00DD47DF" w:rsidRDefault="00E129EE" w:rsidP="00E129EE">
            <w:pPr>
              <w:pStyle w:val="Tabulka"/>
              <w:rPr>
                <w:rFonts w:cs="Calibri"/>
              </w:rPr>
            </w:pPr>
            <w:r w:rsidRPr="00DD47DF">
              <w:rPr>
                <w:rFonts w:cs="Calibri"/>
              </w:rPr>
              <w:t>01</w:t>
            </w:r>
          </w:p>
        </w:tc>
        <w:tc>
          <w:tcPr>
            <w:tcW w:w="914" w:type="pct"/>
            <w:shd w:val="clear" w:color="auto" w:fill="auto"/>
            <w:vAlign w:val="bottom"/>
          </w:tcPr>
          <w:p w14:paraId="7C36FE2A" w14:textId="7EE4BB00" w:rsidR="00E129EE" w:rsidRPr="00DD47DF" w:rsidRDefault="00CA5816" w:rsidP="00E129EE">
            <w:pPr>
              <w:pStyle w:val="Tabulka"/>
              <w:jc w:val="right"/>
            </w:pPr>
            <w:r w:rsidRPr="00700E39">
              <w:t>85 441 261</w:t>
            </w:r>
          </w:p>
        </w:tc>
      </w:tr>
      <w:tr w:rsidR="00E129EE" w:rsidRPr="00DD47DF" w14:paraId="07019E05" w14:textId="77777777" w:rsidTr="00D05A06">
        <w:tc>
          <w:tcPr>
            <w:tcW w:w="524" w:type="pct"/>
            <w:shd w:val="clear" w:color="auto" w:fill="auto"/>
            <w:vAlign w:val="center"/>
          </w:tcPr>
          <w:p w14:paraId="715DA8F5" w14:textId="77777777" w:rsidR="00E129EE" w:rsidRPr="00DD47DF" w:rsidRDefault="00E129EE" w:rsidP="00E129EE">
            <w:pPr>
              <w:pStyle w:val="Tabulka"/>
              <w:rPr>
                <w:rFonts w:cs="Calibri"/>
              </w:rPr>
            </w:pPr>
            <w:r w:rsidRPr="00DD47DF">
              <w:rPr>
                <w:rFonts w:cs="Calibri"/>
              </w:rPr>
              <w:t>056</w:t>
            </w:r>
          </w:p>
        </w:tc>
        <w:tc>
          <w:tcPr>
            <w:tcW w:w="888" w:type="pct"/>
            <w:tcBorders>
              <w:top w:val="nil"/>
              <w:left w:val="nil"/>
              <w:bottom w:val="single" w:sz="8" w:space="0" w:color="auto"/>
              <w:right w:val="single" w:sz="8" w:space="0" w:color="auto"/>
            </w:tcBorders>
            <w:shd w:val="clear" w:color="auto" w:fill="auto"/>
            <w:vAlign w:val="center"/>
          </w:tcPr>
          <w:p w14:paraId="3127A475" w14:textId="27E6FAE5" w:rsidR="00E129EE" w:rsidRPr="00DD47DF" w:rsidRDefault="00E129EE" w:rsidP="00E129EE">
            <w:pPr>
              <w:pStyle w:val="Tabulka"/>
              <w:jc w:val="right"/>
              <w:rPr>
                <w:color w:val="000000"/>
              </w:rPr>
            </w:pPr>
            <w:r w:rsidRPr="00700E39">
              <w:rPr>
                <w:color w:val="000000"/>
              </w:rPr>
              <w:t>142 312 240</w:t>
            </w:r>
          </w:p>
        </w:tc>
        <w:tc>
          <w:tcPr>
            <w:tcW w:w="273" w:type="pct"/>
            <w:shd w:val="clear" w:color="auto" w:fill="auto"/>
            <w:vAlign w:val="center"/>
          </w:tcPr>
          <w:p w14:paraId="58DCF43E" w14:textId="77777777" w:rsidR="00E129EE" w:rsidRPr="00DD47DF" w:rsidRDefault="00E129EE" w:rsidP="00E129EE">
            <w:pPr>
              <w:pStyle w:val="Tabulka"/>
              <w:rPr>
                <w:rFonts w:cs="Calibri"/>
              </w:rPr>
            </w:pPr>
            <w:r w:rsidRPr="00DD47DF">
              <w:rPr>
                <w:rFonts w:cs="Calibri"/>
              </w:rPr>
              <w:t>03</w:t>
            </w:r>
          </w:p>
        </w:tc>
        <w:tc>
          <w:tcPr>
            <w:tcW w:w="922" w:type="pct"/>
            <w:shd w:val="clear" w:color="auto" w:fill="auto"/>
            <w:vAlign w:val="center"/>
          </w:tcPr>
          <w:p w14:paraId="2F92E343" w14:textId="3D0EAB9F" w:rsidR="00E129EE" w:rsidRPr="00DD47DF" w:rsidRDefault="00E129EE" w:rsidP="00E129EE">
            <w:pPr>
              <w:pStyle w:val="Tabulka"/>
              <w:jc w:val="right"/>
              <w:rPr>
                <w:rFonts w:cs="Calibri"/>
              </w:rPr>
            </w:pPr>
            <w:r>
              <w:rPr>
                <w:rFonts w:cs="Calibri"/>
              </w:rPr>
              <w:t>12 000 000</w:t>
            </w:r>
            <w:r w:rsidRPr="00DD47DF">
              <w:rPr>
                <w:rStyle w:val="Znakapoznpodarou"/>
                <w:rFonts w:cs="Calibri"/>
              </w:rPr>
              <w:footnoteReference w:id="49"/>
            </w:r>
          </w:p>
        </w:tc>
        <w:tc>
          <w:tcPr>
            <w:tcW w:w="316" w:type="pct"/>
            <w:shd w:val="clear" w:color="auto" w:fill="auto"/>
            <w:vAlign w:val="center"/>
          </w:tcPr>
          <w:p w14:paraId="31255B08" w14:textId="77777777" w:rsidR="00E129EE" w:rsidRPr="00DD47DF" w:rsidRDefault="00E129EE" w:rsidP="00E129EE">
            <w:pPr>
              <w:pStyle w:val="Tabulka"/>
              <w:rPr>
                <w:rFonts w:cs="Calibri"/>
              </w:rPr>
            </w:pPr>
            <w:r w:rsidRPr="00DD47DF">
              <w:rPr>
                <w:rFonts w:cs="Calibri"/>
              </w:rPr>
              <w:t>02</w:t>
            </w:r>
          </w:p>
        </w:tc>
        <w:tc>
          <w:tcPr>
            <w:tcW w:w="881" w:type="pct"/>
            <w:shd w:val="clear" w:color="auto" w:fill="auto"/>
            <w:vAlign w:val="bottom"/>
          </w:tcPr>
          <w:p w14:paraId="012205A5" w14:textId="6333DB76" w:rsidR="00E129EE" w:rsidRPr="00DD47DF" w:rsidRDefault="00E129EE" w:rsidP="00E129EE">
            <w:pPr>
              <w:pStyle w:val="Tabulka"/>
              <w:jc w:val="right"/>
            </w:pPr>
            <w:r w:rsidRPr="00700E39">
              <w:t>523 401 289</w:t>
            </w:r>
          </w:p>
        </w:tc>
        <w:tc>
          <w:tcPr>
            <w:tcW w:w="282" w:type="pct"/>
            <w:shd w:val="clear" w:color="auto" w:fill="auto"/>
            <w:vAlign w:val="center"/>
          </w:tcPr>
          <w:p w14:paraId="113F4636" w14:textId="77777777" w:rsidR="00E129EE" w:rsidRPr="00DD47DF" w:rsidRDefault="00E129EE" w:rsidP="00E129EE">
            <w:pPr>
              <w:pStyle w:val="Tabulka"/>
              <w:rPr>
                <w:rFonts w:cs="Calibri"/>
              </w:rPr>
            </w:pPr>
            <w:r w:rsidRPr="00DD47DF">
              <w:rPr>
                <w:rFonts w:cs="Calibri"/>
              </w:rPr>
              <w:t>07</w:t>
            </w:r>
          </w:p>
        </w:tc>
        <w:tc>
          <w:tcPr>
            <w:tcW w:w="914" w:type="pct"/>
            <w:shd w:val="clear" w:color="auto" w:fill="auto"/>
            <w:vAlign w:val="bottom"/>
          </w:tcPr>
          <w:p w14:paraId="43755318" w14:textId="57772784" w:rsidR="00E129EE" w:rsidRPr="00DD47DF" w:rsidRDefault="00CA5816" w:rsidP="00E129EE">
            <w:pPr>
              <w:pStyle w:val="Tabulka"/>
              <w:jc w:val="right"/>
            </w:pPr>
            <w:r w:rsidRPr="00700E39">
              <w:t>1 267 103 150</w:t>
            </w:r>
          </w:p>
        </w:tc>
      </w:tr>
      <w:tr w:rsidR="00E129EE" w:rsidRPr="00DD47DF" w14:paraId="3D1EF6F8" w14:textId="77777777" w:rsidTr="00D05A06">
        <w:tc>
          <w:tcPr>
            <w:tcW w:w="524" w:type="pct"/>
            <w:shd w:val="clear" w:color="auto" w:fill="auto"/>
            <w:vAlign w:val="center"/>
          </w:tcPr>
          <w:p w14:paraId="6417DCF6" w14:textId="77777777" w:rsidR="00E129EE" w:rsidRPr="00DD47DF" w:rsidRDefault="00E129EE" w:rsidP="00E129EE">
            <w:pPr>
              <w:pStyle w:val="Tabulka"/>
              <w:rPr>
                <w:rFonts w:cs="Calibri"/>
              </w:rPr>
            </w:pPr>
            <w:r w:rsidRPr="00DD47DF">
              <w:rPr>
                <w:rFonts w:cs="Calibri"/>
              </w:rPr>
              <w:t>057</w:t>
            </w:r>
          </w:p>
        </w:tc>
        <w:tc>
          <w:tcPr>
            <w:tcW w:w="888" w:type="pct"/>
            <w:tcBorders>
              <w:top w:val="nil"/>
              <w:left w:val="nil"/>
              <w:bottom w:val="single" w:sz="8" w:space="0" w:color="auto"/>
              <w:right w:val="single" w:sz="8" w:space="0" w:color="auto"/>
            </w:tcBorders>
            <w:shd w:val="clear" w:color="auto" w:fill="auto"/>
            <w:vAlign w:val="center"/>
          </w:tcPr>
          <w:p w14:paraId="0284BD96" w14:textId="0A54F8D5" w:rsidR="00E129EE" w:rsidRPr="00DD47DF" w:rsidRDefault="00E129EE" w:rsidP="00E129EE">
            <w:pPr>
              <w:pStyle w:val="Tabulka"/>
              <w:jc w:val="right"/>
              <w:rPr>
                <w:color w:val="000000"/>
              </w:rPr>
            </w:pPr>
            <w:r>
              <w:rPr>
                <w:color w:val="000000"/>
              </w:rPr>
              <w:t>103 000 000</w:t>
            </w:r>
          </w:p>
        </w:tc>
        <w:tc>
          <w:tcPr>
            <w:tcW w:w="273" w:type="pct"/>
            <w:shd w:val="clear" w:color="auto" w:fill="auto"/>
            <w:vAlign w:val="center"/>
          </w:tcPr>
          <w:p w14:paraId="3969CC67" w14:textId="77777777" w:rsidR="00E129EE" w:rsidRPr="00DD47DF" w:rsidRDefault="00E129EE" w:rsidP="00E129EE">
            <w:pPr>
              <w:pStyle w:val="Tabulka"/>
              <w:rPr>
                <w:rFonts w:cs="Calibri"/>
              </w:rPr>
            </w:pPr>
          </w:p>
        </w:tc>
        <w:tc>
          <w:tcPr>
            <w:tcW w:w="922" w:type="pct"/>
            <w:shd w:val="clear" w:color="auto" w:fill="auto"/>
            <w:vAlign w:val="center"/>
          </w:tcPr>
          <w:p w14:paraId="2AD36C01" w14:textId="77777777" w:rsidR="00E129EE" w:rsidRPr="00DD47DF" w:rsidRDefault="00E129EE" w:rsidP="00E129EE">
            <w:pPr>
              <w:pStyle w:val="Tabulka"/>
              <w:jc w:val="right"/>
              <w:rPr>
                <w:rFonts w:cs="Calibri"/>
              </w:rPr>
            </w:pPr>
          </w:p>
        </w:tc>
        <w:tc>
          <w:tcPr>
            <w:tcW w:w="316" w:type="pct"/>
            <w:shd w:val="clear" w:color="auto" w:fill="auto"/>
            <w:vAlign w:val="center"/>
          </w:tcPr>
          <w:p w14:paraId="0BE33204" w14:textId="77777777" w:rsidR="00E129EE" w:rsidRPr="00DD47DF" w:rsidRDefault="00E129EE" w:rsidP="00E129EE">
            <w:pPr>
              <w:pStyle w:val="Tabulka"/>
              <w:rPr>
                <w:rFonts w:cs="Calibri"/>
              </w:rPr>
            </w:pPr>
            <w:r w:rsidRPr="00DD47DF">
              <w:rPr>
                <w:rFonts w:cs="Calibri"/>
              </w:rPr>
              <w:t>03</w:t>
            </w:r>
          </w:p>
        </w:tc>
        <w:tc>
          <w:tcPr>
            <w:tcW w:w="881" w:type="pct"/>
            <w:shd w:val="clear" w:color="auto" w:fill="auto"/>
            <w:vAlign w:val="bottom"/>
          </w:tcPr>
          <w:p w14:paraId="26027A27" w14:textId="78DAC982" w:rsidR="00E129EE" w:rsidRPr="00DD47DF" w:rsidRDefault="00E129EE" w:rsidP="00E129EE">
            <w:pPr>
              <w:pStyle w:val="Tabulka"/>
              <w:jc w:val="right"/>
            </w:pPr>
            <w:r w:rsidRPr="00700E39">
              <w:t>390 317 679</w:t>
            </w:r>
          </w:p>
        </w:tc>
        <w:tc>
          <w:tcPr>
            <w:tcW w:w="282" w:type="pct"/>
            <w:shd w:val="clear" w:color="auto" w:fill="auto"/>
            <w:vAlign w:val="center"/>
          </w:tcPr>
          <w:p w14:paraId="4814F492" w14:textId="77777777" w:rsidR="00E129EE" w:rsidRPr="00DD47DF" w:rsidRDefault="00E129EE" w:rsidP="00E129EE">
            <w:pPr>
              <w:pStyle w:val="Tabulka"/>
              <w:rPr>
                <w:rFonts w:cs="Calibri"/>
              </w:rPr>
            </w:pPr>
          </w:p>
        </w:tc>
        <w:tc>
          <w:tcPr>
            <w:tcW w:w="914" w:type="pct"/>
            <w:shd w:val="clear" w:color="auto" w:fill="auto"/>
            <w:vAlign w:val="center"/>
          </w:tcPr>
          <w:p w14:paraId="66F76D0A" w14:textId="77777777" w:rsidR="00E129EE" w:rsidRPr="00DD47DF" w:rsidRDefault="00E129EE" w:rsidP="00E129EE">
            <w:pPr>
              <w:pStyle w:val="Tabulka"/>
              <w:jc w:val="right"/>
              <w:rPr>
                <w:rFonts w:cs="Calibri"/>
              </w:rPr>
            </w:pPr>
          </w:p>
        </w:tc>
      </w:tr>
      <w:tr w:rsidR="00E9476F" w:rsidRPr="00DD47DF" w14:paraId="0091BD83" w14:textId="77777777" w:rsidTr="00D05A06">
        <w:tc>
          <w:tcPr>
            <w:tcW w:w="524" w:type="pct"/>
            <w:shd w:val="clear" w:color="auto" w:fill="auto"/>
            <w:vAlign w:val="center"/>
          </w:tcPr>
          <w:p w14:paraId="67F555DE" w14:textId="77777777" w:rsidR="00E9476F" w:rsidRPr="00DD47DF" w:rsidRDefault="00E9476F" w:rsidP="00E9476F">
            <w:pPr>
              <w:pStyle w:val="Tabulka"/>
              <w:rPr>
                <w:rFonts w:cs="Calibri"/>
              </w:rPr>
            </w:pPr>
            <w:r w:rsidRPr="00DD47DF">
              <w:rPr>
                <w:rFonts w:cs="Calibri"/>
              </w:rPr>
              <w:t>058</w:t>
            </w:r>
          </w:p>
        </w:tc>
        <w:tc>
          <w:tcPr>
            <w:tcW w:w="888" w:type="pct"/>
            <w:tcBorders>
              <w:top w:val="nil"/>
              <w:left w:val="nil"/>
              <w:bottom w:val="single" w:sz="8" w:space="0" w:color="auto"/>
              <w:right w:val="single" w:sz="8" w:space="0" w:color="auto"/>
            </w:tcBorders>
            <w:shd w:val="clear" w:color="auto" w:fill="auto"/>
            <w:vAlign w:val="center"/>
          </w:tcPr>
          <w:p w14:paraId="49EC1451" w14:textId="7C718106" w:rsidR="00E9476F" w:rsidRPr="00DD47DF" w:rsidRDefault="00025F9C" w:rsidP="00E9476F">
            <w:pPr>
              <w:pStyle w:val="Tabulka"/>
              <w:jc w:val="right"/>
            </w:pPr>
            <w:r>
              <w:rPr>
                <w:color w:val="000000"/>
              </w:rPr>
              <w:t>37 246 096</w:t>
            </w:r>
          </w:p>
        </w:tc>
        <w:tc>
          <w:tcPr>
            <w:tcW w:w="273" w:type="pct"/>
            <w:shd w:val="clear" w:color="auto" w:fill="auto"/>
            <w:vAlign w:val="center"/>
          </w:tcPr>
          <w:p w14:paraId="00D44C22" w14:textId="77777777" w:rsidR="00E9476F" w:rsidRPr="00DD47DF" w:rsidRDefault="00E9476F" w:rsidP="00E9476F">
            <w:pPr>
              <w:pStyle w:val="Tabulka"/>
              <w:rPr>
                <w:rFonts w:cs="Calibri"/>
              </w:rPr>
            </w:pPr>
          </w:p>
        </w:tc>
        <w:tc>
          <w:tcPr>
            <w:tcW w:w="922" w:type="pct"/>
            <w:shd w:val="clear" w:color="auto" w:fill="auto"/>
            <w:vAlign w:val="center"/>
          </w:tcPr>
          <w:p w14:paraId="6B796C9F" w14:textId="77777777" w:rsidR="00E9476F" w:rsidRPr="00DD47DF" w:rsidRDefault="00E9476F" w:rsidP="00E9476F">
            <w:pPr>
              <w:pStyle w:val="Tabulka"/>
              <w:jc w:val="right"/>
              <w:rPr>
                <w:rFonts w:cs="Calibri"/>
              </w:rPr>
            </w:pPr>
          </w:p>
        </w:tc>
        <w:tc>
          <w:tcPr>
            <w:tcW w:w="316" w:type="pct"/>
            <w:shd w:val="clear" w:color="auto" w:fill="auto"/>
            <w:vAlign w:val="center"/>
          </w:tcPr>
          <w:p w14:paraId="2C48F96A" w14:textId="77777777" w:rsidR="00E9476F" w:rsidRPr="00DD47DF" w:rsidRDefault="00E9476F" w:rsidP="00E9476F">
            <w:pPr>
              <w:pStyle w:val="Tabulka"/>
              <w:rPr>
                <w:rFonts w:cs="Calibri"/>
              </w:rPr>
            </w:pPr>
          </w:p>
        </w:tc>
        <w:tc>
          <w:tcPr>
            <w:tcW w:w="881" w:type="pct"/>
            <w:shd w:val="clear" w:color="auto" w:fill="auto"/>
            <w:vAlign w:val="center"/>
          </w:tcPr>
          <w:p w14:paraId="06951ADF" w14:textId="77777777" w:rsidR="00E9476F" w:rsidRPr="00DD47DF" w:rsidRDefault="00E9476F" w:rsidP="00E9476F">
            <w:pPr>
              <w:pStyle w:val="Tabulka"/>
              <w:jc w:val="right"/>
              <w:rPr>
                <w:rFonts w:cs="Calibri"/>
              </w:rPr>
            </w:pPr>
          </w:p>
        </w:tc>
        <w:tc>
          <w:tcPr>
            <w:tcW w:w="282" w:type="pct"/>
            <w:shd w:val="clear" w:color="auto" w:fill="auto"/>
            <w:vAlign w:val="center"/>
          </w:tcPr>
          <w:p w14:paraId="21349BCE" w14:textId="77777777" w:rsidR="00E9476F" w:rsidRPr="00DD47DF" w:rsidRDefault="00E9476F" w:rsidP="00E9476F">
            <w:pPr>
              <w:pStyle w:val="Tabulka"/>
              <w:rPr>
                <w:rFonts w:cs="Calibri"/>
              </w:rPr>
            </w:pPr>
          </w:p>
        </w:tc>
        <w:tc>
          <w:tcPr>
            <w:tcW w:w="914" w:type="pct"/>
            <w:shd w:val="clear" w:color="auto" w:fill="auto"/>
            <w:vAlign w:val="center"/>
          </w:tcPr>
          <w:p w14:paraId="7A49E98D" w14:textId="77777777" w:rsidR="00E9476F" w:rsidRPr="00DD47DF" w:rsidRDefault="00E9476F" w:rsidP="00E9476F">
            <w:pPr>
              <w:pStyle w:val="Tabulka"/>
              <w:jc w:val="right"/>
              <w:rPr>
                <w:rFonts w:cs="Calibri"/>
              </w:rPr>
            </w:pPr>
          </w:p>
        </w:tc>
      </w:tr>
      <w:tr w:rsidR="00E9476F" w:rsidRPr="00DD47DF" w14:paraId="7FDB7B1C" w14:textId="77777777" w:rsidTr="00D05A06">
        <w:tc>
          <w:tcPr>
            <w:tcW w:w="524" w:type="pct"/>
            <w:shd w:val="clear" w:color="auto" w:fill="auto"/>
            <w:vAlign w:val="center"/>
          </w:tcPr>
          <w:p w14:paraId="722004A8" w14:textId="77777777" w:rsidR="00E9476F" w:rsidRPr="00DD47DF" w:rsidRDefault="00E9476F" w:rsidP="00E9476F">
            <w:pPr>
              <w:pStyle w:val="Tabulka"/>
              <w:rPr>
                <w:rFonts w:cs="Calibri"/>
              </w:rPr>
            </w:pPr>
            <w:r w:rsidRPr="00DD47DF">
              <w:rPr>
                <w:rFonts w:cs="Calibri"/>
              </w:rPr>
              <w:t>059</w:t>
            </w:r>
          </w:p>
        </w:tc>
        <w:tc>
          <w:tcPr>
            <w:tcW w:w="888" w:type="pct"/>
            <w:tcBorders>
              <w:top w:val="nil"/>
              <w:left w:val="nil"/>
              <w:bottom w:val="single" w:sz="8" w:space="0" w:color="auto"/>
              <w:right w:val="single" w:sz="8" w:space="0" w:color="auto"/>
            </w:tcBorders>
            <w:shd w:val="clear" w:color="auto" w:fill="auto"/>
            <w:vAlign w:val="center"/>
          </w:tcPr>
          <w:p w14:paraId="515F9878" w14:textId="296FCCAD" w:rsidR="00E9476F" w:rsidRPr="00DD47DF" w:rsidRDefault="00025F9C" w:rsidP="00E9476F">
            <w:pPr>
              <w:pStyle w:val="Tabulka"/>
              <w:jc w:val="right"/>
            </w:pPr>
            <w:r>
              <w:rPr>
                <w:color w:val="000000"/>
              </w:rPr>
              <w:t>95 992 503</w:t>
            </w:r>
          </w:p>
        </w:tc>
        <w:tc>
          <w:tcPr>
            <w:tcW w:w="273" w:type="pct"/>
            <w:shd w:val="clear" w:color="auto" w:fill="auto"/>
            <w:vAlign w:val="center"/>
          </w:tcPr>
          <w:p w14:paraId="5B690723" w14:textId="77777777" w:rsidR="00E9476F" w:rsidRPr="00DD47DF" w:rsidRDefault="00E9476F" w:rsidP="00E9476F">
            <w:pPr>
              <w:pStyle w:val="Tabulka"/>
              <w:rPr>
                <w:rFonts w:cs="Calibri"/>
              </w:rPr>
            </w:pPr>
          </w:p>
        </w:tc>
        <w:tc>
          <w:tcPr>
            <w:tcW w:w="922" w:type="pct"/>
            <w:shd w:val="clear" w:color="auto" w:fill="auto"/>
            <w:vAlign w:val="center"/>
          </w:tcPr>
          <w:p w14:paraId="6743B7DB" w14:textId="77777777" w:rsidR="00E9476F" w:rsidRPr="00DD47DF" w:rsidRDefault="00E9476F" w:rsidP="00E9476F">
            <w:pPr>
              <w:pStyle w:val="Tabulka"/>
              <w:jc w:val="right"/>
              <w:rPr>
                <w:rFonts w:cs="Calibri"/>
              </w:rPr>
            </w:pPr>
          </w:p>
        </w:tc>
        <w:tc>
          <w:tcPr>
            <w:tcW w:w="316" w:type="pct"/>
            <w:shd w:val="clear" w:color="auto" w:fill="auto"/>
            <w:vAlign w:val="center"/>
          </w:tcPr>
          <w:p w14:paraId="2BF14D36" w14:textId="77777777" w:rsidR="00E9476F" w:rsidRPr="00DD47DF" w:rsidRDefault="00E9476F" w:rsidP="00E9476F">
            <w:pPr>
              <w:pStyle w:val="Tabulka"/>
              <w:rPr>
                <w:rFonts w:cs="Calibri"/>
              </w:rPr>
            </w:pPr>
          </w:p>
        </w:tc>
        <w:tc>
          <w:tcPr>
            <w:tcW w:w="881" w:type="pct"/>
            <w:shd w:val="clear" w:color="auto" w:fill="auto"/>
            <w:vAlign w:val="center"/>
          </w:tcPr>
          <w:p w14:paraId="632BE5BC" w14:textId="77777777" w:rsidR="00E9476F" w:rsidRPr="00DD47DF" w:rsidRDefault="00E9476F" w:rsidP="00E9476F">
            <w:pPr>
              <w:pStyle w:val="Tabulka"/>
              <w:jc w:val="right"/>
              <w:rPr>
                <w:rFonts w:cs="Calibri"/>
              </w:rPr>
            </w:pPr>
          </w:p>
        </w:tc>
        <w:tc>
          <w:tcPr>
            <w:tcW w:w="282" w:type="pct"/>
            <w:shd w:val="clear" w:color="auto" w:fill="auto"/>
            <w:vAlign w:val="center"/>
          </w:tcPr>
          <w:p w14:paraId="26194453" w14:textId="77777777" w:rsidR="00E9476F" w:rsidRPr="00DD47DF" w:rsidRDefault="00E9476F" w:rsidP="00E9476F">
            <w:pPr>
              <w:pStyle w:val="Tabulka"/>
              <w:rPr>
                <w:rFonts w:cs="Calibri"/>
              </w:rPr>
            </w:pPr>
          </w:p>
        </w:tc>
        <w:tc>
          <w:tcPr>
            <w:tcW w:w="914" w:type="pct"/>
            <w:shd w:val="clear" w:color="auto" w:fill="auto"/>
            <w:vAlign w:val="center"/>
          </w:tcPr>
          <w:p w14:paraId="325EF4A0" w14:textId="77777777" w:rsidR="00E9476F" w:rsidRPr="00DD47DF" w:rsidRDefault="00E9476F" w:rsidP="00E9476F">
            <w:pPr>
              <w:pStyle w:val="Tabulka"/>
              <w:jc w:val="right"/>
              <w:rPr>
                <w:rFonts w:cs="Calibri"/>
              </w:rPr>
            </w:pPr>
          </w:p>
        </w:tc>
      </w:tr>
      <w:tr w:rsidR="00E9476F" w:rsidRPr="00DD47DF" w14:paraId="6D6F1C52" w14:textId="77777777" w:rsidTr="00D05A06">
        <w:tc>
          <w:tcPr>
            <w:tcW w:w="524" w:type="pct"/>
            <w:shd w:val="clear" w:color="auto" w:fill="auto"/>
            <w:vAlign w:val="center"/>
          </w:tcPr>
          <w:p w14:paraId="220ECAF9" w14:textId="77777777" w:rsidR="00E9476F" w:rsidRPr="00DD47DF" w:rsidRDefault="00E9476F" w:rsidP="00E9476F">
            <w:pPr>
              <w:pStyle w:val="Tabulka"/>
              <w:rPr>
                <w:rFonts w:cs="Calibri"/>
              </w:rPr>
            </w:pPr>
            <w:r w:rsidRPr="00DD47DF">
              <w:rPr>
                <w:rFonts w:cs="Calibri"/>
              </w:rPr>
              <w:t>060</w:t>
            </w:r>
          </w:p>
        </w:tc>
        <w:tc>
          <w:tcPr>
            <w:tcW w:w="888" w:type="pct"/>
            <w:tcBorders>
              <w:top w:val="nil"/>
              <w:left w:val="nil"/>
              <w:bottom w:val="single" w:sz="8" w:space="0" w:color="auto"/>
              <w:right w:val="single" w:sz="8" w:space="0" w:color="auto"/>
            </w:tcBorders>
            <w:shd w:val="clear" w:color="auto" w:fill="auto"/>
            <w:vAlign w:val="center"/>
          </w:tcPr>
          <w:p w14:paraId="2C8D7837" w14:textId="410BC850" w:rsidR="00E9476F" w:rsidRPr="00DD47DF" w:rsidRDefault="00025F9C" w:rsidP="00E9476F">
            <w:pPr>
              <w:pStyle w:val="Tabulka"/>
              <w:jc w:val="right"/>
            </w:pPr>
            <w:r>
              <w:rPr>
                <w:color w:val="000000"/>
              </w:rPr>
              <w:t>60 464 085</w:t>
            </w:r>
          </w:p>
        </w:tc>
        <w:tc>
          <w:tcPr>
            <w:tcW w:w="273" w:type="pct"/>
            <w:shd w:val="clear" w:color="auto" w:fill="auto"/>
            <w:vAlign w:val="center"/>
          </w:tcPr>
          <w:p w14:paraId="4A49B3F1" w14:textId="77777777" w:rsidR="00E9476F" w:rsidRPr="00DD47DF" w:rsidRDefault="00E9476F" w:rsidP="00E9476F">
            <w:pPr>
              <w:pStyle w:val="Tabulka"/>
              <w:rPr>
                <w:rFonts w:cs="Calibri"/>
              </w:rPr>
            </w:pPr>
          </w:p>
        </w:tc>
        <w:tc>
          <w:tcPr>
            <w:tcW w:w="922" w:type="pct"/>
            <w:shd w:val="clear" w:color="auto" w:fill="auto"/>
            <w:vAlign w:val="center"/>
          </w:tcPr>
          <w:p w14:paraId="0888F5DA" w14:textId="77777777" w:rsidR="00E9476F" w:rsidRPr="00DD47DF" w:rsidRDefault="00E9476F" w:rsidP="00E9476F">
            <w:pPr>
              <w:pStyle w:val="Tabulka"/>
              <w:jc w:val="right"/>
              <w:rPr>
                <w:rFonts w:cs="Calibri"/>
              </w:rPr>
            </w:pPr>
          </w:p>
        </w:tc>
        <w:tc>
          <w:tcPr>
            <w:tcW w:w="316" w:type="pct"/>
            <w:shd w:val="clear" w:color="auto" w:fill="auto"/>
            <w:vAlign w:val="center"/>
          </w:tcPr>
          <w:p w14:paraId="094C62BF" w14:textId="77777777" w:rsidR="00E9476F" w:rsidRPr="00DD47DF" w:rsidRDefault="00E9476F" w:rsidP="00E9476F">
            <w:pPr>
              <w:pStyle w:val="Tabulka"/>
              <w:rPr>
                <w:rFonts w:cs="Calibri"/>
              </w:rPr>
            </w:pPr>
          </w:p>
        </w:tc>
        <w:tc>
          <w:tcPr>
            <w:tcW w:w="881" w:type="pct"/>
            <w:shd w:val="clear" w:color="auto" w:fill="auto"/>
            <w:vAlign w:val="center"/>
          </w:tcPr>
          <w:p w14:paraId="5274F5DA" w14:textId="77777777" w:rsidR="00E9476F" w:rsidRPr="00DD47DF" w:rsidRDefault="00E9476F" w:rsidP="00E9476F">
            <w:pPr>
              <w:pStyle w:val="Tabulka"/>
              <w:jc w:val="right"/>
              <w:rPr>
                <w:rFonts w:cs="Calibri"/>
              </w:rPr>
            </w:pPr>
          </w:p>
        </w:tc>
        <w:tc>
          <w:tcPr>
            <w:tcW w:w="282" w:type="pct"/>
            <w:shd w:val="clear" w:color="auto" w:fill="auto"/>
            <w:vAlign w:val="center"/>
          </w:tcPr>
          <w:p w14:paraId="6C089C6F" w14:textId="77777777" w:rsidR="00E9476F" w:rsidRPr="00DD47DF" w:rsidRDefault="00E9476F" w:rsidP="00E9476F">
            <w:pPr>
              <w:pStyle w:val="Tabulka"/>
              <w:rPr>
                <w:rFonts w:cs="Calibri"/>
              </w:rPr>
            </w:pPr>
          </w:p>
        </w:tc>
        <w:tc>
          <w:tcPr>
            <w:tcW w:w="914" w:type="pct"/>
            <w:shd w:val="clear" w:color="auto" w:fill="auto"/>
            <w:vAlign w:val="center"/>
          </w:tcPr>
          <w:p w14:paraId="21665246" w14:textId="77777777" w:rsidR="00E9476F" w:rsidRPr="00DD47DF" w:rsidRDefault="00E9476F" w:rsidP="00E9476F">
            <w:pPr>
              <w:pStyle w:val="Tabulka"/>
              <w:jc w:val="right"/>
              <w:rPr>
                <w:rFonts w:cs="Calibri"/>
              </w:rPr>
            </w:pPr>
          </w:p>
        </w:tc>
      </w:tr>
      <w:tr w:rsidR="00E9476F" w:rsidRPr="00DD47DF" w14:paraId="192ED411" w14:textId="77777777" w:rsidTr="00D05A06">
        <w:tc>
          <w:tcPr>
            <w:tcW w:w="524" w:type="pct"/>
            <w:shd w:val="clear" w:color="auto" w:fill="auto"/>
            <w:vAlign w:val="center"/>
          </w:tcPr>
          <w:p w14:paraId="5A9E6E46" w14:textId="77777777" w:rsidR="00E9476F" w:rsidRPr="00DD47DF" w:rsidRDefault="00E9476F" w:rsidP="00E9476F">
            <w:pPr>
              <w:pStyle w:val="Tabulka"/>
              <w:rPr>
                <w:rFonts w:cs="Calibri"/>
              </w:rPr>
            </w:pPr>
            <w:r w:rsidRPr="00DD47DF">
              <w:rPr>
                <w:rFonts w:cs="Calibri"/>
              </w:rPr>
              <w:t>061</w:t>
            </w:r>
          </w:p>
        </w:tc>
        <w:tc>
          <w:tcPr>
            <w:tcW w:w="888" w:type="pct"/>
            <w:tcBorders>
              <w:top w:val="nil"/>
              <w:left w:val="nil"/>
              <w:bottom w:val="single" w:sz="8" w:space="0" w:color="auto"/>
              <w:right w:val="single" w:sz="8" w:space="0" w:color="auto"/>
            </w:tcBorders>
            <w:shd w:val="clear" w:color="auto" w:fill="auto"/>
            <w:vAlign w:val="center"/>
          </w:tcPr>
          <w:p w14:paraId="0AF95045" w14:textId="7C107921" w:rsidR="00E9476F" w:rsidRPr="00DD47DF" w:rsidRDefault="00025F9C" w:rsidP="00E9476F">
            <w:pPr>
              <w:pStyle w:val="Tabulka"/>
              <w:jc w:val="right"/>
            </w:pPr>
            <w:r>
              <w:rPr>
                <w:color w:val="000000"/>
              </w:rPr>
              <w:t>263 704 909</w:t>
            </w:r>
          </w:p>
        </w:tc>
        <w:tc>
          <w:tcPr>
            <w:tcW w:w="273" w:type="pct"/>
            <w:shd w:val="clear" w:color="auto" w:fill="auto"/>
            <w:vAlign w:val="center"/>
          </w:tcPr>
          <w:p w14:paraId="19891C91" w14:textId="77777777" w:rsidR="00E9476F" w:rsidRPr="00DD47DF" w:rsidRDefault="00E9476F" w:rsidP="00E9476F">
            <w:pPr>
              <w:pStyle w:val="Tabulka"/>
              <w:rPr>
                <w:rFonts w:cs="Calibri"/>
              </w:rPr>
            </w:pPr>
          </w:p>
        </w:tc>
        <w:tc>
          <w:tcPr>
            <w:tcW w:w="922" w:type="pct"/>
            <w:shd w:val="clear" w:color="auto" w:fill="auto"/>
            <w:vAlign w:val="center"/>
          </w:tcPr>
          <w:p w14:paraId="3C19B4AD" w14:textId="77777777" w:rsidR="00E9476F" w:rsidRPr="00DD47DF" w:rsidRDefault="00E9476F" w:rsidP="00E9476F">
            <w:pPr>
              <w:pStyle w:val="Tabulka"/>
              <w:jc w:val="right"/>
              <w:rPr>
                <w:rFonts w:cs="Calibri"/>
              </w:rPr>
            </w:pPr>
          </w:p>
        </w:tc>
        <w:tc>
          <w:tcPr>
            <w:tcW w:w="316" w:type="pct"/>
            <w:shd w:val="clear" w:color="auto" w:fill="auto"/>
            <w:vAlign w:val="center"/>
          </w:tcPr>
          <w:p w14:paraId="41352E0F" w14:textId="77777777" w:rsidR="00E9476F" w:rsidRPr="00DD47DF" w:rsidRDefault="00E9476F" w:rsidP="00E9476F">
            <w:pPr>
              <w:pStyle w:val="Tabulka"/>
              <w:rPr>
                <w:rFonts w:cs="Calibri"/>
              </w:rPr>
            </w:pPr>
          </w:p>
        </w:tc>
        <w:tc>
          <w:tcPr>
            <w:tcW w:w="881" w:type="pct"/>
            <w:shd w:val="clear" w:color="auto" w:fill="auto"/>
            <w:vAlign w:val="center"/>
          </w:tcPr>
          <w:p w14:paraId="3034CDCA" w14:textId="77777777" w:rsidR="00E9476F" w:rsidRPr="00DD47DF" w:rsidRDefault="00E9476F" w:rsidP="00E9476F">
            <w:pPr>
              <w:pStyle w:val="Tabulka"/>
              <w:jc w:val="right"/>
              <w:rPr>
                <w:rFonts w:cs="Calibri"/>
              </w:rPr>
            </w:pPr>
          </w:p>
        </w:tc>
        <w:tc>
          <w:tcPr>
            <w:tcW w:w="282" w:type="pct"/>
            <w:shd w:val="clear" w:color="auto" w:fill="auto"/>
            <w:vAlign w:val="center"/>
          </w:tcPr>
          <w:p w14:paraId="74C79E23" w14:textId="77777777" w:rsidR="00E9476F" w:rsidRPr="00DD47DF" w:rsidRDefault="00E9476F" w:rsidP="00E9476F">
            <w:pPr>
              <w:pStyle w:val="Tabulka"/>
              <w:rPr>
                <w:rFonts w:cs="Calibri"/>
              </w:rPr>
            </w:pPr>
          </w:p>
        </w:tc>
        <w:tc>
          <w:tcPr>
            <w:tcW w:w="914" w:type="pct"/>
            <w:shd w:val="clear" w:color="auto" w:fill="auto"/>
            <w:vAlign w:val="center"/>
          </w:tcPr>
          <w:p w14:paraId="290AAA2A" w14:textId="77777777" w:rsidR="00E9476F" w:rsidRPr="00DD47DF" w:rsidRDefault="00E9476F" w:rsidP="00E9476F">
            <w:pPr>
              <w:pStyle w:val="Tabulka"/>
              <w:jc w:val="right"/>
              <w:rPr>
                <w:rFonts w:cs="Calibri"/>
              </w:rPr>
            </w:pPr>
          </w:p>
        </w:tc>
      </w:tr>
      <w:tr w:rsidR="00E9476F" w:rsidRPr="00DD47DF" w14:paraId="10FA2335" w14:textId="77777777" w:rsidTr="00D05A06">
        <w:tc>
          <w:tcPr>
            <w:tcW w:w="524" w:type="pct"/>
            <w:shd w:val="clear" w:color="auto" w:fill="auto"/>
            <w:vAlign w:val="center"/>
          </w:tcPr>
          <w:p w14:paraId="348A5C9B" w14:textId="77777777" w:rsidR="00E9476F" w:rsidRPr="00DD47DF" w:rsidRDefault="00E9476F" w:rsidP="00E9476F">
            <w:pPr>
              <w:pStyle w:val="Tabulka"/>
              <w:rPr>
                <w:rFonts w:cs="Calibri"/>
              </w:rPr>
            </w:pPr>
            <w:r w:rsidRPr="00DD47DF">
              <w:rPr>
                <w:rFonts w:cs="Calibri"/>
              </w:rPr>
              <w:t>062</w:t>
            </w:r>
          </w:p>
        </w:tc>
        <w:tc>
          <w:tcPr>
            <w:tcW w:w="888" w:type="pct"/>
            <w:tcBorders>
              <w:top w:val="nil"/>
              <w:left w:val="nil"/>
              <w:bottom w:val="single" w:sz="8" w:space="0" w:color="auto"/>
              <w:right w:val="single" w:sz="8" w:space="0" w:color="auto"/>
            </w:tcBorders>
            <w:shd w:val="clear" w:color="auto" w:fill="auto"/>
            <w:vAlign w:val="center"/>
          </w:tcPr>
          <w:p w14:paraId="3B0F6446" w14:textId="1F03DF8D" w:rsidR="00E9476F" w:rsidRPr="00DD47DF" w:rsidRDefault="00025F9C" w:rsidP="00E9476F">
            <w:pPr>
              <w:pStyle w:val="Tabulka"/>
              <w:jc w:val="right"/>
            </w:pPr>
            <w:r>
              <w:rPr>
                <w:color w:val="000000"/>
              </w:rPr>
              <w:t>19 061 720</w:t>
            </w:r>
          </w:p>
        </w:tc>
        <w:tc>
          <w:tcPr>
            <w:tcW w:w="273" w:type="pct"/>
            <w:shd w:val="clear" w:color="auto" w:fill="auto"/>
            <w:vAlign w:val="center"/>
          </w:tcPr>
          <w:p w14:paraId="5886B396" w14:textId="77777777" w:rsidR="00E9476F" w:rsidRPr="00DD47DF" w:rsidRDefault="00E9476F" w:rsidP="00E9476F">
            <w:pPr>
              <w:pStyle w:val="Tabulka"/>
              <w:rPr>
                <w:rFonts w:cs="Calibri"/>
              </w:rPr>
            </w:pPr>
          </w:p>
        </w:tc>
        <w:tc>
          <w:tcPr>
            <w:tcW w:w="922" w:type="pct"/>
            <w:shd w:val="clear" w:color="auto" w:fill="auto"/>
            <w:vAlign w:val="center"/>
          </w:tcPr>
          <w:p w14:paraId="42A45962" w14:textId="77777777" w:rsidR="00E9476F" w:rsidRPr="00DD47DF" w:rsidRDefault="00E9476F" w:rsidP="00E9476F">
            <w:pPr>
              <w:pStyle w:val="Tabulka"/>
              <w:jc w:val="right"/>
              <w:rPr>
                <w:rFonts w:cs="Calibri"/>
              </w:rPr>
            </w:pPr>
          </w:p>
        </w:tc>
        <w:tc>
          <w:tcPr>
            <w:tcW w:w="316" w:type="pct"/>
            <w:shd w:val="clear" w:color="auto" w:fill="auto"/>
            <w:vAlign w:val="center"/>
          </w:tcPr>
          <w:p w14:paraId="3605E0EA" w14:textId="77777777" w:rsidR="00E9476F" w:rsidRPr="00DD47DF" w:rsidRDefault="00E9476F" w:rsidP="00E9476F">
            <w:pPr>
              <w:pStyle w:val="Tabulka"/>
              <w:rPr>
                <w:rFonts w:cs="Calibri"/>
              </w:rPr>
            </w:pPr>
          </w:p>
        </w:tc>
        <w:tc>
          <w:tcPr>
            <w:tcW w:w="881" w:type="pct"/>
            <w:shd w:val="clear" w:color="auto" w:fill="auto"/>
            <w:vAlign w:val="center"/>
          </w:tcPr>
          <w:p w14:paraId="1A924275" w14:textId="77777777" w:rsidR="00E9476F" w:rsidRPr="00DD47DF" w:rsidRDefault="00E9476F" w:rsidP="00E9476F">
            <w:pPr>
              <w:pStyle w:val="Tabulka"/>
              <w:jc w:val="right"/>
              <w:rPr>
                <w:rFonts w:cs="Calibri"/>
              </w:rPr>
            </w:pPr>
          </w:p>
        </w:tc>
        <w:tc>
          <w:tcPr>
            <w:tcW w:w="282" w:type="pct"/>
            <w:shd w:val="clear" w:color="auto" w:fill="auto"/>
            <w:vAlign w:val="center"/>
          </w:tcPr>
          <w:p w14:paraId="780C46FC" w14:textId="77777777" w:rsidR="00E9476F" w:rsidRPr="00DD47DF" w:rsidRDefault="00E9476F" w:rsidP="00E9476F">
            <w:pPr>
              <w:pStyle w:val="Tabulka"/>
              <w:rPr>
                <w:rFonts w:cs="Calibri"/>
              </w:rPr>
            </w:pPr>
          </w:p>
        </w:tc>
        <w:tc>
          <w:tcPr>
            <w:tcW w:w="914" w:type="pct"/>
            <w:shd w:val="clear" w:color="auto" w:fill="auto"/>
            <w:vAlign w:val="center"/>
          </w:tcPr>
          <w:p w14:paraId="0A0C3281" w14:textId="77777777" w:rsidR="00E9476F" w:rsidRPr="00DD47DF" w:rsidRDefault="00E9476F" w:rsidP="00E9476F">
            <w:pPr>
              <w:pStyle w:val="Tabulka"/>
              <w:jc w:val="right"/>
              <w:rPr>
                <w:rFonts w:cs="Calibri"/>
              </w:rPr>
            </w:pPr>
          </w:p>
        </w:tc>
      </w:tr>
      <w:tr w:rsidR="00E9476F" w:rsidRPr="00DD47DF" w14:paraId="730382E2" w14:textId="77777777" w:rsidTr="00D05A06">
        <w:tc>
          <w:tcPr>
            <w:tcW w:w="524" w:type="pct"/>
            <w:shd w:val="clear" w:color="auto" w:fill="auto"/>
            <w:vAlign w:val="center"/>
          </w:tcPr>
          <w:p w14:paraId="67255F66" w14:textId="77777777" w:rsidR="00E9476F" w:rsidRPr="00DD47DF" w:rsidRDefault="00E9476F" w:rsidP="00E9476F">
            <w:pPr>
              <w:pStyle w:val="Tabulka"/>
              <w:rPr>
                <w:rFonts w:cs="Calibri"/>
              </w:rPr>
            </w:pPr>
            <w:r w:rsidRPr="00DD47DF">
              <w:rPr>
                <w:rFonts w:cs="Calibri"/>
              </w:rPr>
              <w:t>063</w:t>
            </w:r>
          </w:p>
        </w:tc>
        <w:tc>
          <w:tcPr>
            <w:tcW w:w="888" w:type="pct"/>
            <w:tcBorders>
              <w:top w:val="nil"/>
              <w:left w:val="nil"/>
              <w:bottom w:val="single" w:sz="8" w:space="0" w:color="auto"/>
              <w:right w:val="single" w:sz="8" w:space="0" w:color="auto"/>
            </w:tcBorders>
            <w:shd w:val="clear" w:color="auto" w:fill="auto"/>
            <w:vAlign w:val="center"/>
          </w:tcPr>
          <w:p w14:paraId="1FC9C045" w14:textId="33F1286E" w:rsidR="00E9476F" w:rsidRPr="00DD47DF" w:rsidRDefault="00E46245" w:rsidP="00E9476F">
            <w:pPr>
              <w:pStyle w:val="Tabulka"/>
              <w:jc w:val="right"/>
            </w:pPr>
            <w:r w:rsidRPr="00700E39">
              <w:rPr>
                <w:color w:val="000000"/>
              </w:rPr>
              <w:t>296 941 114</w:t>
            </w:r>
          </w:p>
        </w:tc>
        <w:tc>
          <w:tcPr>
            <w:tcW w:w="273" w:type="pct"/>
            <w:shd w:val="clear" w:color="auto" w:fill="auto"/>
            <w:vAlign w:val="center"/>
          </w:tcPr>
          <w:p w14:paraId="19E1E658" w14:textId="77777777" w:rsidR="00E9476F" w:rsidRPr="00DD47DF" w:rsidRDefault="00E9476F" w:rsidP="00E9476F">
            <w:pPr>
              <w:pStyle w:val="Tabulka"/>
              <w:rPr>
                <w:rFonts w:cs="Calibri"/>
              </w:rPr>
            </w:pPr>
          </w:p>
        </w:tc>
        <w:tc>
          <w:tcPr>
            <w:tcW w:w="922" w:type="pct"/>
            <w:shd w:val="clear" w:color="auto" w:fill="auto"/>
            <w:vAlign w:val="center"/>
          </w:tcPr>
          <w:p w14:paraId="0A4E7831" w14:textId="77777777" w:rsidR="00E9476F" w:rsidRPr="00DD47DF" w:rsidRDefault="00E9476F" w:rsidP="00E9476F">
            <w:pPr>
              <w:pStyle w:val="Tabulka"/>
              <w:jc w:val="right"/>
              <w:rPr>
                <w:rFonts w:cs="Calibri"/>
              </w:rPr>
            </w:pPr>
          </w:p>
        </w:tc>
        <w:tc>
          <w:tcPr>
            <w:tcW w:w="316" w:type="pct"/>
            <w:shd w:val="clear" w:color="auto" w:fill="auto"/>
            <w:vAlign w:val="center"/>
          </w:tcPr>
          <w:p w14:paraId="7F65A871" w14:textId="77777777" w:rsidR="00E9476F" w:rsidRPr="00DD47DF" w:rsidRDefault="00E9476F" w:rsidP="00E9476F">
            <w:pPr>
              <w:pStyle w:val="Tabulka"/>
              <w:rPr>
                <w:rFonts w:cs="Calibri"/>
              </w:rPr>
            </w:pPr>
          </w:p>
        </w:tc>
        <w:tc>
          <w:tcPr>
            <w:tcW w:w="881" w:type="pct"/>
            <w:shd w:val="clear" w:color="auto" w:fill="auto"/>
            <w:vAlign w:val="center"/>
          </w:tcPr>
          <w:p w14:paraId="79FC038A" w14:textId="77777777" w:rsidR="00E9476F" w:rsidRPr="00DD47DF" w:rsidRDefault="00E9476F" w:rsidP="00E9476F">
            <w:pPr>
              <w:pStyle w:val="Tabulka"/>
              <w:jc w:val="right"/>
              <w:rPr>
                <w:rFonts w:cs="Calibri"/>
              </w:rPr>
            </w:pPr>
          </w:p>
        </w:tc>
        <w:tc>
          <w:tcPr>
            <w:tcW w:w="282" w:type="pct"/>
            <w:shd w:val="clear" w:color="auto" w:fill="auto"/>
            <w:vAlign w:val="center"/>
          </w:tcPr>
          <w:p w14:paraId="5420B526" w14:textId="77777777" w:rsidR="00E9476F" w:rsidRPr="00DD47DF" w:rsidRDefault="00E9476F" w:rsidP="00E9476F">
            <w:pPr>
              <w:pStyle w:val="Tabulka"/>
              <w:rPr>
                <w:rFonts w:cs="Calibri"/>
              </w:rPr>
            </w:pPr>
          </w:p>
        </w:tc>
        <w:tc>
          <w:tcPr>
            <w:tcW w:w="914" w:type="pct"/>
            <w:shd w:val="clear" w:color="auto" w:fill="auto"/>
            <w:vAlign w:val="center"/>
          </w:tcPr>
          <w:p w14:paraId="05D261ED" w14:textId="77777777" w:rsidR="00E9476F" w:rsidRPr="00DD47DF" w:rsidRDefault="00E9476F" w:rsidP="00E9476F">
            <w:pPr>
              <w:pStyle w:val="Tabulka"/>
              <w:jc w:val="right"/>
              <w:rPr>
                <w:rFonts w:cs="Calibri"/>
              </w:rPr>
            </w:pPr>
          </w:p>
        </w:tc>
      </w:tr>
      <w:tr w:rsidR="00E9476F" w:rsidRPr="00DD47DF" w14:paraId="1082CEA1" w14:textId="77777777" w:rsidTr="00D05A06">
        <w:tc>
          <w:tcPr>
            <w:tcW w:w="524" w:type="pct"/>
            <w:shd w:val="clear" w:color="auto" w:fill="auto"/>
            <w:vAlign w:val="center"/>
          </w:tcPr>
          <w:p w14:paraId="68C1045F" w14:textId="77777777" w:rsidR="00E9476F" w:rsidRPr="00DD47DF" w:rsidRDefault="00E9476F" w:rsidP="00E9476F">
            <w:pPr>
              <w:pStyle w:val="Tabulka"/>
              <w:rPr>
                <w:rFonts w:cs="Calibri"/>
              </w:rPr>
            </w:pPr>
            <w:r w:rsidRPr="00DD47DF">
              <w:rPr>
                <w:rFonts w:cs="Calibri"/>
              </w:rPr>
              <w:t>064</w:t>
            </w:r>
          </w:p>
        </w:tc>
        <w:tc>
          <w:tcPr>
            <w:tcW w:w="888" w:type="pct"/>
            <w:tcBorders>
              <w:top w:val="nil"/>
              <w:left w:val="nil"/>
              <w:bottom w:val="single" w:sz="8" w:space="0" w:color="auto"/>
              <w:right w:val="single" w:sz="8" w:space="0" w:color="auto"/>
            </w:tcBorders>
            <w:shd w:val="clear" w:color="auto" w:fill="auto"/>
            <w:vAlign w:val="center"/>
          </w:tcPr>
          <w:p w14:paraId="4FD19C7C" w14:textId="45A8DF00" w:rsidR="00E9476F" w:rsidRPr="00DD47DF" w:rsidRDefault="00E46245" w:rsidP="00E9476F">
            <w:pPr>
              <w:pStyle w:val="Tabulka"/>
              <w:jc w:val="right"/>
            </w:pPr>
            <w:r w:rsidRPr="00700E39">
              <w:rPr>
                <w:color w:val="000000"/>
              </w:rPr>
              <w:t>57 987 240</w:t>
            </w:r>
          </w:p>
        </w:tc>
        <w:tc>
          <w:tcPr>
            <w:tcW w:w="273" w:type="pct"/>
            <w:shd w:val="clear" w:color="auto" w:fill="auto"/>
            <w:vAlign w:val="center"/>
          </w:tcPr>
          <w:p w14:paraId="376D1112" w14:textId="77777777" w:rsidR="00E9476F" w:rsidRPr="00DD47DF" w:rsidRDefault="00E9476F" w:rsidP="00E9476F">
            <w:pPr>
              <w:pStyle w:val="Tabulka"/>
              <w:rPr>
                <w:rFonts w:cs="Calibri"/>
              </w:rPr>
            </w:pPr>
          </w:p>
        </w:tc>
        <w:tc>
          <w:tcPr>
            <w:tcW w:w="922" w:type="pct"/>
            <w:shd w:val="clear" w:color="auto" w:fill="auto"/>
            <w:vAlign w:val="center"/>
          </w:tcPr>
          <w:p w14:paraId="6E34B913" w14:textId="77777777" w:rsidR="00E9476F" w:rsidRPr="00DD47DF" w:rsidRDefault="00E9476F" w:rsidP="00E9476F">
            <w:pPr>
              <w:pStyle w:val="Tabulka"/>
              <w:jc w:val="right"/>
              <w:rPr>
                <w:rFonts w:cs="Calibri"/>
              </w:rPr>
            </w:pPr>
          </w:p>
        </w:tc>
        <w:tc>
          <w:tcPr>
            <w:tcW w:w="316" w:type="pct"/>
            <w:shd w:val="clear" w:color="auto" w:fill="auto"/>
            <w:vAlign w:val="center"/>
          </w:tcPr>
          <w:p w14:paraId="77AD106D" w14:textId="77777777" w:rsidR="00E9476F" w:rsidRPr="00DD47DF" w:rsidRDefault="00E9476F" w:rsidP="00E9476F">
            <w:pPr>
              <w:pStyle w:val="Tabulka"/>
              <w:rPr>
                <w:rFonts w:cs="Calibri"/>
              </w:rPr>
            </w:pPr>
          </w:p>
        </w:tc>
        <w:tc>
          <w:tcPr>
            <w:tcW w:w="881" w:type="pct"/>
            <w:shd w:val="clear" w:color="auto" w:fill="auto"/>
            <w:vAlign w:val="center"/>
          </w:tcPr>
          <w:p w14:paraId="455C0F9F" w14:textId="77777777" w:rsidR="00E9476F" w:rsidRPr="00DD47DF" w:rsidRDefault="00E9476F" w:rsidP="00E9476F">
            <w:pPr>
              <w:pStyle w:val="Tabulka"/>
              <w:jc w:val="right"/>
              <w:rPr>
                <w:rFonts w:cs="Calibri"/>
              </w:rPr>
            </w:pPr>
          </w:p>
        </w:tc>
        <w:tc>
          <w:tcPr>
            <w:tcW w:w="282" w:type="pct"/>
            <w:shd w:val="clear" w:color="auto" w:fill="auto"/>
            <w:vAlign w:val="center"/>
          </w:tcPr>
          <w:p w14:paraId="77D0217F" w14:textId="77777777" w:rsidR="00E9476F" w:rsidRPr="00DD47DF" w:rsidRDefault="00E9476F" w:rsidP="00E9476F">
            <w:pPr>
              <w:pStyle w:val="Tabulka"/>
              <w:rPr>
                <w:rFonts w:cs="Calibri"/>
              </w:rPr>
            </w:pPr>
          </w:p>
        </w:tc>
        <w:tc>
          <w:tcPr>
            <w:tcW w:w="914" w:type="pct"/>
            <w:shd w:val="clear" w:color="auto" w:fill="auto"/>
            <w:vAlign w:val="center"/>
          </w:tcPr>
          <w:p w14:paraId="06A20412" w14:textId="77777777" w:rsidR="00E9476F" w:rsidRPr="00DD47DF" w:rsidRDefault="00E9476F" w:rsidP="00E9476F">
            <w:pPr>
              <w:pStyle w:val="Tabulka"/>
              <w:jc w:val="right"/>
              <w:rPr>
                <w:rFonts w:cs="Calibri"/>
              </w:rPr>
            </w:pPr>
          </w:p>
        </w:tc>
      </w:tr>
      <w:tr w:rsidR="00E9476F" w:rsidRPr="00DD47DF" w14:paraId="5F01AA88" w14:textId="77777777" w:rsidTr="00D05A06">
        <w:tc>
          <w:tcPr>
            <w:tcW w:w="524" w:type="pct"/>
            <w:shd w:val="clear" w:color="auto" w:fill="auto"/>
            <w:vAlign w:val="center"/>
          </w:tcPr>
          <w:p w14:paraId="053DB0C9" w14:textId="77777777" w:rsidR="00E9476F" w:rsidRPr="00DD47DF" w:rsidRDefault="00E9476F" w:rsidP="00E9476F">
            <w:pPr>
              <w:pStyle w:val="Tabulka"/>
              <w:rPr>
                <w:rFonts w:cs="Calibri"/>
              </w:rPr>
            </w:pPr>
            <w:r w:rsidRPr="00DD47DF">
              <w:rPr>
                <w:rFonts w:cs="Calibri"/>
              </w:rPr>
              <w:t>065</w:t>
            </w:r>
          </w:p>
        </w:tc>
        <w:tc>
          <w:tcPr>
            <w:tcW w:w="888" w:type="pct"/>
            <w:tcBorders>
              <w:top w:val="nil"/>
              <w:left w:val="nil"/>
              <w:bottom w:val="single" w:sz="8" w:space="0" w:color="auto"/>
              <w:right w:val="single" w:sz="8" w:space="0" w:color="auto"/>
            </w:tcBorders>
            <w:shd w:val="clear" w:color="auto" w:fill="auto"/>
            <w:vAlign w:val="center"/>
          </w:tcPr>
          <w:p w14:paraId="2AB3CEA3" w14:textId="7A7FD112" w:rsidR="00E9476F" w:rsidRPr="00DD47DF" w:rsidRDefault="00025F9C" w:rsidP="00E9476F">
            <w:pPr>
              <w:pStyle w:val="Tabulka"/>
              <w:jc w:val="right"/>
            </w:pPr>
            <w:r>
              <w:rPr>
                <w:color w:val="000000"/>
              </w:rPr>
              <w:t>108 834 504</w:t>
            </w:r>
          </w:p>
        </w:tc>
        <w:tc>
          <w:tcPr>
            <w:tcW w:w="273" w:type="pct"/>
            <w:shd w:val="clear" w:color="auto" w:fill="auto"/>
            <w:vAlign w:val="center"/>
          </w:tcPr>
          <w:p w14:paraId="4F0AFEDB" w14:textId="77777777" w:rsidR="00E9476F" w:rsidRPr="00DD47DF" w:rsidRDefault="00E9476F" w:rsidP="00E9476F">
            <w:pPr>
              <w:pStyle w:val="Tabulka"/>
              <w:rPr>
                <w:rFonts w:cs="Calibri"/>
              </w:rPr>
            </w:pPr>
          </w:p>
        </w:tc>
        <w:tc>
          <w:tcPr>
            <w:tcW w:w="922" w:type="pct"/>
            <w:shd w:val="clear" w:color="auto" w:fill="auto"/>
            <w:vAlign w:val="center"/>
          </w:tcPr>
          <w:p w14:paraId="73E007E0" w14:textId="77777777" w:rsidR="00E9476F" w:rsidRPr="00DD47DF" w:rsidRDefault="00E9476F" w:rsidP="00E9476F">
            <w:pPr>
              <w:pStyle w:val="Tabulka"/>
              <w:jc w:val="right"/>
              <w:rPr>
                <w:rFonts w:cs="Calibri"/>
              </w:rPr>
            </w:pPr>
          </w:p>
        </w:tc>
        <w:tc>
          <w:tcPr>
            <w:tcW w:w="316" w:type="pct"/>
            <w:shd w:val="clear" w:color="auto" w:fill="auto"/>
            <w:vAlign w:val="center"/>
          </w:tcPr>
          <w:p w14:paraId="749B00ED" w14:textId="77777777" w:rsidR="00E9476F" w:rsidRPr="00DD47DF" w:rsidRDefault="00E9476F" w:rsidP="00E9476F">
            <w:pPr>
              <w:pStyle w:val="Tabulka"/>
              <w:rPr>
                <w:rFonts w:cs="Calibri"/>
              </w:rPr>
            </w:pPr>
          </w:p>
        </w:tc>
        <w:tc>
          <w:tcPr>
            <w:tcW w:w="881" w:type="pct"/>
            <w:shd w:val="clear" w:color="auto" w:fill="auto"/>
            <w:vAlign w:val="center"/>
          </w:tcPr>
          <w:p w14:paraId="797F7B4E" w14:textId="77777777" w:rsidR="00E9476F" w:rsidRPr="00DD47DF" w:rsidRDefault="00E9476F" w:rsidP="00E9476F">
            <w:pPr>
              <w:pStyle w:val="Tabulka"/>
              <w:jc w:val="right"/>
              <w:rPr>
                <w:rFonts w:cs="Calibri"/>
              </w:rPr>
            </w:pPr>
          </w:p>
        </w:tc>
        <w:tc>
          <w:tcPr>
            <w:tcW w:w="282" w:type="pct"/>
            <w:shd w:val="clear" w:color="auto" w:fill="auto"/>
            <w:vAlign w:val="center"/>
          </w:tcPr>
          <w:p w14:paraId="2AAA5F3D" w14:textId="77777777" w:rsidR="00E9476F" w:rsidRPr="00DD47DF" w:rsidRDefault="00E9476F" w:rsidP="00E9476F">
            <w:pPr>
              <w:pStyle w:val="Tabulka"/>
              <w:rPr>
                <w:rFonts w:cs="Calibri"/>
              </w:rPr>
            </w:pPr>
          </w:p>
        </w:tc>
        <w:tc>
          <w:tcPr>
            <w:tcW w:w="914" w:type="pct"/>
            <w:shd w:val="clear" w:color="auto" w:fill="auto"/>
            <w:vAlign w:val="center"/>
          </w:tcPr>
          <w:p w14:paraId="65148365" w14:textId="77777777" w:rsidR="00E9476F" w:rsidRPr="00DD47DF" w:rsidRDefault="00E9476F" w:rsidP="00E9476F">
            <w:pPr>
              <w:pStyle w:val="Tabulka"/>
              <w:jc w:val="right"/>
              <w:rPr>
                <w:rFonts w:cs="Calibri"/>
              </w:rPr>
            </w:pPr>
          </w:p>
        </w:tc>
      </w:tr>
    </w:tbl>
    <w:p w14:paraId="5DF81260" w14:textId="77777777" w:rsidR="00636BAA" w:rsidRPr="00DD47DF" w:rsidRDefault="00DF23DE" w:rsidP="00441D67">
      <w:pPr>
        <w:pStyle w:val="kapitola2A0"/>
        <w:numPr>
          <w:ilvl w:val="2"/>
          <w:numId w:val="128"/>
        </w:numPr>
      </w:pPr>
      <w:bookmarkStart w:id="38" w:name="_Toc351464369"/>
      <w:bookmarkStart w:id="39" w:name="_Toc520445255"/>
      <w:r w:rsidRPr="00DD47DF">
        <w:t>Přehled plánovaného využití technické pomoci, je-li to nutné, včetně opatření na posílení správní kapacity orgánů zapojených do řízení a kontroly programů a příjemců (použije-li se)</w:t>
      </w:r>
      <w:bookmarkEnd w:id="39"/>
    </w:p>
    <w:p w14:paraId="10E5C718" w14:textId="77777777" w:rsidR="005A765B" w:rsidRPr="00DD47DF" w:rsidRDefault="008F72F4" w:rsidP="00133DC7">
      <w:pPr>
        <w:pStyle w:val="Standardntext"/>
        <w:rPr>
          <w:color w:val="FF0000"/>
        </w:rPr>
      </w:pPr>
      <w:r w:rsidRPr="00DD47DF">
        <w:t>Není relevantní pro OP PIK.</w:t>
      </w:r>
    </w:p>
    <w:p w14:paraId="5A138B81" w14:textId="77777777" w:rsidR="00EA3457" w:rsidRPr="00DD47DF" w:rsidRDefault="00EA3457" w:rsidP="00133DC7">
      <w:pPr>
        <w:pStyle w:val="Standardntext"/>
        <w:rPr>
          <w:color w:val="FF0000"/>
        </w:rPr>
      </w:pPr>
      <w:r w:rsidRPr="00DD47DF">
        <w:rPr>
          <w:color w:val="FF0000"/>
        </w:rPr>
        <w:br w:type="page"/>
      </w:r>
    </w:p>
    <w:p w14:paraId="3ADBBF03" w14:textId="77777777" w:rsidR="008C6813" w:rsidRPr="00DD47DF" w:rsidRDefault="008C6813" w:rsidP="005F43DF">
      <w:pPr>
        <w:pStyle w:val="kapitola2A0"/>
        <w:numPr>
          <w:ilvl w:val="2"/>
          <w:numId w:val="15"/>
        </w:numPr>
      </w:pPr>
      <w:bookmarkStart w:id="40" w:name="_Toc520445256"/>
      <w:bookmarkEnd w:id="38"/>
      <w:r w:rsidRPr="00DD47DF">
        <w:lastRenderedPageBreak/>
        <w:t>PRIORITNÍ OSA 2: Rozvoj podnikání a konkurenceschopnosti malých a středních podniků</w: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gridCol w:w="498"/>
      </w:tblGrid>
      <w:tr w:rsidR="008C6813" w:rsidRPr="00DD47DF" w14:paraId="31649EF5" w14:textId="77777777">
        <w:tc>
          <w:tcPr>
            <w:tcW w:w="4736" w:type="pct"/>
            <w:shd w:val="clear" w:color="auto" w:fill="auto"/>
            <w:vAlign w:val="center"/>
          </w:tcPr>
          <w:p w14:paraId="1B3BA631" w14:textId="77777777" w:rsidR="008C6813" w:rsidRPr="00DD47DF" w:rsidRDefault="008C6813" w:rsidP="008C6813">
            <w:pPr>
              <w:pStyle w:val="Tabulka"/>
              <w:jc w:val="left"/>
              <w:rPr>
                <w:rFonts w:cs="Calibri"/>
              </w:rPr>
            </w:pPr>
            <w:r w:rsidRPr="00DD47DF">
              <w:rPr>
                <w:rFonts w:cs="Calibri"/>
              </w:rPr>
              <w:t>Celá prioritní osa bude realizována výhradně prostřednictvím finančních nástrojů</w:t>
            </w:r>
          </w:p>
        </w:tc>
        <w:tc>
          <w:tcPr>
            <w:tcW w:w="264" w:type="pct"/>
            <w:shd w:val="clear" w:color="auto" w:fill="auto"/>
            <w:vAlign w:val="center"/>
          </w:tcPr>
          <w:p w14:paraId="5A635FF2" w14:textId="77777777" w:rsidR="008C6813" w:rsidRPr="00DD47DF" w:rsidRDefault="002756E7" w:rsidP="008C6813">
            <w:pPr>
              <w:pStyle w:val="Tabulka"/>
              <w:rPr>
                <w:rFonts w:cs="Calibri"/>
              </w:rPr>
            </w:pPr>
            <w:r w:rsidRPr="00DD47DF">
              <w:rPr>
                <w:rFonts w:cs="Calibri"/>
              </w:rPr>
              <w:fldChar w:fldCharType="begin">
                <w:ffData>
                  <w:name w:val="Check1"/>
                  <w:enabled/>
                  <w:calcOnExit w:val="0"/>
                  <w:checkBox>
                    <w:sizeAuto/>
                    <w:default w:val="0"/>
                  </w:checkBox>
                </w:ffData>
              </w:fldChar>
            </w:r>
            <w:r w:rsidR="008C6813" w:rsidRPr="00DD47DF">
              <w:rPr>
                <w:rFonts w:cs="Calibri"/>
              </w:rPr>
              <w:instrText xml:space="preserve"> FORMCHECKBOX </w:instrText>
            </w:r>
            <w:r w:rsidR="00AF6FE3">
              <w:rPr>
                <w:rFonts w:cs="Calibri"/>
              </w:rPr>
            </w:r>
            <w:r w:rsidR="00AF6FE3">
              <w:rPr>
                <w:rFonts w:cs="Calibri"/>
              </w:rPr>
              <w:fldChar w:fldCharType="separate"/>
            </w:r>
            <w:r w:rsidRPr="00DD47DF">
              <w:rPr>
                <w:rFonts w:cs="Calibri"/>
              </w:rPr>
              <w:fldChar w:fldCharType="end"/>
            </w:r>
          </w:p>
        </w:tc>
      </w:tr>
      <w:tr w:rsidR="008C6813" w:rsidRPr="00DD47DF" w14:paraId="26A6A294" w14:textId="77777777">
        <w:tc>
          <w:tcPr>
            <w:tcW w:w="4736" w:type="pct"/>
            <w:shd w:val="clear" w:color="auto" w:fill="auto"/>
            <w:vAlign w:val="center"/>
          </w:tcPr>
          <w:p w14:paraId="7C32E0E3" w14:textId="77777777" w:rsidR="008C6813" w:rsidRPr="00DD47DF" w:rsidRDefault="008C6813" w:rsidP="008C6813">
            <w:pPr>
              <w:pStyle w:val="Tabulka"/>
              <w:jc w:val="left"/>
              <w:rPr>
                <w:rFonts w:cs="Calibri"/>
              </w:rPr>
            </w:pPr>
            <w:r w:rsidRPr="00DD47DF">
              <w:rPr>
                <w:rFonts w:cs="Calibri"/>
              </w:rPr>
              <w:t>Celá prioritní osa bude realizována výhradně prostřednictvím finančních nástrojů zřízených na úrovni Unie</w:t>
            </w:r>
          </w:p>
        </w:tc>
        <w:tc>
          <w:tcPr>
            <w:tcW w:w="264" w:type="pct"/>
            <w:shd w:val="clear" w:color="auto" w:fill="auto"/>
            <w:vAlign w:val="center"/>
          </w:tcPr>
          <w:p w14:paraId="46EA5408" w14:textId="77777777" w:rsidR="008C6813" w:rsidRPr="00DD47DF" w:rsidRDefault="002756E7" w:rsidP="008C6813">
            <w:pPr>
              <w:pStyle w:val="Tabulka"/>
              <w:rPr>
                <w:rFonts w:cs="Calibri"/>
              </w:rPr>
            </w:pPr>
            <w:r w:rsidRPr="00DD47DF">
              <w:rPr>
                <w:rFonts w:cs="Calibri"/>
              </w:rPr>
              <w:fldChar w:fldCharType="begin">
                <w:ffData>
                  <w:name w:val="Check1"/>
                  <w:enabled/>
                  <w:calcOnExit w:val="0"/>
                  <w:checkBox>
                    <w:sizeAuto/>
                    <w:default w:val="0"/>
                  </w:checkBox>
                </w:ffData>
              </w:fldChar>
            </w:r>
            <w:r w:rsidR="008C6813" w:rsidRPr="00DD47DF">
              <w:rPr>
                <w:rFonts w:cs="Calibri"/>
              </w:rPr>
              <w:instrText xml:space="preserve"> FORMCHECKBOX </w:instrText>
            </w:r>
            <w:r w:rsidR="00AF6FE3">
              <w:rPr>
                <w:rFonts w:cs="Calibri"/>
              </w:rPr>
            </w:r>
            <w:r w:rsidR="00AF6FE3">
              <w:rPr>
                <w:rFonts w:cs="Calibri"/>
              </w:rPr>
              <w:fldChar w:fldCharType="separate"/>
            </w:r>
            <w:r w:rsidRPr="00DD47DF">
              <w:rPr>
                <w:rFonts w:cs="Calibri"/>
              </w:rPr>
              <w:fldChar w:fldCharType="end"/>
            </w:r>
          </w:p>
        </w:tc>
      </w:tr>
      <w:tr w:rsidR="008C6813" w:rsidRPr="00DD47DF" w14:paraId="0AE2D798" w14:textId="77777777">
        <w:tc>
          <w:tcPr>
            <w:tcW w:w="4736" w:type="pct"/>
            <w:shd w:val="clear" w:color="auto" w:fill="auto"/>
            <w:vAlign w:val="center"/>
          </w:tcPr>
          <w:p w14:paraId="61B7E247" w14:textId="77777777" w:rsidR="008C6813" w:rsidRPr="00DD47DF" w:rsidRDefault="008C6813" w:rsidP="008C6813">
            <w:pPr>
              <w:pStyle w:val="Tabulka"/>
              <w:jc w:val="left"/>
              <w:rPr>
                <w:rFonts w:cs="Calibri"/>
              </w:rPr>
            </w:pPr>
            <w:r w:rsidRPr="00DD47DF">
              <w:rPr>
                <w:rFonts w:cs="Calibri"/>
              </w:rPr>
              <w:t>Celá prioritní osa bude realizována výhradně prostřednictvím komunitně vedeného místního rozvoje</w:t>
            </w:r>
          </w:p>
        </w:tc>
        <w:tc>
          <w:tcPr>
            <w:tcW w:w="264" w:type="pct"/>
            <w:shd w:val="clear" w:color="auto" w:fill="auto"/>
            <w:vAlign w:val="center"/>
          </w:tcPr>
          <w:p w14:paraId="6670A7D1" w14:textId="77777777" w:rsidR="008C6813" w:rsidRPr="00DD47DF" w:rsidRDefault="002756E7" w:rsidP="008C6813">
            <w:pPr>
              <w:pStyle w:val="Tabulka"/>
              <w:rPr>
                <w:rFonts w:cs="Calibri"/>
              </w:rPr>
            </w:pPr>
            <w:r w:rsidRPr="00DD47DF">
              <w:rPr>
                <w:rFonts w:cs="Calibri"/>
              </w:rPr>
              <w:fldChar w:fldCharType="begin">
                <w:ffData>
                  <w:name w:val="Check1"/>
                  <w:enabled/>
                  <w:calcOnExit w:val="0"/>
                  <w:checkBox>
                    <w:sizeAuto/>
                    <w:default w:val="0"/>
                  </w:checkBox>
                </w:ffData>
              </w:fldChar>
            </w:r>
            <w:r w:rsidR="008C6813" w:rsidRPr="00DD47DF">
              <w:rPr>
                <w:rFonts w:cs="Calibri"/>
              </w:rPr>
              <w:instrText xml:space="preserve"> FORMCHECKBOX </w:instrText>
            </w:r>
            <w:r w:rsidR="00AF6FE3">
              <w:rPr>
                <w:rFonts w:cs="Calibri"/>
              </w:rPr>
            </w:r>
            <w:r w:rsidR="00AF6FE3">
              <w:rPr>
                <w:rFonts w:cs="Calibri"/>
              </w:rPr>
              <w:fldChar w:fldCharType="separate"/>
            </w:r>
            <w:r w:rsidRPr="00DD47DF">
              <w:rPr>
                <w:rFonts w:cs="Calibri"/>
              </w:rPr>
              <w:fldChar w:fldCharType="end"/>
            </w:r>
          </w:p>
        </w:tc>
      </w:tr>
    </w:tbl>
    <w:p w14:paraId="3B758D74" w14:textId="77777777" w:rsidR="008C6813" w:rsidRPr="00DD47DF" w:rsidRDefault="008C6813" w:rsidP="005F43DF">
      <w:pPr>
        <w:pStyle w:val="kapitola2A0"/>
        <w:numPr>
          <w:ilvl w:val="2"/>
          <w:numId w:val="15"/>
        </w:numPr>
      </w:pPr>
      <w:bookmarkStart w:id="41" w:name="_Toc520445257"/>
      <w:r w:rsidRPr="00DD47DF">
        <w:t>Odůvodnění pro vytvoření prioritní osy, která zahrnuje více než jednu kategorii regionů nebo více než jeden tematický cíl či fond (použije-li se)</w:t>
      </w:r>
      <w:bookmarkEnd w:id="41"/>
    </w:p>
    <w:p w14:paraId="27C06D90" w14:textId="77777777" w:rsidR="008C6813" w:rsidRPr="00DD47DF" w:rsidRDefault="008C6813" w:rsidP="008C6813">
      <w:pPr>
        <w:pStyle w:val="Standardntext"/>
      </w:pPr>
      <w:r w:rsidRPr="00DD47DF">
        <w:t>Není relevantní pro OP PIK.</w:t>
      </w:r>
    </w:p>
    <w:p w14:paraId="1C37FFA9" w14:textId="77777777" w:rsidR="008C6813" w:rsidRPr="00DD47DF" w:rsidRDefault="008C6813" w:rsidP="005F43DF">
      <w:pPr>
        <w:pStyle w:val="kapitola2A0"/>
        <w:numPr>
          <w:ilvl w:val="2"/>
          <w:numId w:val="15"/>
        </w:numPr>
      </w:pPr>
      <w:bookmarkStart w:id="42" w:name="_Toc520445258"/>
      <w:r w:rsidRPr="00DD47DF">
        <w:t>Fond, kategorie regionů a základ pro výpočet podpory Unie</w:t>
      </w:r>
      <w:bookmarkEnd w:id="42"/>
    </w:p>
    <w:p w14:paraId="2B57C1C6" w14:textId="77777777" w:rsidR="008C6813" w:rsidRPr="00DD47DF" w:rsidRDefault="008C6813" w:rsidP="008C6813">
      <w:pPr>
        <w:pStyle w:val="Standardntext"/>
      </w:pPr>
      <w:r w:rsidRPr="00DD47DF">
        <w:t>Fond: Evropský fond pro regionální rozvoj</w:t>
      </w:r>
    </w:p>
    <w:p w14:paraId="60B1986D" w14:textId="77777777" w:rsidR="008C6813" w:rsidRPr="00DD47DF" w:rsidRDefault="008C6813" w:rsidP="008C6813">
      <w:pPr>
        <w:pStyle w:val="Standardntext"/>
      </w:pPr>
      <w:r w:rsidRPr="00DD47DF">
        <w:t>Kategorie regionů: Méně rozvinuté regiony</w:t>
      </w:r>
    </w:p>
    <w:p w14:paraId="18318317" w14:textId="77777777" w:rsidR="008C6813" w:rsidRPr="00DD47DF" w:rsidRDefault="008668C8" w:rsidP="008C6813">
      <w:pPr>
        <w:pStyle w:val="Standardntext"/>
      </w:pPr>
      <w:r w:rsidRPr="00DD47DF">
        <w:t xml:space="preserve">Základ pro výpočet: </w:t>
      </w:r>
      <w:r w:rsidR="009B6147" w:rsidRPr="00DD47DF">
        <w:t>celkové způsobilé výdaje</w:t>
      </w:r>
    </w:p>
    <w:p w14:paraId="3E7EB5A3" w14:textId="77777777" w:rsidR="008C6813" w:rsidRPr="00DD47DF" w:rsidRDefault="008C6813" w:rsidP="005F43DF">
      <w:pPr>
        <w:pStyle w:val="kapitola2A0"/>
        <w:numPr>
          <w:ilvl w:val="2"/>
          <w:numId w:val="15"/>
        </w:numPr>
      </w:pPr>
      <w:bookmarkStart w:id="43" w:name="_Toc520445259"/>
      <w:r w:rsidRPr="00DD47DF">
        <w:t>INVESTIČNÍ PRIORITA</w:t>
      </w:r>
      <w:r w:rsidR="00AA66A2" w:rsidRPr="00DD47DF">
        <w:t xml:space="preserve"> 1 prioritní osy 2</w:t>
      </w:r>
      <w:r w:rsidRPr="00DD47DF">
        <w:t xml:space="preserve">: </w:t>
      </w:r>
      <w:r w:rsidR="00F27EC3" w:rsidRPr="00DD47DF">
        <w:t>Podpora podnikání, zejména usnadněním hospodářského využívání nových myšlenek a podporou zakládání nových firem</w:t>
      </w:r>
      <w:r w:rsidRPr="00DD47DF">
        <w:t>, mimo jiné prostřednictvím podnikatelských inkubátorů</w:t>
      </w:r>
      <w:bookmarkEnd w:id="43"/>
    </w:p>
    <w:p w14:paraId="1E0B1578" w14:textId="77777777" w:rsidR="00EA3457" w:rsidRPr="00DD47DF" w:rsidRDefault="008C6813" w:rsidP="005F43DF">
      <w:pPr>
        <w:pStyle w:val="kapitola2A0"/>
        <w:numPr>
          <w:ilvl w:val="2"/>
          <w:numId w:val="15"/>
        </w:numPr>
      </w:pPr>
      <w:bookmarkStart w:id="44" w:name="_Toc520445260"/>
      <w:r w:rsidRPr="00DD47DF">
        <w:t>Specifické cíle odpovídající investiční prioritě a očekávané výsledky</w:t>
      </w:r>
      <w:bookmarkEnd w:id="44"/>
    </w:p>
    <w:p w14:paraId="2A435B9C" w14:textId="77777777" w:rsidR="00EA3457" w:rsidRPr="00DD47DF" w:rsidRDefault="00EA3457" w:rsidP="00396141">
      <w:pPr>
        <w:pStyle w:val="Modrnadpis"/>
      </w:pPr>
      <w:r w:rsidRPr="00DD47DF">
        <w:t xml:space="preserve">SPECIFICKÝ CÍL </w:t>
      </w:r>
      <w:r w:rsidR="00C71E6F" w:rsidRPr="00DD47DF">
        <w:t>2.</w:t>
      </w:r>
      <w:r w:rsidRPr="00DD47DF">
        <w:t>1:</w:t>
      </w:r>
      <w:r w:rsidR="00BA4E72" w:rsidRPr="00DD47DF">
        <w:t xml:space="preserve"> </w:t>
      </w:r>
      <w:r w:rsidR="00CE3F25" w:rsidRPr="00DD47DF">
        <w:t>Zvýšit konkurenceschopnost začínajících a rozvojových MSP</w:t>
      </w:r>
    </w:p>
    <w:p w14:paraId="751E404B" w14:textId="2C5A5FF7" w:rsidR="00D03396" w:rsidRPr="00DD47DF" w:rsidRDefault="00D03396" w:rsidP="00D03396">
      <w:pPr>
        <w:pStyle w:val="Standardntext"/>
      </w:pPr>
      <w:r w:rsidRPr="00DD47DF">
        <w:t xml:space="preserve">Malé a střední podniky představují stabilizující prvek prosperity a zaměstnanosti. Generují rozhodující počet nových pracovních míst, svými dodávkami se podílejí na konkurenční schopnosti velkých </w:t>
      </w:r>
      <w:r w:rsidR="00FF3A47" w:rsidRPr="00DD47DF">
        <w:t>podniků</w:t>
      </w:r>
      <w:r w:rsidRPr="00DD47DF">
        <w:t xml:space="preserve"> a na inovacích měnících dílčí produktové trhy. Hlavním cílem bude </w:t>
      </w:r>
      <w:r w:rsidR="00EF1071" w:rsidRPr="00DD47DF">
        <w:t>růst konkurenceschopnosti segmentu MSP prostřednictvím</w:t>
      </w:r>
      <w:r w:rsidR="00EF1071" w:rsidRPr="00DD47DF" w:rsidDel="00EF1071">
        <w:t xml:space="preserve"> </w:t>
      </w:r>
      <w:r w:rsidR="00EF1071" w:rsidRPr="00DD47DF">
        <w:t>zvýšení počtu</w:t>
      </w:r>
      <w:r w:rsidR="007C3741">
        <w:t xml:space="preserve"> </w:t>
      </w:r>
      <w:r w:rsidR="005B7415" w:rsidRPr="00DD47DF">
        <w:t>n</w:t>
      </w:r>
      <w:r w:rsidRPr="00DD47DF">
        <w:t>ových podnikatelských subjektů a nových podnikatelských záměrů zejména inovačního charakteru s vysokým potenciálem růstu, ale i na nižších hodnotových řetězcích</w:t>
      </w:r>
      <w:r w:rsidR="009765C2" w:rsidRPr="00DD47DF">
        <w:t>, a podnikatelů ve službách</w:t>
      </w:r>
      <w:r w:rsidRPr="00DD47DF">
        <w:t xml:space="preserve"> s přínosem pro zaměstnanost.</w:t>
      </w:r>
    </w:p>
    <w:p w14:paraId="2495682C" w14:textId="77777777" w:rsidR="001A5C2A" w:rsidRPr="00DD47DF" w:rsidRDefault="003508A9" w:rsidP="00D03396">
      <w:pPr>
        <w:pStyle w:val="Modrnadpis"/>
      </w:pPr>
      <w:r w:rsidRPr="00DD47DF">
        <w:t>Výsledky, kterých chce ČR dosáhnout s podporou Unie</w:t>
      </w:r>
    </w:p>
    <w:p w14:paraId="12CA1B41" w14:textId="77777777" w:rsidR="009D1769" w:rsidRPr="00DD47DF" w:rsidRDefault="009D1769" w:rsidP="00DA3512">
      <w:pPr>
        <w:pStyle w:val="Standardntext"/>
        <w:numPr>
          <w:ilvl w:val="0"/>
          <w:numId w:val="57"/>
        </w:numPr>
      </w:pPr>
      <w:r w:rsidRPr="00DD47DF">
        <w:t>Rozvoj a posílení endogenního podnikatelského sektoru, vznik nových podniků</w:t>
      </w:r>
      <w:r w:rsidR="00FE0B02" w:rsidRPr="00DD47DF">
        <w:t>.</w:t>
      </w:r>
    </w:p>
    <w:p w14:paraId="6E845A16" w14:textId="77777777" w:rsidR="009D1769" w:rsidRPr="00DD47DF" w:rsidRDefault="00EF1071" w:rsidP="00DA3512">
      <w:pPr>
        <w:pStyle w:val="Standardntext"/>
        <w:numPr>
          <w:ilvl w:val="0"/>
          <w:numId w:val="57"/>
        </w:numPr>
        <w:rPr>
          <w:b/>
        </w:rPr>
      </w:pPr>
      <w:r w:rsidRPr="00DD47DF">
        <w:t xml:space="preserve">Zajištění </w:t>
      </w:r>
      <w:r w:rsidR="009D1769" w:rsidRPr="00DD47DF">
        <w:t>dostupnosti vnějšího financování pro začínající podnikatele a inovační podniky (</w:t>
      </w:r>
      <w:r w:rsidRPr="00DD47DF">
        <w:t>pokrytí tržní mezery v nabídce</w:t>
      </w:r>
      <w:r w:rsidR="009D1769" w:rsidRPr="00DD47DF">
        <w:t xml:space="preserve"> zvýhodněného financování), včetně rizikového kapitálu</w:t>
      </w:r>
      <w:r w:rsidR="006329E9" w:rsidRPr="00DD47DF">
        <w:t xml:space="preserve">, </w:t>
      </w:r>
      <w:r w:rsidR="008F7D94" w:rsidRPr="00DD47DF">
        <w:t xml:space="preserve">a to jak </w:t>
      </w:r>
      <w:r w:rsidR="006329E9" w:rsidRPr="00DD47DF">
        <w:t xml:space="preserve">pro podnikatele </w:t>
      </w:r>
      <w:r w:rsidR="008F7D94" w:rsidRPr="00DD47DF">
        <w:t xml:space="preserve">v oblasti průmyslu, tak </w:t>
      </w:r>
      <w:r w:rsidR="006329E9" w:rsidRPr="00DD47DF">
        <w:t>ve službách</w:t>
      </w:r>
      <w:r w:rsidR="009D1769" w:rsidRPr="00DD47DF">
        <w:t>.</w:t>
      </w:r>
    </w:p>
    <w:p w14:paraId="6680F726" w14:textId="77777777" w:rsidR="009D1769" w:rsidRPr="00DD47DF" w:rsidRDefault="009D1769" w:rsidP="00DA3512">
      <w:pPr>
        <w:pStyle w:val="Standardntext"/>
        <w:numPr>
          <w:ilvl w:val="0"/>
          <w:numId w:val="57"/>
        </w:numPr>
        <w:rPr>
          <w:b/>
        </w:rPr>
      </w:pPr>
      <w:r w:rsidRPr="00DD47DF">
        <w:t xml:space="preserve">Vytvoření nových pracovních míst realizací podpořených podnikatelských záměrů povede ke stabilizaci </w:t>
      </w:r>
      <w:r w:rsidR="008C1551" w:rsidRPr="00DD47DF">
        <w:t xml:space="preserve">trhu práce a souvisejícího </w:t>
      </w:r>
      <w:r w:rsidRPr="00DD47DF">
        <w:t>podnikatelského prostředí</w:t>
      </w:r>
      <w:r w:rsidR="008C1551" w:rsidRPr="00DD47DF">
        <w:t xml:space="preserve"> MSP</w:t>
      </w:r>
    </w:p>
    <w:p w14:paraId="7C966210" w14:textId="77777777" w:rsidR="009D1769" w:rsidRPr="00DD47DF" w:rsidRDefault="009D1769" w:rsidP="00DA3512">
      <w:pPr>
        <w:pStyle w:val="Standardntext"/>
        <w:numPr>
          <w:ilvl w:val="0"/>
          <w:numId w:val="57"/>
        </w:numPr>
      </w:pPr>
      <w:r w:rsidRPr="00DD47DF">
        <w:t>Rozvoj podnikatelské kultury, podnikavosti a podnikatelství vedoucí k vyšší tvorbě nových podniků.</w:t>
      </w:r>
    </w:p>
    <w:p w14:paraId="303D0A48" w14:textId="77777777" w:rsidR="00636AE4" w:rsidRPr="00DD47DF" w:rsidRDefault="00636AE4" w:rsidP="00DA3512">
      <w:pPr>
        <w:pStyle w:val="Standardntext"/>
        <w:numPr>
          <w:ilvl w:val="0"/>
          <w:numId w:val="57"/>
        </w:numPr>
      </w:pPr>
      <w:r w:rsidRPr="00DD47DF">
        <w:lastRenderedPageBreak/>
        <w:t>Rozvoj kreativních odvětví, která jsou rychle rostoucími odvětvími s velkým růstovým potenciálem, a která pozitivně ovlivňují konkurenceschopnost produktů, služeb a rozvoj dalších odvětví (tzv. kreativní či nová ekonomika).</w:t>
      </w:r>
    </w:p>
    <w:p w14:paraId="30C03969" w14:textId="49C8574B" w:rsidR="009D1769" w:rsidRPr="00DD47DF" w:rsidRDefault="009D1769" w:rsidP="006C7113">
      <w:pPr>
        <w:pStyle w:val="Standardntext"/>
        <w:numPr>
          <w:ilvl w:val="0"/>
          <w:numId w:val="57"/>
        </w:numPr>
      </w:pPr>
      <w:r w:rsidRPr="00DD47DF">
        <w:t xml:space="preserve">Vyšší kvalita a dostupnost poradenských služeb </w:t>
      </w:r>
      <w:r w:rsidR="00EF1071" w:rsidRPr="00DD47DF">
        <w:t xml:space="preserve">pro </w:t>
      </w:r>
      <w:r w:rsidR="006C7113" w:rsidRPr="006C7113">
        <w:t>začínající a rozvojové podnikatele</w:t>
      </w:r>
      <w:r w:rsidRPr="00DD47DF">
        <w:t>, které napomohou podnikům se lépe orientovat na trhu a využít všechny tržní příležitosti.</w:t>
      </w:r>
    </w:p>
    <w:p w14:paraId="59672F09" w14:textId="77777777" w:rsidR="009D1769" w:rsidRPr="00DD47DF" w:rsidRDefault="009D1769" w:rsidP="00DA3512">
      <w:pPr>
        <w:pStyle w:val="Standardntext"/>
        <w:numPr>
          <w:ilvl w:val="0"/>
          <w:numId w:val="57"/>
        </w:numPr>
      </w:pPr>
      <w:r w:rsidRPr="00DD47DF">
        <w:t>Zlepšení netechnických kompetencí malých a středních podniků (strategické řízení, marketing, inovační management, zahraniční obchod ad.).</w:t>
      </w:r>
    </w:p>
    <w:p w14:paraId="66844775" w14:textId="77777777" w:rsidR="009D1769" w:rsidRPr="00DD47DF" w:rsidRDefault="009D1769" w:rsidP="00DA3512">
      <w:pPr>
        <w:pStyle w:val="Standardntext"/>
        <w:numPr>
          <w:ilvl w:val="0"/>
          <w:numId w:val="57"/>
        </w:numPr>
      </w:pPr>
      <w:r w:rsidRPr="00DD47DF">
        <w:t xml:space="preserve">Zlepšení podmínek pro podnikání </w:t>
      </w:r>
      <w:r w:rsidR="005B5EB6" w:rsidRPr="00DD47DF">
        <w:t>na celém území ČR s výjimkou území hl. města Prahy</w:t>
      </w:r>
      <w:r w:rsidRPr="00DD47DF">
        <w:t>.</w:t>
      </w:r>
    </w:p>
    <w:p w14:paraId="7BB62F83" w14:textId="77777777" w:rsidR="00D15773" w:rsidRPr="00DD47DF" w:rsidRDefault="00D15773" w:rsidP="00D15773">
      <w:pPr>
        <w:pStyle w:val="Titulek"/>
        <w:keepNext/>
        <w:rPr>
          <w:rFonts w:cs="Calibri"/>
        </w:rPr>
      </w:pPr>
      <w:r w:rsidRPr="00DD47DF">
        <w:rPr>
          <w:rFonts w:cs="Calibri"/>
        </w:rPr>
        <w:t xml:space="preserve">Tabulka </w:t>
      </w:r>
      <w:r w:rsidR="002756E7" w:rsidRPr="00DD47DF">
        <w:rPr>
          <w:rFonts w:cs="Calibri"/>
        </w:rPr>
        <w:fldChar w:fldCharType="begin"/>
      </w:r>
      <w:r w:rsidR="00505E76"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0" w:type="auto"/>
        <w:tblCellMar>
          <w:left w:w="57" w:type="dxa"/>
          <w:right w:w="57" w:type="dxa"/>
        </w:tblCellMar>
        <w:tblLook w:val="01E0" w:firstRow="1" w:lastRow="1" w:firstColumn="1" w:lastColumn="1" w:noHBand="0" w:noVBand="0"/>
      </w:tblPr>
      <w:tblGrid>
        <w:gridCol w:w="664"/>
        <w:gridCol w:w="1377"/>
        <w:gridCol w:w="946"/>
        <w:gridCol w:w="1390"/>
        <w:gridCol w:w="975"/>
        <w:gridCol w:w="915"/>
        <w:gridCol w:w="1030"/>
        <w:gridCol w:w="895"/>
        <w:gridCol w:w="1134"/>
      </w:tblGrid>
      <w:tr w:rsidR="00CF739D" w:rsidRPr="00DD47DF" w14:paraId="60AB6B5D" w14:textId="77777777">
        <w:trPr>
          <w:trHeight w:hRule="exact" w:val="1253"/>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749B6E5" w14:textId="77777777" w:rsidR="00CF739D" w:rsidRPr="00DD47DF" w:rsidRDefault="00CF739D" w:rsidP="001B2E5C">
            <w:pPr>
              <w:pStyle w:val="Tabulka"/>
              <w:rPr>
                <w:rFonts w:cs="Calibri"/>
                <w:b/>
                <w:bCs/>
              </w:rPr>
            </w:pPr>
            <w:r w:rsidRPr="00DD47DF">
              <w:rPr>
                <w:rFonts w:cs="Calibri"/>
                <w:b/>
                <w:bCs/>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1FA1DE0" w14:textId="77777777" w:rsidR="00CF739D" w:rsidRPr="00DD47DF" w:rsidRDefault="00CF739D" w:rsidP="001B2E5C">
            <w:pPr>
              <w:pStyle w:val="Tabulka"/>
              <w:rPr>
                <w:rFonts w:cs="Calibri"/>
                <w:b/>
                <w:bCs/>
              </w:rPr>
            </w:pPr>
            <w:r w:rsidRPr="00DD47DF">
              <w:rPr>
                <w:rFonts w:cs="Calibri"/>
                <w:b/>
                <w:bCs/>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358D411" w14:textId="77777777" w:rsidR="00CF739D" w:rsidRPr="00DD47DF" w:rsidRDefault="00CF739D" w:rsidP="001B2E5C">
            <w:pPr>
              <w:pStyle w:val="Tabulka"/>
              <w:rPr>
                <w:rFonts w:cs="Calibri"/>
                <w:b/>
                <w:bCs/>
              </w:rPr>
            </w:pPr>
            <w:r w:rsidRPr="00DD47DF">
              <w:rPr>
                <w:rFonts w:cs="Calibri"/>
                <w:b/>
                <w:bCs/>
              </w:rPr>
              <w:t>Měrná</w:t>
            </w:r>
          </w:p>
          <w:p w14:paraId="31CC8B23" w14:textId="77777777" w:rsidR="00CF739D" w:rsidRPr="00DD47DF" w:rsidRDefault="00CF739D" w:rsidP="001B2E5C">
            <w:pPr>
              <w:pStyle w:val="Tabulka"/>
              <w:rPr>
                <w:rFonts w:cs="Calibri"/>
                <w:b/>
                <w:bCs/>
              </w:rPr>
            </w:pPr>
            <w:r w:rsidRPr="00DD47DF">
              <w:rPr>
                <w:rFonts w:cs="Calibri"/>
                <w:b/>
                <w:bCs/>
              </w:rPr>
              <w:t>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F028AF8" w14:textId="77777777" w:rsidR="00CF739D" w:rsidRPr="00DD47DF" w:rsidRDefault="00CF739D" w:rsidP="001B2E5C">
            <w:pPr>
              <w:pStyle w:val="Tabulka"/>
              <w:rPr>
                <w:rFonts w:cs="Calibri"/>
                <w:b/>
                <w:bCs/>
              </w:rPr>
            </w:pPr>
            <w:r w:rsidRPr="00DD47DF">
              <w:rPr>
                <w:rFonts w:cs="Calibri"/>
                <w:b/>
                <w:bCs/>
              </w:rPr>
              <w:t>Kategorie regionů (je-li relevantní)</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F9A09FB" w14:textId="77777777" w:rsidR="00CF739D" w:rsidRPr="00DD47DF" w:rsidRDefault="004B0854" w:rsidP="001B2E5C">
            <w:pPr>
              <w:pStyle w:val="Tabulka"/>
              <w:rPr>
                <w:rFonts w:cs="Calibri"/>
                <w:b/>
                <w:bCs/>
              </w:rPr>
            </w:pPr>
            <w:r w:rsidRPr="00DD47DF">
              <w:rPr>
                <w:rFonts w:cs="Calibri"/>
                <w:b/>
                <w:bCs/>
              </w:rPr>
              <w:t>Výchozí hodnota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37DE3BD" w14:textId="77777777" w:rsidR="00CF739D" w:rsidRPr="00DD47DF" w:rsidRDefault="004B0854" w:rsidP="004B0854">
            <w:pPr>
              <w:pStyle w:val="Tabulka"/>
              <w:rPr>
                <w:rFonts w:cs="Calibri"/>
                <w:b/>
                <w:bCs/>
              </w:rPr>
            </w:pPr>
            <w:r w:rsidRPr="00DD47DF">
              <w:rPr>
                <w:rFonts w:cs="Calibri"/>
                <w:b/>
                <w:bCs/>
              </w:rPr>
              <w:t xml:space="preserve">Výchozí </w:t>
            </w:r>
            <w:r w:rsidR="00CF739D" w:rsidRPr="00DD47DF">
              <w:rPr>
                <w:rFonts w:cs="Calibri"/>
                <w:b/>
                <w:bCs/>
              </w:rPr>
              <w:t>rok</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F967F63" w14:textId="77777777" w:rsidR="00CF739D" w:rsidRPr="00DD47DF" w:rsidRDefault="00CF739D" w:rsidP="001B2E5C">
            <w:pPr>
              <w:pStyle w:val="Tabulka"/>
              <w:rPr>
                <w:rFonts w:cs="Calibri"/>
                <w:b/>
                <w:bCs/>
              </w:rPr>
            </w:pPr>
            <w:r w:rsidRPr="00DD47DF">
              <w:rPr>
                <w:rFonts w:cs="Calibri"/>
                <w:b/>
                <w:bCs/>
              </w:rPr>
              <w:t>Cílová hodnota (2023)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BA1B582" w14:textId="77777777" w:rsidR="00CF739D" w:rsidRPr="00DD47DF" w:rsidRDefault="00CF739D" w:rsidP="001B2E5C">
            <w:pPr>
              <w:pStyle w:val="Tabulka"/>
              <w:rPr>
                <w:rFonts w:cs="Calibri"/>
                <w:b/>
                <w:bCs/>
              </w:rPr>
            </w:pPr>
            <w:r w:rsidRPr="00DD47DF">
              <w:rPr>
                <w:rFonts w:cs="Calibri"/>
                <w:b/>
                <w:bCs/>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5BD0D13" w14:textId="77777777" w:rsidR="00CF739D" w:rsidRPr="00DD47DF" w:rsidRDefault="00CF739D" w:rsidP="001B2E5C">
            <w:pPr>
              <w:pStyle w:val="Tabulka"/>
              <w:rPr>
                <w:rFonts w:cs="Calibri"/>
                <w:b/>
                <w:bCs/>
              </w:rPr>
            </w:pPr>
            <w:r w:rsidRPr="00DD47DF">
              <w:rPr>
                <w:rFonts w:cs="Calibri"/>
                <w:b/>
                <w:bCs/>
              </w:rPr>
              <w:t>Četnost podávání zpráv</w:t>
            </w:r>
          </w:p>
        </w:tc>
      </w:tr>
      <w:tr w:rsidR="00D15773" w:rsidRPr="00DD47DF" w14:paraId="410718BC" w14:textId="77777777">
        <w:trPr>
          <w:trHeight w:hRule="exact" w:val="1401"/>
        </w:trPr>
        <w:tc>
          <w:tcPr>
            <w:tcW w:w="0" w:type="auto"/>
            <w:tcBorders>
              <w:top w:val="single" w:sz="4" w:space="0" w:color="000000"/>
              <w:left w:val="single" w:sz="4" w:space="0" w:color="000000"/>
              <w:bottom w:val="single" w:sz="4" w:space="0" w:color="000000"/>
              <w:right w:val="single" w:sz="4" w:space="0" w:color="000000"/>
            </w:tcBorders>
            <w:vAlign w:val="center"/>
          </w:tcPr>
          <w:p w14:paraId="2B42CA58" w14:textId="77777777" w:rsidR="00D15773" w:rsidRPr="00DD47DF" w:rsidRDefault="00D6006C" w:rsidP="00F47B67">
            <w:pPr>
              <w:pStyle w:val="Tabulka"/>
              <w:rPr>
                <w:rFonts w:cs="Calibri"/>
              </w:rPr>
            </w:pPr>
            <w:r w:rsidRPr="00DD47DF">
              <w:rPr>
                <w:rFonts w:cs="Calibri"/>
              </w:rPr>
              <w:t>10701</w:t>
            </w:r>
          </w:p>
        </w:tc>
        <w:tc>
          <w:tcPr>
            <w:tcW w:w="0" w:type="auto"/>
            <w:tcBorders>
              <w:top w:val="single" w:sz="4" w:space="0" w:color="000000"/>
              <w:left w:val="single" w:sz="4" w:space="0" w:color="000000"/>
              <w:bottom w:val="single" w:sz="4" w:space="0" w:color="000000"/>
              <w:right w:val="single" w:sz="4" w:space="0" w:color="000000"/>
            </w:tcBorders>
            <w:vAlign w:val="center"/>
          </w:tcPr>
          <w:p w14:paraId="3C59599A" w14:textId="77777777" w:rsidR="00D15773" w:rsidRPr="00DD47DF" w:rsidRDefault="00F6040D" w:rsidP="00AF574A">
            <w:pPr>
              <w:pStyle w:val="Tabulka"/>
              <w:jc w:val="left"/>
              <w:rPr>
                <w:rFonts w:cs="Calibri"/>
              </w:rPr>
            </w:pPr>
            <w:r w:rsidRPr="00DD47DF">
              <w:rPr>
                <w:rFonts w:cs="Calibri"/>
              </w:rPr>
              <w:t>Přidaná hodnota MSP jako % přidané hodnoty ČR</w:t>
            </w:r>
          </w:p>
        </w:tc>
        <w:tc>
          <w:tcPr>
            <w:tcW w:w="0" w:type="auto"/>
            <w:tcBorders>
              <w:top w:val="single" w:sz="4" w:space="0" w:color="000000"/>
              <w:left w:val="single" w:sz="4" w:space="0" w:color="000000"/>
              <w:bottom w:val="single" w:sz="4" w:space="0" w:color="000000"/>
              <w:right w:val="single" w:sz="4" w:space="0" w:color="000000"/>
            </w:tcBorders>
            <w:vAlign w:val="center"/>
          </w:tcPr>
          <w:p w14:paraId="4ACF354C" w14:textId="77777777" w:rsidR="00D15773" w:rsidRPr="00DD47DF" w:rsidRDefault="00F6040D" w:rsidP="00F47B67">
            <w:pPr>
              <w:pStyle w:val="Tabulka"/>
              <w:rPr>
                <w:rFonts w:cs="Calibri"/>
              </w:rPr>
            </w:pPr>
            <w:r w:rsidRPr="00DD47DF">
              <w:rPr>
                <w:rFonts w:cs="Calibri"/>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0A3C81F9" w14:textId="77777777" w:rsidR="00D15773" w:rsidRPr="00DD47DF" w:rsidRDefault="00F6040D" w:rsidP="00F47B67">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4E52ED5F" w14:textId="77777777" w:rsidR="00D15773" w:rsidRPr="00DD47DF" w:rsidRDefault="00E73136" w:rsidP="00F47B67">
            <w:pPr>
              <w:pStyle w:val="Tabulka"/>
              <w:rPr>
                <w:rFonts w:cs="Calibri"/>
              </w:rPr>
            </w:pPr>
            <w:r w:rsidRPr="00DD47DF">
              <w:rPr>
                <w:rFonts w:cs="Calibri"/>
              </w:rPr>
              <w:t>53,81</w:t>
            </w:r>
          </w:p>
        </w:tc>
        <w:tc>
          <w:tcPr>
            <w:tcW w:w="0" w:type="auto"/>
            <w:tcBorders>
              <w:top w:val="single" w:sz="4" w:space="0" w:color="000000"/>
              <w:left w:val="single" w:sz="4" w:space="0" w:color="000000"/>
              <w:bottom w:val="single" w:sz="4" w:space="0" w:color="000000"/>
              <w:right w:val="single" w:sz="4" w:space="0" w:color="000000"/>
            </w:tcBorders>
            <w:vAlign w:val="center"/>
          </w:tcPr>
          <w:p w14:paraId="5E692D07" w14:textId="77777777" w:rsidR="00D15773" w:rsidRPr="00DD47DF" w:rsidRDefault="00E73136" w:rsidP="00F47B67">
            <w:pPr>
              <w:pStyle w:val="Tabulka"/>
              <w:rPr>
                <w:rFonts w:cs="Calibri"/>
              </w:rPr>
            </w:pPr>
            <w:r w:rsidRPr="00DD47DF">
              <w:rPr>
                <w:rFonts w:cs="Calibri"/>
              </w:rPr>
              <w:t>2012</w:t>
            </w:r>
          </w:p>
        </w:tc>
        <w:tc>
          <w:tcPr>
            <w:tcW w:w="0" w:type="auto"/>
            <w:tcBorders>
              <w:top w:val="single" w:sz="4" w:space="0" w:color="000000"/>
              <w:left w:val="single" w:sz="4" w:space="0" w:color="000000"/>
              <w:bottom w:val="single" w:sz="4" w:space="0" w:color="000000"/>
              <w:right w:val="single" w:sz="4" w:space="0" w:color="000000"/>
            </w:tcBorders>
            <w:vAlign w:val="center"/>
          </w:tcPr>
          <w:p w14:paraId="03F14561" w14:textId="77777777" w:rsidR="00D15773" w:rsidRPr="00DD47DF" w:rsidRDefault="006D0B8B" w:rsidP="00F47B67">
            <w:pPr>
              <w:pStyle w:val="Tabulka"/>
              <w:rPr>
                <w:rFonts w:cs="Calibri"/>
              </w:rPr>
            </w:pPr>
            <w:r w:rsidRPr="00DD47DF">
              <w:rPr>
                <w:rFonts w:cs="Calibri"/>
              </w:rPr>
              <w:t>55 - 57</w:t>
            </w:r>
            <w:r w:rsidR="001102B3" w:rsidRPr="00DD47DF">
              <w:rPr>
                <w:rStyle w:val="Znakapoznpodarou"/>
                <w:rFonts w:cs="Calibri"/>
              </w:rPr>
              <w:footnoteReference w:id="50"/>
            </w:r>
          </w:p>
        </w:tc>
        <w:tc>
          <w:tcPr>
            <w:tcW w:w="0" w:type="auto"/>
            <w:tcBorders>
              <w:top w:val="single" w:sz="4" w:space="0" w:color="000000"/>
              <w:left w:val="single" w:sz="4" w:space="0" w:color="000000"/>
              <w:bottom w:val="single" w:sz="4" w:space="0" w:color="000000"/>
              <w:right w:val="single" w:sz="4" w:space="0" w:color="000000"/>
            </w:tcBorders>
            <w:vAlign w:val="center"/>
          </w:tcPr>
          <w:p w14:paraId="59FF59ED" w14:textId="77777777" w:rsidR="00D15773" w:rsidRPr="00DD47DF" w:rsidRDefault="00684DC4" w:rsidP="006D1774">
            <w:pPr>
              <w:pStyle w:val="Tabulka"/>
              <w:rPr>
                <w:rFonts w:cs="Calibri"/>
              </w:rPr>
            </w:pPr>
            <w:r>
              <w:rPr>
                <w:rFonts w:cs="Calibri"/>
              </w:rPr>
              <w:t>MPO</w:t>
            </w:r>
          </w:p>
        </w:tc>
        <w:tc>
          <w:tcPr>
            <w:tcW w:w="0" w:type="auto"/>
            <w:tcBorders>
              <w:top w:val="single" w:sz="4" w:space="0" w:color="000000"/>
              <w:left w:val="single" w:sz="4" w:space="0" w:color="000000"/>
              <w:bottom w:val="single" w:sz="4" w:space="0" w:color="000000"/>
              <w:right w:val="single" w:sz="4" w:space="0" w:color="000000"/>
            </w:tcBorders>
            <w:vAlign w:val="center"/>
          </w:tcPr>
          <w:p w14:paraId="3429C213" w14:textId="77777777" w:rsidR="00D15773" w:rsidRPr="00DD47DF" w:rsidRDefault="00F6040D" w:rsidP="00F47B67">
            <w:pPr>
              <w:pStyle w:val="Tabulka"/>
              <w:rPr>
                <w:rFonts w:cs="Calibri"/>
              </w:rPr>
            </w:pPr>
            <w:r w:rsidRPr="00DD47DF">
              <w:rPr>
                <w:rFonts w:cs="Calibri"/>
              </w:rPr>
              <w:t>ročně</w:t>
            </w:r>
          </w:p>
        </w:tc>
      </w:tr>
      <w:tr w:rsidR="00587FB1" w:rsidRPr="00DD47DF" w14:paraId="623C51C5" w14:textId="77777777">
        <w:trPr>
          <w:trHeight w:hRule="exact" w:val="1401"/>
        </w:trPr>
        <w:tc>
          <w:tcPr>
            <w:tcW w:w="0" w:type="auto"/>
            <w:tcBorders>
              <w:top w:val="single" w:sz="4" w:space="0" w:color="000000"/>
              <w:left w:val="single" w:sz="4" w:space="0" w:color="000000"/>
              <w:bottom w:val="single" w:sz="4" w:space="0" w:color="000000"/>
              <w:right w:val="single" w:sz="4" w:space="0" w:color="000000"/>
            </w:tcBorders>
            <w:vAlign w:val="center"/>
          </w:tcPr>
          <w:p w14:paraId="484CC93A" w14:textId="77777777" w:rsidR="00587FB1" w:rsidRPr="00DD47DF" w:rsidRDefault="00AF4183" w:rsidP="00F47B67">
            <w:pPr>
              <w:pStyle w:val="Tabulka"/>
              <w:rPr>
                <w:rFonts w:cs="Calibri"/>
              </w:rPr>
            </w:pPr>
            <w:r w:rsidRPr="00DD47DF">
              <w:rPr>
                <w:rFonts w:cs="Calibri"/>
              </w:rPr>
              <w:t>10710</w:t>
            </w:r>
          </w:p>
        </w:tc>
        <w:tc>
          <w:tcPr>
            <w:tcW w:w="0" w:type="auto"/>
            <w:tcBorders>
              <w:top w:val="single" w:sz="4" w:space="0" w:color="000000"/>
              <w:left w:val="single" w:sz="4" w:space="0" w:color="000000"/>
              <w:bottom w:val="single" w:sz="4" w:space="0" w:color="000000"/>
              <w:right w:val="single" w:sz="4" w:space="0" w:color="000000"/>
            </w:tcBorders>
            <w:vAlign w:val="center"/>
          </w:tcPr>
          <w:p w14:paraId="44D0833F" w14:textId="77777777" w:rsidR="00587FB1" w:rsidRPr="00DD47DF" w:rsidRDefault="00587FB1" w:rsidP="00AF574A">
            <w:pPr>
              <w:pStyle w:val="Tabulka"/>
              <w:jc w:val="left"/>
              <w:rPr>
                <w:rFonts w:cs="Calibri"/>
              </w:rPr>
            </w:pPr>
            <w:r w:rsidRPr="00DD47DF">
              <w:rPr>
                <w:rFonts w:cs="Calibri"/>
              </w:rPr>
              <w:t>Míra přežití vzniklých podniků</w:t>
            </w:r>
          </w:p>
        </w:tc>
        <w:tc>
          <w:tcPr>
            <w:tcW w:w="0" w:type="auto"/>
            <w:tcBorders>
              <w:top w:val="single" w:sz="4" w:space="0" w:color="000000"/>
              <w:left w:val="single" w:sz="4" w:space="0" w:color="000000"/>
              <w:bottom w:val="single" w:sz="4" w:space="0" w:color="000000"/>
              <w:right w:val="single" w:sz="4" w:space="0" w:color="000000"/>
            </w:tcBorders>
            <w:vAlign w:val="center"/>
          </w:tcPr>
          <w:p w14:paraId="0E47E52D" w14:textId="77777777" w:rsidR="00587FB1" w:rsidRPr="00DD47DF" w:rsidRDefault="00587FB1" w:rsidP="00F47B67">
            <w:pPr>
              <w:pStyle w:val="Tabulka"/>
              <w:rPr>
                <w:rFonts w:cs="Calibri"/>
              </w:rPr>
            </w:pPr>
            <w:r w:rsidRPr="00DD47DF">
              <w:rPr>
                <w:rFonts w:cs="Calibri"/>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772FA84A" w14:textId="77777777" w:rsidR="00587FB1" w:rsidRPr="00DD47DF" w:rsidRDefault="00587FB1" w:rsidP="00F47B67">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7A5820E1" w14:textId="77777777" w:rsidR="00587FB1" w:rsidRPr="00DD47DF" w:rsidRDefault="00587FB1" w:rsidP="00F47B67">
            <w:pPr>
              <w:pStyle w:val="Tabulka"/>
              <w:rPr>
                <w:rFonts w:cs="Calibri"/>
              </w:rPr>
            </w:pPr>
            <w:r w:rsidRPr="00DD47DF">
              <w:rPr>
                <w:rFonts w:cs="Calibri"/>
              </w:rPr>
              <w:t>67,8</w:t>
            </w:r>
          </w:p>
        </w:tc>
        <w:tc>
          <w:tcPr>
            <w:tcW w:w="0" w:type="auto"/>
            <w:tcBorders>
              <w:top w:val="single" w:sz="4" w:space="0" w:color="000000"/>
              <w:left w:val="single" w:sz="4" w:space="0" w:color="000000"/>
              <w:bottom w:val="single" w:sz="4" w:space="0" w:color="000000"/>
              <w:right w:val="single" w:sz="4" w:space="0" w:color="000000"/>
            </w:tcBorders>
            <w:vAlign w:val="center"/>
          </w:tcPr>
          <w:p w14:paraId="21F25DA3" w14:textId="77777777" w:rsidR="00587FB1" w:rsidRPr="00DD47DF" w:rsidRDefault="00587FB1" w:rsidP="00F47B67">
            <w:pPr>
              <w:pStyle w:val="Tabulka"/>
              <w:rPr>
                <w:rFonts w:cs="Calibri"/>
              </w:rPr>
            </w:pPr>
            <w:r w:rsidRPr="00DD47DF">
              <w:rPr>
                <w:rFonts w:cs="Calibri"/>
              </w:rPr>
              <w:t>2012</w:t>
            </w:r>
          </w:p>
        </w:tc>
        <w:tc>
          <w:tcPr>
            <w:tcW w:w="0" w:type="auto"/>
            <w:tcBorders>
              <w:top w:val="single" w:sz="4" w:space="0" w:color="000000"/>
              <w:left w:val="single" w:sz="4" w:space="0" w:color="000000"/>
              <w:bottom w:val="single" w:sz="4" w:space="0" w:color="000000"/>
              <w:right w:val="single" w:sz="4" w:space="0" w:color="000000"/>
            </w:tcBorders>
            <w:vAlign w:val="center"/>
          </w:tcPr>
          <w:p w14:paraId="69FF0077" w14:textId="77777777" w:rsidR="00587FB1" w:rsidRPr="00DD47DF" w:rsidRDefault="00D05818" w:rsidP="00F47B67">
            <w:pPr>
              <w:pStyle w:val="Tabulka"/>
              <w:rPr>
                <w:rFonts w:cs="Calibri"/>
              </w:rPr>
            </w:pPr>
            <w:r w:rsidRPr="00DD47DF">
              <w:rPr>
                <w:rFonts w:cs="Calibri"/>
              </w:rPr>
              <w:t>68 - 69</w:t>
            </w:r>
            <w:r w:rsidRPr="00DD47DF">
              <w:rPr>
                <w:rStyle w:val="Znakapoznpodarou"/>
                <w:rFonts w:cs="Calibri"/>
              </w:rPr>
              <w:footnoteReference w:id="51"/>
            </w:r>
          </w:p>
        </w:tc>
        <w:tc>
          <w:tcPr>
            <w:tcW w:w="0" w:type="auto"/>
            <w:tcBorders>
              <w:top w:val="single" w:sz="4" w:space="0" w:color="000000"/>
              <w:left w:val="single" w:sz="4" w:space="0" w:color="000000"/>
              <w:bottom w:val="single" w:sz="4" w:space="0" w:color="000000"/>
              <w:right w:val="single" w:sz="4" w:space="0" w:color="000000"/>
            </w:tcBorders>
            <w:vAlign w:val="center"/>
          </w:tcPr>
          <w:p w14:paraId="76C1D5A8" w14:textId="77777777" w:rsidR="00587FB1" w:rsidRPr="00DD47DF" w:rsidRDefault="00587FB1" w:rsidP="006D1774">
            <w:pPr>
              <w:pStyle w:val="Tabulka"/>
              <w:rPr>
                <w:rFonts w:cs="Calibri"/>
              </w:rPr>
            </w:pPr>
            <w:r w:rsidRPr="00DD47DF">
              <w:rPr>
                <w:rFonts w:cs="Calibri"/>
              </w:rPr>
              <w:t>Eurostat</w:t>
            </w:r>
          </w:p>
        </w:tc>
        <w:tc>
          <w:tcPr>
            <w:tcW w:w="0" w:type="auto"/>
            <w:tcBorders>
              <w:top w:val="single" w:sz="4" w:space="0" w:color="000000"/>
              <w:left w:val="single" w:sz="4" w:space="0" w:color="000000"/>
              <w:bottom w:val="single" w:sz="4" w:space="0" w:color="000000"/>
              <w:right w:val="single" w:sz="4" w:space="0" w:color="000000"/>
            </w:tcBorders>
            <w:vAlign w:val="center"/>
          </w:tcPr>
          <w:p w14:paraId="052E749D" w14:textId="77777777" w:rsidR="00587FB1" w:rsidRPr="00DD47DF" w:rsidRDefault="00587FB1" w:rsidP="00F47B67">
            <w:pPr>
              <w:pStyle w:val="Tabulka"/>
              <w:rPr>
                <w:rFonts w:cs="Calibri"/>
              </w:rPr>
            </w:pPr>
            <w:r w:rsidRPr="00DD47DF">
              <w:rPr>
                <w:rFonts w:cs="Calibri"/>
              </w:rPr>
              <w:t>ročně</w:t>
            </w:r>
          </w:p>
        </w:tc>
      </w:tr>
    </w:tbl>
    <w:p w14:paraId="3F19EF3F" w14:textId="77777777" w:rsidR="00F27129" w:rsidRPr="00DD47DF" w:rsidRDefault="001B2E5C" w:rsidP="005F43DF">
      <w:pPr>
        <w:pStyle w:val="kapitola2A0"/>
        <w:numPr>
          <w:ilvl w:val="2"/>
          <w:numId w:val="15"/>
        </w:numPr>
      </w:pPr>
      <w:bookmarkStart w:id="45" w:name="_Toc520445261"/>
      <w:r w:rsidRPr="00DD47DF">
        <w:t>Opatření, jež má být podpořeno v rámci investiční priority</w:t>
      </w:r>
      <w:bookmarkEnd w:id="45"/>
    </w:p>
    <w:p w14:paraId="60FC2751" w14:textId="77777777" w:rsidR="00F27129" w:rsidRPr="00DD47DF" w:rsidRDefault="00D479AF" w:rsidP="005F43DF">
      <w:pPr>
        <w:pStyle w:val="Nadpis5"/>
        <w:numPr>
          <w:ilvl w:val="4"/>
          <w:numId w:val="16"/>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447D29B0" w14:textId="77777777" w:rsidR="00C30048" w:rsidRPr="00DD47DF" w:rsidRDefault="000A2EB4" w:rsidP="00DF4F92">
      <w:pPr>
        <w:pStyle w:val="Standardntext"/>
        <w:rPr>
          <w:b/>
        </w:rPr>
      </w:pPr>
      <w:r w:rsidRPr="00DD47DF">
        <w:rPr>
          <w:b/>
        </w:rPr>
        <w:t>Aktivity pro tento specifický cíl:</w:t>
      </w:r>
    </w:p>
    <w:p w14:paraId="10B527EC" w14:textId="77777777" w:rsidR="00527A16" w:rsidRPr="00DD47DF" w:rsidRDefault="004A326E" w:rsidP="00D927A2">
      <w:pPr>
        <w:pStyle w:val="Standardntext"/>
        <w:numPr>
          <w:ilvl w:val="0"/>
          <w:numId w:val="46"/>
        </w:numPr>
      </w:pPr>
      <w:r w:rsidRPr="00DD47DF">
        <w:t xml:space="preserve">Realizace podnikatelských záměrů začínajících </w:t>
      </w:r>
      <w:r w:rsidR="00FF3A47" w:rsidRPr="00DD47DF">
        <w:t>podniků</w:t>
      </w:r>
      <w:r w:rsidRPr="00DD47DF">
        <w:t xml:space="preserve"> (do </w:t>
      </w:r>
      <w:r w:rsidR="00700B4C" w:rsidRPr="00DD47DF">
        <w:t xml:space="preserve">3 </w:t>
      </w:r>
      <w:r w:rsidRPr="00DD47DF">
        <w:t xml:space="preserve">let) a rozvojových </w:t>
      </w:r>
      <w:r w:rsidR="00FF3A47" w:rsidRPr="00DD47DF">
        <w:t>podniků</w:t>
      </w:r>
      <w:r w:rsidRPr="00DD47DF">
        <w:t xml:space="preserve"> prostřednictvím vhodných finančních nástrojů a dotací </w:t>
      </w:r>
      <w:r w:rsidR="00B4602B" w:rsidRPr="00DD47DF">
        <w:t>MSP zejména pro</w:t>
      </w:r>
      <w:r w:rsidR="00BA4E72" w:rsidRPr="00DD47DF">
        <w:t xml:space="preserve"> </w:t>
      </w:r>
      <w:r w:rsidRPr="00DD47DF">
        <w:t>mikropodnik</w:t>
      </w:r>
      <w:r w:rsidR="00B4602B" w:rsidRPr="00DD47DF">
        <w:t>y</w:t>
      </w:r>
      <w:r w:rsidRPr="00DD47DF">
        <w:t>,</w:t>
      </w:r>
    </w:p>
    <w:p w14:paraId="10C93A31" w14:textId="46F559D3" w:rsidR="009D1769" w:rsidRPr="00DD47DF" w:rsidRDefault="004A326E" w:rsidP="00B1704F">
      <w:pPr>
        <w:pStyle w:val="Standardntext"/>
        <w:numPr>
          <w:ilvl w:val="0"/>
          <w:numId w:val="46"/>
        </w:numPr>
      </w:pPr>
      <w:r w:rsidRPr="00DD47DF">
        <w:t xml:space="preserve">poskytování poradenských služeb a služeb pro </w:t>
      </w:r>
      <w:r w:rsidR="00B1704F" w:rsidRPr="00B1704F">
        <w:t>začínající a rozvojové podniky</w:t>
      </w:r>
      <w:r w:rsidRPr="00DD47DF">
        <w:t xml:space="preserve"> </w:t>
      </w:r>
      <w:r w:rsidR="008F7D94" w:rsidRPr="00DD47DF">
        <w:t>na celém území ČR s výjimkou území hl. města Prahy</w:t>
      </w:r>
      <w:r w:rsidR="00E27FF3" w:rsidRPr="00DD47DF">
        <w:t xml:space="preserve"> (např. prostřednictvím podnikatelských </w:t>
      </w:r>
      <w:r w:rsidR="009D1769" w:rsidRPr="00DD47DF">
        <w:t>inkubátorů).</w:t>
      </w:r>
    </w:p>
    <w:p w14:paraId="12CA18C9" w14:textId="77777777" w:rsidR="004F27E6" w:rsidRPr="00DD47DF" w:rsidRDefault="001F0C50" w:rsidP="009D1769">
      <w:pPr>
        <w:pStyle w:val="Standardntext"/>
      </w:pPr>
      <w:r w:rsidRPr="00DD47DF">
        <w:lastRenderedPageBreak/>
        <w:t>V tomto specifickém cíli je počítáno s inovacemi nižších řádů</w:t>
      </w:r>
      <w:r w:rsidR="00654C5F" w:rsidRPr="00DD47DF">
        <w:t xml:space="preserve"> (</w:t>
      </w:r>
      <w:r w:rsidR="0050426F" w:rsidRPr="00DD47DF">
        <w:t>1</w:t>
      </w:r>
      <w:r w:rsidR="00654C5F" w:rsidRPr="00DD47DF">
        <w:t xml:space="preserve">. – </w:t>
      </w:r>
      <w:r w:rsidR="00DA52F2" w:rsidRPr="00DD47DF">
        <w:t>4</w:t>
      </w:r>
      <w:r w:rsidR="00654C5F" w:rsidRPr="00DD47DF">
        <w:t>. řád)</w:t>
      </w:r>
      <w:r w:rsidRPr="00DD47DF">
        <w:rPr>
          <w:rStyle w:val="Znakapoznpodarou"/>
        </w:rPr>
        <w:footnoteReference w:id="52"/>
      </w:r>
      <w:r w:rsidRPr="00DD47DF">
        <w:t xml:space="preserve">, tzn. s podporou modernizačních a rozvojových projektů. </w:t>
      </w:r>
      <w:r w:rsidR="004F27E6" w:rsidRPr="00DD47DF">
        <w:t>Nebude se jednat o prostou výměnu strojů a zařízení, podporovány budou výhradně nové stroje a zařízení, které zvýší technologickou úroveň MSP</w:t>
      </w:r>
      <w:r w:rsidR="0050426F" w:rsidRPr="00DD47DF">
        <w:t xml:space="preserve"> a jejich konkurenceschopnost</w:t>
      </w:r>
      <w:r w:rsidR="004F27E6" w:rsidRPr="00DD47DF">
        <w:t>.</w:t>
      </w:r>
    </w:p>
    <w:p w14:paraId="6E258639" w14:textId="77777777" w:rsidR="001F0C50" w:rsidRPr="00DD47DF" w:rsidRDefault="001F0C50" w:rsidP="009D1769">
      <w:pPr>
        <w:pStyle w:val="Standardntext"/>
      </w:pPr>
      <w:r w:rsidRPr="00DD47DF">
        <w:t>Podporovány nebudou výdaje na výzkum a vývoj podporované v prioritní ose 1. Podporované projekty umožní vznik či rozvoj podnikatelů s krátkou historií nebo udržení a posílení konkurenceschopnosti MSP, což formou nových investic přispěje k tvorbě HDP a nárůstu zaměstnanosti. Podpora bude zaměřena zejména do odvětví zpracovatelského průmyslu a služeb.</w:t>
      </w:r>
    </w:p>
    <w:p w14:paraId="309B232E" w14:textId="77777777" w:rsidR="00584311" w:rsidRPr="00DD47DF" w:rsidRDefault="00D17DDE" w:rsidP="009D1769">
      <w:pPr>
        <w:pStyle w:val="Standardntext"/>
      </w:pPr>
      <w:r w:rsidRPr="00DD47DF">
        <w:t xml:space="preserve">Aktivita tohoto specifického cíle zaměřená na investiční podporu projektů začínajících a rozvojových firem navazuje na poznatky získané zejména z realizace programů </w:t>
      </w:r>
      <w:r w:rsidR="00E6033C" w:rsidRPr="00DD47DF">
        <w:t xml:space="preserve">podpory </w:t>
      </w:r>
      <w:r w:rsidRPr="00DD47DF">
        <w:t>OPPI</w:t>
      </w:r>
      <w:r w:rsidR="00700B4C" w:rsidRPr="00DD47DF">
        <w:t xml:space="preserve"> z prioritních os</w:t>
      </w:r>
      <w:r w:rsidR="00884FB7" w:rsidRPr="00DD47DF">
        <w:t xml:space="preserve"> „</w:t>
      </w:r>
      <w:r w:rsidRPr="00DD47DF">
        <w:rPr>
          <w:i/>
        </w:rPr>
        <w:t>Vznik firem</w:t>
      </w:r>
      <w:r w:rsidR="00884FB7" w:rsidRPr="00DD47DF">
        <w:rPr>
          <w:i/>
        </w:rPr>
        <w:t>“</w:t>
      </w:r>
      <w:r w:rsidRPr="00DD47DF">
        <w:t xml:space="preserve"> a</w:t>
      </w:r>
      <w:r w:rsidR="00835369" w:rsidRPr="00DD47DF">
        <w:t xml:space="preserve"> </w:t>
      </w:r>
      <w:r w:rsidR="00884FB7" w:rsidRPr="00DD47DF">
        <w:t>„</w:t>
      </w:r>
      <w:r w:rsidRPr="00DD47DF">
        <w:rPr>
          <w:i/>
        </w:rPr>
        <w:t>Rozvoj firem</w:t>
      </w:r>
      <w:r w:rsidR="00884FB7" w:rsidRPr="00DD47DF">
        <w:rPr>
          <w:i/>
        </w:rPr>
        <w:t>“</w:t>
      </w:r>
      <w:r w:rsidRPr="00DD47DF">
        <w:t xml:space="preserve">, kde formou podpory byly úvěry, záruky a </w:t>
      </w:r>
      <w:r w:rsidR="009D1769" w:rsidRPr="00DD47DF">
        <w:t>dotace.</w:t>
      </w:r>
      <w:r w:rsidRPr="00DD47DF">
        <w:t xml:space="preserve"> Cílem aktivity SC 2.1 </w:t>
      </w:r>
      <w:r w:rsidR="00E6033C" w:rsidRPr="00DD47DF">
        <w:t xml:space="preserve">OP PIK </w:t>
      </w:r>
      <w:r w:rsidRPr="00DD47DF">
        <w:t xml:space="preserve">je </w:t>
      </w:r>
      <w:r w:rsidR="009D1769" w:rsidRPr="00DD47DF">
        <w:t>zvýšení počtu nových podnikatelských záměrů</w:t>
      </w:r>
      <w:r w:rsidR="001F0C50" w:rsidRPr="00DD47DF">
        <w:t xml:space="preserve"> (investic)</w:t>
      </w:r>
      <w:r w:rsidR="009D1769" w:rsidRPr="00DD47DF">
        <w:t xml:space="preserve"> začínajících a rozvojových podniků </w:t>
      </w:r>
      <w:r w:rsidR="001F0C50" w:rsidRPr="00DD47DF">
        <w:t xml:space="preserve">zlepšením přístupu k finančním prostředkům na jejich realizaci a zavádění nových výrobních technologií a služeb. Případná </w:t>
      </w:r>
      <w:r w:rsidR="00700B4C" w:rsidRPr="00DD47DF">
        <w:t xml:space="preserve">doplňková </w:t>
      </w:r>
      <w:r w:rsidR="001F0C50" w:rsidRPr="00DD47DF">
        <w:t xml:space="preserve">modernizace současných objektů </w:t>
      </w:r>
      <w:r w:rsidR="00700B4C" w:rsidRPr="00DD47DF">
        <w:t xml:space="preserve">(např. stavební úpravy) </w:t>
      </w:r>
      <w:r w:rsidR="001F0C50" w:rsidRPr="00DD47DF">
        <w:t>musí být v případě SC 2.1 vždy spojena se zaváděním nových výrobních technologií a služeb.</w:t>
      </w:r>
    </w:p>
    <w:p w14:paraId="4AA179E5" w14:textId="77777777" w:rsidR="00896EDF" w:rsidRPr="00DD47DF" w:rsidRDefault="00E6033C" w:rsidP="009D1769">
      <w:pPr>
        <w:pStyle w:val="Standardntext"/>
      </w:pPr>
      <w:r w:rsidRPr="00DD47DF">
        <w:t>I pro programovací období 2014 – 2020 se uka</w:t>
      </w:r>
      <w:r w:rsidR="001911D7" w:rsidRPr="00DD47DF">
        <w:t xml:space="preserve">zuje, že je nadále účelné podporovat </w:t>
      </w:r>
      <w:r w:rsidRPr="00DD47DF">
        <w:t>přístup ke kapitálu pro MSP z veřejných prostředků a umožnit MSP realizaci konkurenceschopných projektů</w:t>
      </w:r>
      <w:r w:rsidR="00835369" w:rsidRPr="00DD47DF">
        <w:t xml:space="preserve">. </w:t>
      </w:r>
      <w:r w:rsidR="005B5EB6" w:rsidRPr="00DD47DF">
        <w:t>K dosažení cílů budou vyhlašovány výzvy, v rámci nichž budou stanoveny podmínky poskytnutí podpory projektům začínajících podniků a podmínky pro poskytnutí podpory na realizaci projektů rozvojových podniků</w:t>
      </w:r>
      <w:r w:rsidR="00584311" w:rsidRPr="00DD47DF">
        <w:t>. Ty</w:t>
      </w:r>
      <w:r w:rsidR="001839E9" w:rsidRPr="00DD47DF">
        <w:t xml:space="preserve"> budou náročnější na </w:t>
      </w:r>
      <w:r w:rsidR="00584311" w:rsidRPr="00DD47DF">
        <w:t>prokázání finančního zdraví žadatele a realizovatelnosti projektu, na výběrová kritéria i</w:t>
      </w:r>
      <w:r w:rsidR="001839E9" w:rsidRPr="00DD47DF">
        <w:t xml:space="preserve"> teritoriální vymezení dle výše míry nezaměstnanosti. </w:t>
      </w:r>
      <w:r w:rsidR="005B5EB6" w:rsidRPr="00DD47DF">
        <w:t xml:space="preserve">Monitoring údajů o přínosech realizace podpořených projektů bude sledován jak na úrovní začínajících podniků, tak podniků rozvojových. </w:t>
      </w:r>
      <w:r w:rsidR="009D1769" w:rsidRPr="00DD47DF">
        <w:t xml:space="preserve">Zkušenosti </w:t>
      </w:r>
      <w:r w:rsidR="00D12D06" w:rsidRPr="00DD47DF">
        <w:t>z implementace OPPI jsou blíže popsány v příloze č. 1.</w:t>
      </w:r>
    </w:p>
    <w:p w14:paraId="2FCE2C65" w14:textId="5B8FF25C" w:rsidR="009D1769" w:rsidRPr="00DD47DF" w:rsidRDefault="005368EE" w:rsidP="009D1769">
      <w:pPr>
        <w:pStyle w:val="Standardntext"/>
      </w:pPr>
      <w:r w:rsidRPr="00DD47DF">
        <w:t>Další a</w:t>
      </w:r>
      <w:r w:rsidR="00D17DDE" w:rsidRPr="00DD47DF">
        <w:t>ktivita</w:t>
      </w:r>
      <w:r w:rsidRPr="00DD47DF">
        <w:t xml:space="preserve"> SC 2.1</w:t>
      </w:r>
      <w:r w:rsidR="00D17DDE" w:rsidRPr="00DD47DF">
        <w:t xml:space="preserve"> zaměřená na podporu poradenských služeb a služeb pro </w:t>
      </w:r>
      <w:r w:rsidR="00725789" w:rsidRPr="00725789">
        <w:t>začínající a rozvojové podniky</w:t>
      </w:r>
      <w:r w:rsidR="00D17DDE" w:rsidRPr="00DD47DF">
        <w:t xml:space="preserve"> je novou aktivitou reagující na nutnost posílení sektoru dynamicky rostoucích MSP pro zlepšení výkonnosti ekonomiky ČR a </w:t>
      </w:r>
      <w:r w:rsidRPr="00DD47DF">
        <w:t xml:space="preserve">zvýšení </w:t>
      </w:r>
      <w:r w:rsidR="00D17DDE" w:rsidRPr="00DD47DF">
        <w:t>zaměstnanost</w:t>
      </w:r>
      <w:r w:rsidRPr="00DD47DF">
        <w:t>i</w:t>
      </w:r>
      <w:r w:rsidR="00D17DDE" w:rsidRPr="00DD47DF">
        <w:t>.</w:t>
      </w:r>
      <w:r w:rsidR="005B5EB6" w:rsidRPr="00DD47DF">
        <w:t xml:space="preserve"> Poradenské služby jsou dosud poskytovány v podnikatelských inkubátorech </w:t>
      </w:r>
      <w:r w:rsidR="00901B83" w:rsidRPr="00DD47DF">
        <w:t>zejména</w:t>
      </w:r>
      <w:r w:rsidR="005B5EB6" w:rsidRPr="00DD47DF">
        <w:t xml:space="preserve"> pro začínající inovační podniky.</w:t>
      </w:r>
      <w:r w:rsidR="00D17DDE" w:rsidRPr="00DD47DF">
        <w:t xml:space="preserve"> V programov</w:t>
      </w:r>
      <w:r w:rsidRPr="00DD47DF">
        <w:t>acím</w:t>
      </w:r>
      <w:r w:rsidR="00D17DDE" w:rsidRPr="00DD47DF">
        <w:t xml:space="preserve"> období 2007 – 2013 byla podpora poradenských služeb v OPPI zaměřena na přípravu inovačních studií MSP na inovace produktu, procesu, organizační a marketingové inovace. </w:t>
      </w:r>
      <w:r w:rsidR="005B5EB6" w:rsidRPr="00DD47DF">
        <w:t xml:space="preserve">Nově budou podporovány poradenské služby pro </w:t>
      </w:r>
      <w:r w:rsidR="00725789" w:rsidRPr="00725789">
        <w:t>začínající podnikatele do 3 let historie a rozvojové podniky</w:t>
      </w:r>
      <w:r w:rsidR="005B5EB6" w:rsidRPr="00DD47DF">
        <w:t xml:space="preserve"> (podnikatelský plán, základy práva, účetnictví, řízení atp.). </w:t>
      </w:r>
      <w:r w:rsidR="009D1769" w:rsidRPr="00DD47DF">
        <w:t xml:space="preserve">Poznatky z realizace dosavadních podpor poradenských služeb v OPPI, poskytovaných externími poradci MSP, jsou zohledňovány v nastavení podmínek pro přípravu realizace nové aktivity v oblasti poradenských služeb pro </w:t>
      </w:r>
      <w:r w:rsidR="00725789" w:rsidRPr="00725789">
        <w:t>začínající a rozvojové podnikatele</w:t>
      </w:r>
      <w:r w:rsidR="009D1769" w:rsidRPr="00DD47DF">
        <w:t xml:space="preserve"> </w:t>
      </w:r>
      <w:r w:rsidR="005B5EB6" w:rsidRPr="00DD47DF">
        <w:t>na celém území ČR s výjimkou území hl. města Prahy</w:t>
      </w:r>
      <w:r w:rsidR="009D1769" w:rsidRPr="00DD47DF">
        <w:t>, a to i prostřednictvím podnikatelských inkubátorů.</w:t>
      </w:r>
    </w:p>
    <w:p w14:paraId="1389EF3E" w14:textId="77777777" w:rsidR="00B37B07" w:rsidRPr="00DD47DF" w:rsidRDefault="00D6338B" w:rsidP="00D6338B">
      <w:pPr>
        <w:pStyle w:val="Standardntext"/>
      </w:pPr>
      <w:r w:rsidRPr="00DD47DF">
        <w:t>Typovými projekty v oblasti podnikatelských záměrů začínajících a rozvojových podniků, budou takové</w:t>
      </w:r>
      <w:r w:rsidR="00C610B3" w:rsidRPr="00DD47DF">
        <w:t xml:space="preserve"> projekty</w:t>
      </w:r>
      <w:r w:rsidRPr="00DD47DF">
        <w:t xml:space="preserve">, které jsou spojené s pořízením či rekonstrukcí budov, strojů a zařízení a získáním pracovního kapitálu pro zahájení či rozšíření podnikatelské činnosti začínajících podnikatelů, se zvyšováním produkční kapacity podnikatelských činností pořízením strojů a </w:t>
      </w:r>
      <w:r w:rsidRPr="00DD47DF">
        <w:lastRenderedPageBreak/>
        <w:t>zařízení a posílením pracovního</w:t>
      </w:r>
      <w:r w:rsidR="006C272E" w:rsidRPr="00DD47DF">
        <w:t xml:space="preserve"> kapitálu rozvojových podniků, </w:t>
      </w:r>
      <w:r w:rsidR="006329E9" w:rsidRPr="00DD47DF">
        <w:t xml:space="preserve">se zvyšováním kvality a efektivity poskytovaných služeb, </w:t>
      </w:r>
      <w:r w:rsidR="006C272E" w:rsidRPr="00DD47DF">
        <w:t xml:space="preserve">se </w:t>
      </w:r>
      <w:r w:rsidRPr="00DD47DF">
        <w:t>zavádění</w:t>
      </w:r>
      <w:r w:rsidR="006C272E" w:rsidRPr="00DD47DF">
        <w:t>m</w:t>
      </w:r>
      <w:r w:rsidRPr="00DD47DF">
        <w:t xml:space="preserve"> moderních technologických procesů u podnikatelských subjektů s využitím technických a užitných vlastností nových strojů a za</w:t>
      </w:r>
      <w:r w:rsidR="006C272E" w:rsidRPr="00DD47DF">
        <w:t>řízení, měřidel, hardware a software a s realizací</w:t>
      </w:r>
      <w:r w:rsidRPr="00DD47DF">
        <w:t xml:space="preserve"> automatizovaných </w:t>
      </w:r>
      <w:r w:rsidR="006C272E" w:rsidRPr="00DD47DF">
        <w:t xml:space="preserve">systémů marketingových činností, </w:t>
      </w:r>
      <w:r w:rsidRPr="00DD47DF">
        <w:t>technické přípravy výroby, ř</w:t>
      </w:r>
      <w:r w:rsidR="006C272E" w:rsidRPr="00DD47DF">
        <w:t xml:space="preserve">ízení výroby a obchodu pořizováním odpovídajícího </w:t>
      </w:r>
      <w:r w:rsidR="00F93EC1" w:rsidRPr="00DD47DF">
        <w:t xml:space="preserve">hardwaru a softwaru. </w:t>
      </w:r>
      <w:r w:rsidR="00152841" w:rsidRPr="00DD47DF">
        <w:t>Výstupem tak bud</w:t>
      </w:r>
      <w:r w:rsidR="00FB72D2" w:rsidRPr="00DD47DF">
        <w:t>ou jednotlivé podpořené podnikatelské</w:t>
      </w:r>
      <w:r w:rsidR="00152841" w:rsidRPr="00DD47DF">
        <w:t xml:space="preserve"> záměr</w:t>
      </w:r>
      <w:r w:rsidR="00FB72D2" w:rsidRPr="00DD47DF">
        <w:t>y</w:t>
      </w:r>
      <w:r w:rsidR="00152841" w:rsidRPr="00DD47DF">
        <w:t xml:space="preserve">, </w:t>
      </w:r>
      <w:r w:rsidR="009D1769" w:rsidRPr="00DD47DF">
        <w:t>jejichž</w:t>
      </w:r>
      <w:r w:rsidR="00152841" w:rsidRPr="00DD47DF">
        <w:t xml:space="preserve"> výsledky se promítnou ve střednědobém horizontu </w:t>
      </w:r>
      <w:r w:rsidR="00C610B3" w:rsidRPr="00DD47DF">
        <w:t>ekonomickými přínosy a nově vytvořenými pracovními</w:t>
      </w:r>
      <w:r w:rsidR="00152841" w:rsidRPr="00DD47DF">
        <w:t xml:space="preserve"> míst</w:t>
      </w:r>
      <w:r w:rsidR="00C610B3" w:rsidRPr="00DD47DF">
        <w:t>y</w:t>
      </w:r>
      <w:r w:rsidR="00152841" w:rsidRPr="00DD47DF">
        <w:t>.</w:t>
      </w:r>
    </w:p>
    <w:p w14:paraId="2DABDB1E" w14:textId="7DA7D049" w:rsidR="00D43022" w:rsidRPr="00DD47DF" w:rsidRDefault="0007086E" w:rsidP="009D1769">
      <w:pPr>
        <w:pStyle w:val="Standardntext"/>
        <w:rPr>
          <w:rFonts w:cs="Arial"/>
        </w:rPr>
      </w:pPr>
      <w:r w:rsidRPr="00DD47DF">
        <w:t xml:space="preserve">V oblasti poskytování poradenských služeb a služeb pro </w:t>
      </w:r>
      <w:r w:rsidR="00534189" w:rsidRPr="00534189">
        <w:t>začínající a rozvojové podnikatele</w:t>
      </w:r>
      <w:r w:rsidRPr="00DD47DF">
        <w:t xml:space="preserve"> půjde o služby</w:t>
      </w:r>
      <w:r w:rsidR="00584311" w:rsidRPr="00DD47DF">
        <w:t xml:space="preserve"> usnadňující zahájení podnikatelské činnosti</w:t>
      </w:r>
      <w:r w:rsidRPr="00DD47DF">
        <w:t xml:space="preserve"> zaměřené zejména na příprav</w:t>
      </w:r>
      <w:r w:rsidR="00C610B3" w:rsidRPr="00DD47DF">
        <w:t>u</w:t>
      </w:r>
      <w:r w:rsidR="00B37B07" w:rsidRPr="00DD47DF">
        <w:t xml:space="preserve"> podnikatelského plánu, základy</w:t>
      </w:r>
      <w:r w:rsidRPr="00DD47DF">
        <w:t xml:space="preserve"> práva a účetnictví, možnost</w:t>
      </w:r>
      <w:r w:rsidR="00B37B07" w:rsidRPr="00DD47DF">
        <w:t>i</w:t>
      </w:r>
      <w:r w:rsidRPr="00DD47DF">
        <w:t xml:space="preserve"> získání finančních </w:t>
      </w:r>
      <w:r w:rsidR="00B37B07" w:rsidRPr="00DD47DF">
        <w:t>prostředků k podnikání a základy</w:t>
      </w:r>
      <w:r w:rsidRPr="00DD47DF">
        <w:t xml:space="preserve"> finančního řízení podniku, finanční analýzy řízení podniku, rozvoj vnitropodnikového řízení, optimalizační systémy rozvoje firem apod.</w:t>
      </w:r>
      <w:r w:rsidR="00B37B07" w:rsidRPr="00DD47DF">
        <w:t xml:space="preserve"> </w:t>
      </w:r>
      <w:r w:rsidR="00B37B07" w:rsidRPr="00DD47DF">
        <w:rPr>
          <w:rFonts w:cs="Arial"/>
        </w:rPr>
        <w:t xml:space="preserve">Výstupem tak bude počet </w:t>
      </w:r>
      <w:r w:rsidR="00584311" w:rsidRPr="00DD47DF">
        <w:t>projektů MSP, kterým byly poskytnuty poradenské služby</w:t>
      </w:r>
      <w:r w:rsidR="00D43022" w:rsidRPr="00DD47DF">
        <w:rPr>
          <w:rFonts w:cs="Arial"/>
        </w:rPr>
        <w:t>.</w:t>
      </w:r>
      <w:r w:rsidR="00B37B07" w:rsidRPr="00DD47DF">
        <w:rPr>
          <w:rFonts w:cs="Arial"/>
        </w:rPr>
        <w:t xml:space="preserve"> </w:t>
      </w:r>
      <w:r w:rsidR="00D43022" w:rsidRPr="00DD47DF">
        <w:rPr>
          <w:rFonts w:cs="Arial"/>
        </w:rPr>
        <w:t xml:space="preserve">Výsledky se </w:t>
      </w:r>
      <w:r w:rsidR="009D1769" w:rsidRPr="00DD47DF">
        <w:rPr>
          <w:rFonts w:cs="Arial"/>
        </w:rPr>
        <w:t xml:space="preserve">na úrovni </w:t>
      </w:r>
      <w:r w:rsidR="00D43022" w:rsidRPr="00DD47DF">
        <w:rPr>
          <w:rFonts w:cs="Arial"/>
        </w:rPr>
        <w:t>projektů budou</w:t>
      </w:r>
      <w:r w:rsidR="009D1769" w:rsidRPr="00DD47DF">
        <w:rPr>
          <w:rFonts w:cs="Arial"/>
        </w:rPr>
        <w:t xml:space="preserve"> promítat </w:t>
      </w:r>
      <w:r w:rsidR="00D43022" w:rsidRPr="00DD47DF">
        <w:rPr>
          <w:rFonts w:cs="Arial"/>
        </w:rPr>
        <w:t xml:space="preserve">do </w:t>
      </w:r>
      <w:r w:rsidR="009D1769" w:rsidRPr="00DD47DF">
        <w:rPr>
          <w:rFonts w:cs="Arial"/>
        </w:rPr>
        <w:t>počtu podniků využívajících podpůrné služby inovační infrastruktury</w:t>
      </w:r>
      <w:r w:rsidR="00D43022" w:rsidRPr="00DD47DF">
        <w:rPr>
          <w:rFonts w:cs="Arial"/>
        </w:rPr>
        <w:t>.</w:t>
      </w:r>
      <w:r w:rsidR="009D1769" w:rsidRPr="00DD47DF">
        <w:rPr>
          <w:rFonts w:cs="Arial"/>
        </w:rPr>
        <w:t xml:space="preserve"> </w:t>
      </w:r>
    </w:p>
    <w:p w14:paraId="3501CD37" w14:textId="77777777" w:rsidR="005C1834" w:rsidRPr="00DD47DF" w:rsidRDefault="005C1834" w:rsidP="009D1769">
      <w:pPr>
        <w:pStyle w:val="Standardntext"/>
        <w:rPr>
          <w:rFonts w:cs="Arial"/>
        </w:rPr>
      </w:pPr>
      <w:r w:rsidRPr="00DD47DF">
        <w:t xml:space="preserve">V SC 2.1 bude využito obou nástrojů podpory, tzn. finančních nástrojů </w:t>
      </w:r>
      <w:r w:rsidR="00FD57C0" w:rsidRPr="00DD47DF">
        <w:t>na základě předběžného posouzení podle čl. 37 odst. 2 obecného nařízení</w:t>
      </w:r>
      <w:r w:rsidRPr="00DD47DF">
        <w:t xml:space="preserve"> i dotací. </w:t>
      </w:r>
      <w:r w:rsidR="003D6734" w:rsidRPr="00DD47DF">
        <w:t xml:space="preserve">Základní rámec režimu rizikového kapitálu je již navržen na základě zkušeností z období 2007-2013 a bude dále diskutován s partnery, zejména soukromými investory, zástupci inovační infrastruktury, sdruženími malých a středních podniků a zpracovatelem předběžného posouzení finančních nástrojů. Hlavní riziko, které je třeba zvážit na základě </w:t>
      </w:r>
      <w:r w:rsidR="00D12D06" w:rsidRPr="00DD47DF">
        <w:t xml:space="preserve">dosavadních </w:t>
      </w:r>
      <w:r w:rsidR="003D6734" w:rsidRPr="00DD47DF">
        <w:t>zkušenost</w:t>
      </w:r>
      <w:r w:rsidR="00D12D06" w:rsidRPr="00DD47DF">
        <w:t>í</w:t>
      </w:r>
      <w:r w:rsidR="003D6734" w:rsidRPr="00DD47DF">
        <w:t xml:space="preserve">, je časový rámec pro přípravu projektu. Mohou nastat neočekávaná zpoždění jako </w:t>
      </w:r>
      <w:r w:rsidR="00584311" w:rsidRPr="00DD47DF">
        <w:t xml:space="preserve">např. </w:t>
      </w:r>
      <w:r w:rsidR="003D6734" w:rsidRPr="00DD47DF">
        <w:t xml:space="preserve">zdlouhavá správní řízení atd. </w:t>
      </w:r>
      <w:r w:rsidR="00584311" w:rsidRPr="00DD47DF">
        <w:t>R</w:t>
      </w:r>
      <w:r w:rsidRPr="00DD47DF">
        <w:t xml:space="preserve">ealizace podnikatelských záměrů začínajících podniků a rozvojových podniků </w:t>
      </w:r>
      <w:r w:rsidR="00584311" w:rsidRPr="00DD47DF">
        <w:t>bude podporována prostřednictvím</w:t>
      </w:r>
      <w:r w:rsidRPr="00DD47DF">
        <w:t xml:space="preserve"> finančních nástrojů a dotací </w:t>
      </w:r>
      <w:r w:rsidR="00514FEC" w:rsidRPr="00DD47DF">
        <w:t>MSP zejména</w:t>
      </w:r>
      <w:r w:rsidRPr="00DD47DF">
        <w:t xml:space="preserve"> pro mikropodniky, zatímco </w:t>
      </w:r>
      <w:r w:rsidR="00584311" w:rsidRPr="00DD47DF">
        <w:t>poradenské</w:t>
      </w:r>
      <w:r w:rsidRPr="00DD47DF">
        <w:t xml:space="preserve"> služb</w:t>
      </w:r>
      <w:r w:rsidR="00584311" w:rsidRPr="00DD47DF">
        <w:t>y</w:t>
      </w:r>
      <w:r w:rsidRPr="00DD47DF">
        <w:t xml:space="preserve"> pro začínající podniky </w:t>
      </w:r>
      <w:r w:rsidR="00584311" w:rsidRPr="00DD47DF">
        <w:t>budou podporovány</w:t>
      </w:r>
      <w:r w:rsidRPr="00DD47DF">
        <w:t xml:space="preserve"> pouze </w:t>
      </w:r>
      <w:r w:rsidR="00584311" w:rsidRPr="00DD47DF">
        <w:t xml:space="preserve">formou </w:t>
      </w:r>
      <w:r w:rsidRPr="00DD47DF">
        <w:t>dotací.</w:t>
      </w:r>
    </w:p>
    <w:p w14:paraId="212A7D1E" w14:textId="16502413" w:rsidR="00F01494" w:rsidRPr="00DD47DF" w:rsidRDefault="000B1647" w:rsidP="0007086E">
      <w:pPr>
        <w:pStyle w:val="Standardntext"/>
      </w:pPr>
      <w:r w:rsidRPr="00DD47DF">
        <w:t xml:space="preserve">Poskytování podpory začínajícím MSP formou </w:t>
      </w:r>
      <w:r w:rsidR="009D73F6" w:rsidRPr="00DD47DF">
        <w:t>finančních nástrojů</w:t>
      </w:r>
      <w:r w:rsidR="00C34AE7" w:rsidRPr="00DD47DF">
        <w:t xml:space="preserve"> </w:t>
      </w:r>
      <w:r w:rsidRPr="00DD47DF">
        <w:t xml:space="preserve">v aktivitě SC 2.1 </w:t>
      </w:r>
      <w:r w:rsidR="00C34AE7" w:rsidRPr="00DD47DF">
        <w:t>„Realizace podnikatelských záměrů začínajících podniků (do 3 let) prostřednictvím vhodných finančních nástrojů“</w:t>
      </w:r>
      <w:r w:rsidR="006E14F6" w:rsidRPr="00DD47DF">
        <w:t xml:space="preserve"> vycház</w:t>
      </w:r>
      <w:r w:rsidR="00C34AE7" w:rsidRPr="00DD47DF">
        <w:t>í</w:t>
      </w:r>
      <w:r w:rsidR="006E14F6" w:rsidRPr="00DD47DF">
        <w:t xml:space="preserve"> </w:t>
      </w:r>
      <w:r w:rsidRPr="00DD47DF">
        <w:t xml:space="preserve">bezprostředně </w:t>
      </w:r>
      <w:r w:rsidR="006E14F6" w:rsidRPr="00DD47DF">
        <w:t>z potřeb zohledněných v Národní RIS3 strategii a</w:t>
      </w:r>
      <w:r w:rsidR="009B5D47" w:rsidRPr="00DD47DF">
        <w:t xml:space="preserve"> m</w:t>
      </w:r>
      <w:r w:rsidR="00C34AE7" w:rsidRPr="00DD47DF">
        <w:t>á</w:t>
      </w:r>
      <w:r w:rsidR="009B5D47" w:rsidRPr="00DD47DF">
        <w:t xml:space="preserve"> přímou vazbu na strategický cíl</w:t>
      </w:r>
      <w:r w:rsidR="00F01494" w:rsidRPr="00DD47DF">
        <w:t xml:space="preserve"> Národní </w:t>
      </w:r>
      <w:r w:rsidR="002B0AB0" w:rsidRPr="00DD47DF">
        <w:t>RI</w:t>
      </w:r>
      <w:r w:rsidR="00F01494" w:rsidRPr="00DD47DF">
        <w:t>S3 strategie</w:t>
      </w:r>
      <w:r w:rsidRPr="00DD47DF">
        <w:t xml:space="preserve"> </w:t>
      </w:r>
      <w:r w:rsidR="00F01494" w:rsidRPr="00DD47DF">
        <w:t>„Zvýšit míru podnikání ve společnosti s důrazem na zakládání nových rychle rostoucích firem“.</w:t>
      </w:r>
      <w:r w:rsidR="000C7B9A" w:rsidRPr="00DD47DF">
        <w:t xml:space="preserve"> </w:t>
      </w:r>
      <w:r w:rsidR="00EB2A24" w:rsidRPr="00DD47DF">
        <w:t>Druhá aktivita SC2.1 spadá rovněž pod výše uvedený strategický cíl</w:t>
      </w:r>
      <w:r w:rsidRPr="00DD47DF">
        <w:t xml:space="preserve"> RIS3. </w:t>
      </w:r>
      <w:r w:rsidR="000C7B9A" w:rsidRPr="00DD47DF">
        <w:t>Jde především o vzájemnou provázanost s typovými aktivitami/projekty/operacemi specifických cílů</w:t>
      </w:r>
      <w:r w:rsidRPr="00DD47DF">
        <w:t xml:space="preserve"> </w:t>
      </w:r>
      <w:r w:rsidR="000C7B9A" w:rsidRPr="00DD47DF">
        <w:t>A2.1 „Zvýšit počet nových firem usilujících o inovace, zejména vyšších řádů</w:t>
      </w:r>
      <w:r w:rsidR="00044470" w:rsidRPr="00DD47DF">
        <w:t xml:space="preserve">“ </w:t>
      </w:r>
      <w:r w:rsidRPr="00DD47DF">
        <w:t xml:space="preserve">(zde jde o poskytování poradenských služeb </w:t>
      </w:r>
      <w:r w:rsidR="003E6BDD" w:rsidRPr="003E6BDD">
        <w:t>začínajícím a rozvojovým MSP např.</w:t>
      </w:r>
      <w:r w:rsidRPr="00DD47DF">
        <w:t xml:space="preserve"> prostřednictvím podnikatelských inkubátorů</w:t>
      </w:r>
      <w:r w:rsidR="003E6BDD">
        <w:t xml:space="preserve">, </w:t>
      </w:r>
      <w:r w:rsidRPr="00DD47DF">
        <w:t>inovačních center</w:t>
      </w:r>
      <w:r w:rsidR="003E6BDD">
        <w:t xml:space="preserve"> </w:t>
      </w:r>
      <w:r w:rsidR="003E6BDD" w:rsidRPr="003E6BDD">
        <w:t>apod.</w:t>
      </w:r>
      <w:r w:rsidRPr="00DD47DF">
        <w:t xml:space="preserve">) </w:t>
      </w:r>
      <w:r w:rsidR="00044470" w:rsidRPr="00DD47DF">
        <w:t>a</w:t>
      </w:r>
      <w:r w:rsidR="000C7B9A" w:rsidRPr="00DD47DF">
        <w:t xml:space="preserve"> </w:t>
      </w:r>
      <w:r w:rsidRPr="00DD47DF">
        <w:t xml:space="preserve">dále </w:t>
      </w:r>
      <w:r w:rsidR="000C7B9A" w:rsidRPr="00DD47DF">
        <w:t xml:space="preserve">A2.2 „Zlepšit dostupnost vnějšího financování pro začínající podnikatele a firmy s krátkou historií“ Národní </w:t>
      </w:r>
      <w:r w:rsidR="002B0AB0" w:rsidRPr="00DD47DF">
        <w:t>RI</w:t>
      </w:r>
      <w:r w:rsidR="000C7B9A" w:rsidRPr="00DD47DF">
        <w:t>S3 strategie.</w:t>
      </w:r>
    </w:p>
    <w:p w14:paraId="760E9BF8" w14:textId="77777777" w:rsidR="00527A16" w:rsidRPr="00DD47DF" w:rsidRDefault="00527A16" w:rsidP="00757916">
      <w:pPr>
        <w:pStyle w:val="Standardntext"/>
      </w:pPr>
      <w:r w:rsidRPr="00DD47DF">
        <w:rPr>
          <w:b/>
        </w:rPr>
        <w:t xml:space="preserve">Hlavní cílová skupina: </w:t>
      </w:r>
      <w:r w:rsidR="00E512C6" w:rsidRPr="00DD47DF">
        <w:t>Podnikatelské subjekty (malé a střední podniky).</w:t>
      </w:r>
    </w:p>
    <w:p w14:paraId="29828284" w14:textId="77777777" w:rsidR="00835369" w:rsidRPr="00DD47DF" w:rsidRDefault="00527A16" w:rsidP="00757916">
      <w:pPr>
        <w:pStyle w:val="Standardntext"/>
      </w:pPr>
      <w:r w:rsidRPr="00DD47DF">
        <w:rPr>
          <w:b/>
        </w:rPr>
        <w:t xml:space="preserve">Cílové území: </w:t>
      </w:r>
      <w:r w:rsidRPr="00DD47DF">
        <w:t>Území České republiky, mimo území hl. města Prahy</w:t>
      </w:r>
      <w:r w:rsidR="0066347A" w:rsidRPr="00DD47DF">
        <w:t xml:space="preserve">. </w:t>
      </w:r>
      <w:r w:rsidR="008819EE" w:rsidRPr="00DD47DF">
        <w:t xml:space="preserve">Z hlediska územní dimenze </w:t>
      </w:r>
      <w:r w:rsidR="00A46CD6" w:rsidRPr="00DD47DF">
        <w:t>bude tento specifický cíl zaměřen na hospodářsky problémov</w:t>
      </w:r>
      <w:r w:rsidR="00C859E0" w:rsidRPr="00DD47DF">
        <w:t>é regiony</w:t>
      </w:r>
      <w:r w:rsidR="00A46CD6" w:rsidRPr="00DD47DF">
        <w:t xml:space="preserve"> a území s vysokou mírou nezaměstnaností a dále urbánní území, kde se předpokládá zapojení do integrovaného nástroje ITI. Z tohoto pohledu je vhodné odlišit územní přístupy rovněž dle formy podpory; zatímco v případě finančních nástrojů se předpokládá plošné směřování intervencí, v případě dotací MSP</w:t>
      </w:r>
      <w:r w:rsidR="00584311" w:rsidRPr="00DD47DF">
        <w:t xml:space="preserve"> budou vyhlašovány výzvy na podporu projektů formou dotací prioritně</w:t>
      </w:r>
      <w:r w:rsidR="00A46CD6" w:rsidRPr="00DD47DF">
        <w:t xml:space="preserve"> pro mikropodniky </w:t>
      </w:r>
      <w:r w:rsidR="00584311" w:rsidRPr="00DD47DF">
        <w:t>s orientací</w:t>
      </w:r>
      <w:r w:rsidR="00A46CD6" w:rsidRPr="00DD47DF">
        <w:t xml:space="preserve"> na hospodářsky problémov</w:t>
      </w:r>
      <w:r w:rsidR="00C859E0" w:rsidRPr="00DD47DF">
        <w:t>é regiony</w:t>
      </w:r>
      <w:r w:rsidR="00A46CD6" w:rsidRPr="00DD47DF">
        <w:t xml:space="preserve"> a území s vysokou mírou nezaměstnanost</w:t>
      </w:r>
      <w:r w:rsidR="00D12D06" w:rsidRPr="00DD47DF">
        <w:t xml:space="preserve">i. </w:t>
      </w:r>
    </w:p>
    <w:p w14:paraId="0ED5BA87" w14:textId="471273FD" w:rsidR="00527A16" w:rsidRPr="00DD47DF" w:rsidRDefault="00527A16" w:rsidP="00757916">
      <w:pPr>
        <w:pStyle w:val="Standardntext"/>
      </w:pPr>
      <w:r w:rsidRPr="00DD47DF">
        <w:rPr>
          <w:b/>
        </w:rPr>
        <w:lastRenderedPageBreak/>
        <w:t xml:space="preserve">Typy příjemců: </w:t>
      </w:r>
      <w:r w:rsidR="00E512C6" w:rsidRPr="00DD47DF">
        <w:t>Podnikatelské su</w:t>
      </w:r>
      <w:r w:rsidR="006B4793" w:rsidRPr="00DD47DF">
        <w:t>bjekty (malé a střední podniky)</w:t>
      </w:r>
      <w:r w:rsidR="0066347A" w:rsidRPr="00DD47DF">
        <w:t xml:space="preserve"> ve výrobě a službách, </w:t>
      </w:r>
      <w:r w:rsidR="00F94571" w:rsidRPr="00DD47DF">
        <w:t>provozovatelé inovační infra</w:t>
      </w:r>
      <w:r w:rsidR="00BC2E13" w:rsidRPr="00DD47DF">
        <w:t>struktury</w:t>
      </w:r>
      <w:r w:rsidR="005C1834" w:rsidRPr="00DD47DF">
        <w:t xml:space="preserve"> jako jsou podnikatelské inkubátory, vědeckotechnické parky</w:t>
      </w:r>
      <w:r w:rsidR="001118FB" w:rsidRPr="00DD47DF">
        <w:t xml:space="preserve"> a inovační centra</w:t>
      </w:r>
      <w:r w:rsidR="00DD1A06" w:rsidRPr="00DD47DF">
        <w:t xml:space="preserve"> </w:t>
      </w:r>
      <w:r w:rsidR="006B4793" w:rsidRPr="00DD47DF">
        <w:t>(pouze pro aktivity poskytování poradenských služeb a služeb pro začínající</w:t>
      </w:r>
      <w:r w:rsidR="009D3179">
        <w:t xml:space="preserve"> </w:t>
      </w:r>
      <w:r w:rsidR="009D3179" w:rsidRPr="009D3179">
        <w:t>a rozvojové</w:t>
      </w:r>
      <w:r w:rsidR="006B4793" w:rsidRPr="00DD47DF">
        <w:t xml:space="preserve"> podniky)</w:t>
      </w:r>
      <w:r w:rsidR="0066347A" w:rsidRPr="00DD47DF">
        <w:t xml:space="preserve">; </w:t>
      </w:r>
      <w:r w:rsidR="007459FF" w:rsidRPr="00DD47DF">
        <w:t xml:space="preserve">v rámci tohoto specifického cíle budou </w:t>
      </w:r>
      <w:r w:rsidR="0066347A" w:rsidRPr="00DD47DF">
        <w:t xml:space="preserve">příjemci podpory </w:t>
      </w:r>
      <w:r w:rsidR="007459FF" w:rsidRPr="00DD47DF">
        <w:t>nezemědělští podnikatelé s výstupem projektu mimo položky</w:t>
      </w:r>
      <w:r w:rsidR="004038F0" w:rsidRPr="00DD47DF">
        <w:t xml:space="preserve"> obsažené v dodatku Smlouvy (o EU)</w:t>
      </w:r>
      <w:r w:rsidR="00112C3A" w:rsidRPr="00DD47DF">
        <w:t>, z</w:t>
      </w:r>
      <w:r w:rsidR="007459FF" w:rsidRPr="00DD47DF">
        <w:t>ároveň budou podporovány projekty zemědělských podnikatelů zaměřené na podnikatelské poradenství (nikoliv poradenství do zemědělské činnosti)</w:t>
      </w:r>
      <w:r w:rsidR="00112C3A" w:rsidRPr="00DD47DF">
        <w:t xml:space="preserve">. </w:t>
      </w:r>
    </w:p>
    <w:p w14:paraId="386185D7" w14:textId="77777777" w:rsidR="00F27129" w:rsidRPr="00DD47DF" w:rsidRDefault="00BA6461" w:rsidP="005F43DF">
      <w:pPr>
        <w:pStyle w:val="Nadpis5"/>
        <w:numPr>
          <w:ilvl w:val="4"/>
          <w:numId w:val="16"/>
        </w:numPr>
      </w:pPr>
      <w:r w:rsidRPr="00DD47DF">
        <w:t>Hlavní zásady pro výběr operací</w:t>
      </w:r>
    </w:p>
    <w:p w14:paraId="105856CF" w14:textId="77777777" w:rsidR="00FE3385" w:rsidRPr="00DD47DF" w:rsidRDefault="00FE3385" w:rsidP="00A3171C">
      <w:pPr>
        <w:pStyle w:val="Standardntext"/>
      </w:pPr>
      <w:r w:rsidRPr="00DD47DF">
        <w:t>Společné obecné zásady pro výběr operací pro všechny investiční priority celého OP PIK jsou uvedeny v prioritní ose 1 v oddíle 2.A.6.2.</w:t>
      </w:r>
    </w:p>
    <w:p w14:paraId="2807048A" w14:textId="77777777" w:rsidR="00794BE8" w:rsidRPr="00DD47DF" w:rsidRDefault="00794BE8" w:rsidP="00794BE8">
      <w:pPr>
        <w:pStyle w:val="Standardntext"/>
      </w:pPr>
      <w:r w:rsidRPr="00DD47DF">
        <w:t>V rámci výběru a hodnocení projektů budou posuzována především následující kritéria:</w:t>
      </w:r>
    </w:p>
    <w:p w14:paraId="3045E498" w14:textId="77777777" w:rsidR="00794BE8" w:rsidRPr="00DD47DF" w:rsidRDefault="00794BE8" w:rsidP="00D927A2">
      <w:pPr>
        <w:pStyle w:val="Standardntext"/>
        <w:numPr>
          <w:ilvl w:val="0"/>
          <w:numId w:val="43"/>
        </w:numPr>
      </w:pPr>
      <w:r w:rsidRPr="00DD47DF">
        <w:t xml:space="preserve">Kvalita a potřebnost projektu </w:t>
      </w:r>
      <w:r w:rsidR="00A438A6" w:rsidRPr="00DD47DF">
        <w:t xml:space="preserve">s ohledem na </w:t>
      </w:r>
      <w:r w:rsidR="004E1B49" w:rsidRPr="00DD47DF">
        <w:t>jeho</w:t>
      </w:r>
      <w:r w:rsidR="00A438A6" w:rsidRPr="00DD47DF">
        <w:t xml:space="preserve"> předpokládaný ekonomický přínos, nově vytvořená pracovní místa apod.</w:t>
      </w:r>
    </w:p>
    <w:p w14:paraId="045F797C" w14:textId="77777777" w:rsidR="00A438A6" w:rsidRPr="00DD47DF" w:rsidRDefault="00A438A6" w:rsidP="00D927A2">
      <w:pPr>
        <w:pStyle w:val="Standardntext"/>
        <w:numPr>
          <w:ilvl w:val="0"/>
          <w:numId w:val="43"/>
        </w:numPr>
      </w:pPr>
      <w:r w:rsidRPr="00DD47DF">
        <w:rPr>
          <w:iCs/>
        </w:rPr>
        <w:t>Projekty, které svou realizací prokáž</w:t>
      </w:r>
      <w:r w:rsidR="00634DCF" w:rsidRPr="00DD47DF">
        <w:rPr>
          <w:iCs/>
        </w:rPr>
        <w:t>ou</w:t>
      </w:r>
      <w:r w:rsidRPr="00DD47DF">
        <w:rPr>
          <w:iCs/>
        </w:rPr>
        <w:t xml:space="preserve"> vytvoření, udržitelnost nových pracovních míst a zaměstnání osob znevýhodněných na trhu práce (osoby se zdravotním postižením, matky s dětmi a další pečující osoby, senioři, příslušníci etnických menšin, včetně romské menšiny, cizinci, atd.) budou bonifikovány.</w:t>
      </w:r>
    </w:p>
    <w:p w14:paraId="5DC42A7D" w14:textId="77777777" w:rsidR="00794BE8" w:rsidRPr="00DD47DF" w:rsidRDefault="001963EC" w:rsidP="00D927A2">
      <w:pPr>
        <w:pStyle w:val="Standardntext"/>
        <w:numPr>
          <w:ilvl w:val="0"/>
          <w:numId w:val="43"/>
        </w:numPr>
      </w:pPr>
      <w:r w:rsidRPr="00DD47DF">
        <w:t>Soulad projektu s</w:t>
      </w:r>
      <w:r w:rsidR="00BA4E72" w:rsidRPr="00DD47DF">
        <w:t xml:space="preserve"> </w:t>
      </w:r>
      <w:r w:rsidRPr="00DD47DF">
        <w:t xml:space="preserve">územní dimenzí a uplatněním integrovaných </w:t>
      </w:r>
      <w:r w:rsidR="009D1769" w:rsidRPr="00DD47DF">
        <w:t>nástrojů</w:t>
      </w:r>
      <w:r w:rsidRPr="00DD47DF">
        <w:t xml:space="preserve"> (ITI) v rámci této investiční priority</w:t>
      </w:r>
      <w:r w:rsidR="00D23729" w:rsidRPr="00DD47DF">
        <w:t xml:space="preserve"> (viz </w:t>
      </w:r>
      <w:r w:rsidR="00D23729" w:rsidRPr="00DD47DF">
        <w:rPr>
          <w:i/>
        </w:rPr>
        <w:t>Cílové území</w:t>
      </w:r>
      <w:r w:rsidR="00D23729" w:rsidRPr="00DD47DF">
        <w:t xml:space="preserve"> v</w:t>
      </w:r>
      <w:r w:rsidR="00C63CF5" w:rsidRPr="00DD47DF">
        <w:t> oddíle 2.A.6.1 a dále oddíl 4</w:t>
      </w:r>
      <w:r w:rsidR="00D23729" w:rsidRPr="00DD47DF">
        <w:t>)</w:t>
      </w:r>
      <w:r w:rsidRPr="00DD47DF">
        <w:t>.</w:t>
      </w:r>
      <w:r w:rsidR="00794BE8" w:rsidRPr="00DD47DF">
        <w:t> </w:t>
      </w:r>
    </w:p>
    <w:p w14:paraId="499EF033" w14:textId="77777777" w:rsidR="00FE3385" w:rsidRPr="00DD47DF" w:rsidRDefault="00FE3385" w:rsidP="00D927A2">
      <w:pPr>
        <w:pStyle w:val="Standardntext"/>
        <w:numPr>
          <w:ilvl w:val="0"/>
          <w:numId w:val="43"/>
        </w:numPr>
      </w:pPr>
      <w:r w:rsidRPr="00DD47DF">
        <w:t>Shoda relevantních projektů s Národní RIS3 strategií bude ověřena v rámci hodnocení projektu, a to z hlediska naplňování výběrových kritérií definovaných v příslušných výzvách.</w:t>
      </w:r>
    </w:p>
    <w:p w14:paraId="7171B8DB" w14:textId="77777777" w:rsidR="00794BE8" w:rsidRPr="00DD47DF" w:rsidRDefault="00794BE8" w:rsidP="00D927A2">
      <w:pPr>
        <w:pStyle w:val="Standardntext"/>
        <w:numPr>
          <w:ilvl w:val="0"/>
          <w:numId w:val="43"/>
        </w:numPr>
      </w:pPr>
      <w:r w:rsidRPr="00DD47DF">
        <w:t xml:space="preserve">Soulad projektu s horizontálními principy, mezi něž patří udržitelný rozvoj, rovné příležitosti a ochrana před diskriminací. Projekt, který bude v rozporu s těmito principy, nebude v rámci OP PIK podpořen (blíže viz oddíl 11). </w:t>
      </w:r>
    </w:p>
    <w:p w14:paraId="32CD8BB7" w14:textId="77777777" w:rsidR="00794BE8" w:rsidRPr="00DD47DF" w:rsidRDefault="00637CF8" w:rsidP="00D927A2">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1275C386" w14:textId="7E440E7E" w:rsidR="00794BE8" w:rsidRPr="00DD47DF" w:rsidRDefault="008F732B" w:rsidP="008F732B">
      <w:pPr>
        <w:pStyle w:val="Standardntext"/>
        <w:numPr>
          <w:ilvl w:val="0"/>
          <w:numId w:val="43"/>
        </w:numPr>
      </w:pPr>
      <w:r w:rsidRPr="008F732B">
        <w:t>V případě podpory formou finančních nástrojů bude výběr operací a příjemců proveden ŘO podle výběrových kritérií schválených MV OP PIK, v souladu s výsledky předběžného posouzení FN. Výběr konečných příjemců bude provádět správce finančního nástroje.</w:t>
      </w:r>
    </w:p>
    <w:p w14:paraId="4ADAAF90" w14:textId="77777777" w:rsidR="00346C12" w:rsidRPr="00DD47DF" w:rsidRDefault="00BA6461" w:rsidP="005F43DF">
      <w:pPr>
        <w:pStyle w:val="Nadpis5"/>
        <w:numPr>
          <w:ilvl w:val="4"/>
          <w:numId w:val="16"/>
        </w:numPr>
        <w:rPr>
          <w:rFonts w:cs="Calibri"/>
        </w:rPr>
      </w:pPr>
      <w:r w:rsidRPr="00DD47DF">
        <w:t xml:space="preserve">Plánované využití finančních nástrojů </w:t>
      </w:r>
    </w:p>
    <w:p w14:paraId="428E16E2" w14:textId="77777777" w:rsidR="00527A16" w:rsidRPr="00DD47DF" w:rsidRDefault="00806FCA" w:rsidP="00AE26A2">
      <w:pPr>
        <w:pStyle w:val="Standardntext"/>
      </w:pPr>
      <w:r w:rsidRPr="00DD47DF">
        <w:t xml:space="preserve">Při provádění této investiční priority budou koneční příjemci podpořeni finančními nástroji. </w:t>
      </w:r>
      <w:r w:rsidR="000558FE" w:rsidRPr="00DD47DF">
        <w:t>Detaily stanoví Řídící orgán OP PIK na základě předběžného posouzení finančních nástrojů OP PIK dle čl. 37 odst. 2 obecného nařízení, případně jeho revize podle čl. 37 odst. 2 písm. g) obecného nařízení.</w:t>
      </w:r>
      <w:r w:rsidRPr="00DD47DF">
        <w:t xml:space="preserve"> </w:t>
      </w:r>
      <w:r w:rsidR="001049C5" w:rsidRPr="00DD47DF">
        <w:t>Předběžné posouzení finančních nástrojů musí být dokončeno dříve, než řídicí orgán rozhodne, že finanční nástroj obdrží příspěvek z programu.</w:t>
      </w:r>
    </w:p>
    <w:p w14:paraId="6010A155" w14:textId="77777777" w:rsidR="00346C12" w:rsidRPr="00DD47DF" w:rsidRDefault="00BA6461" w:rsidP="005F43DF">
      <w:pPr>
        <w:pStyle w:val="Nadpis5"/>
        <w:numPr>
          <w:ilvl w:val="4"/>
          <w:numId w:val="16"/>
        </w:numPr>
      </w:pPr>
      <w:r w:rsidRPr="00DD47DF">
        <w:lastRenderedPageBreak/>
        <w:t>Plánované využití velkých projektů (použije-li se)</w:t>
      </w:r>
    </w:p>
    <w:p w14:paraId="790A33C9" w14:textId="77777777" w:rsidR="008B5752" w:rsidRPr="00DD47DF" w:rsidRDefault="008B5752" w:rsidP="008B5752">
      <w:pPr>
        <w:pStyle w:val="Standardntext"/>
      </w:pPr>
      <w:r w:rsidRPr="00DD47DF">
        <w:t xml:space="preserve">Velké projekty ve smyslu čl. </w:t>
      </w:r>
      <w:r w:rsidR="006B7890" w:rsidRPr="00DD47DF">
        <w:t>10</w:t>
      </w:r>
      <w:r w:rsidRPr="00DD47DF">
        <w:t>0 obecného nařízení nejsou plánovány.</w:t>
      </w:r>
    </w:p>
    <w:p w14:paraId="1771942B" w14:textId="77777777" w:rsidR="00346C12" w:rsidRPr="00DD47DF" w:rsidRDefault="00BA6461" w:rsidP="005F43DF">
      <w:pPr>
        <w:pStyle w:val="Nadpis5"/>
        <w:numPr>
          <w:ilvl w:val="4"/>
          <w:numId w:val="16"/>
        </w:numPr>
      </w:pPr>
      <w:r w:rsidRPr="00DD47DF">
        <w:t>Ukazatele výstupů podle investiční priority a případně podle kategorie regionů</w:t>
      </w:r>
    </w:p>
    <w:p w14:paraId="7B4DE9B1" w14:textId="77777777" w:rsidR="00B40D97" w:rsidRPr="00DD47DF" w:rsidRDefault="00B40D97" w:rsidP="00D030DD">
      <w:pPr>
        <w:pStyle w:val="Titulek"/>
        <w:keepNext/>
        <w:keepLines/>
        <w:rPr>
          <w:rFonts w:cs="Calibri"/>
        </w:rPr>
      </w:pPr>
      <w:r w:rsidRPr="00DD47DF">
        <w:rPr>
          <w:rFonts w:cs="Calibri"/>
        </w:rPr>
        <w:t>Tabulka</w:t>
      </w:r>
      <w:r w:rsidR="00505E76" w:rsidRPr="00DD47DF">
        <w:rPr>
          <w:rFonts w:cs="Calibri"/>
        </w:rPr>
        <w:t xml:space="preserve"> </w:t>
      </w:r>
      <w:r w:rsidR="002756E7" w:rsidRPr="00DD47DF">
        <w:rPr>
          <w:rFonts w:cs="Calibri"/>
        </w:rPr>
        <w:fldChar w:fldCharType="begin"/>
      </w:r>
      <w:r w:rsidR="00505E76"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456"/>
        <w:gridCol w:w="2336"/>
        <w:gridCol w:w="1039"/>
        <w:gridCol w:w="665"/>
        <w:gridCol w:w="1202"/>
        <w:gridCol w:w="1464"/>
        <w:gridCol w:w="997"/>
        <w:gridCol w:w="1167"/>
      </w:tblGrid>
      <w:tr w:rsidR="001B2E5C" w:rsidRPr="00DD47DF" w14:paraId="31FF69AE" w14:textId="77777777">
        <w:trPr>
          <w:trHeight w:hRule="exact" w:val="1010"/>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70B34B7" w14:textId="77777777" w:rsidR="001B2E5C" w:rsidRPr="00DD47DF" w:rsidRDefault="001B2E5C" w:rsidP="001B2E5C">
            <w:pPr>
              <w:pStyle w:val="Tabulka"/>
              <w:keepNext/>
              <w:keepLines/>
              <w:rPr>
                <w:rFonts w:cs="Calibri"/>
                <w:b/>
              </w:rPr>
            </w:pPr>
            <w:r w:rsidRPr="00DD47DF">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3F255C8" w14:textId="77777777" w:rsidR="001B2E5C" w:rsidRPr="00DD47DF" w:rsidRDefault="001B2E5C" w:rsidP="001B2E5C">
            <w:pPr>
              <w:pStyle w:val="Tabulka"/>
              <w:keepNext/>
              <w:keepLines/>
              <w:rPr>
                <w:rFonts w:cs="Calibri"/>
                <w:b/>
              </w:rPr>
            </w:pPr>
            <w:r w:rsidRPr="00DD47DF">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2D19288" w14:textId="77777777" w:rsidR="001B2E5C" w:rsidRPr="00DD47DF" w:rsidRDefault="001B2E5C" w:rsidP="001B2E5C">
            <w:pPr>
              <w:pStyle w:val="Tabulka"/>
              <w:keepNext/>
              <w:keepLines/>
              <w:rPr>
                <w:rFonts w:cs="Calibri"/>
                <w:b/>
              </w:rPr>
            </w:pPr>
            <w:r w:rsidRPr="00DD47DF">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CEF19B6" w14:textId="77777777" w:rsidR="001B2E5C" w:rsidRPr="00DD47DF" w:rsidRDefault="001B2E5C" w:rsidP="001B2E5C">
            <w:pPr>
              <w:pStyle w:val="Tabulka"/>
              <w:keepNext/>
              <w:keepLines/>
              <w:rPr>
                <w:rFonts w:cs="Calibri"/>
                <w:b/>
              </w:rPr>
            </w:pPr>
            <w:r w:rsidRPr="00DD47DF">
              <w:rPr>
                <w:rFonts w:cs="Calibri"/>
                <w:b/>
              </w:rPr>
              <w:t>Fond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BBA3EB3" w14:textId="77777777" w:rsidR="001B2E5C" w:rsidRPr="00DD47DF" w:rsidRDefault="001B2E5C" w:rsidP="001B2E5C">
            <w:pPr>
              <w:pStyle w:val="Tabulka"/>
              <w:keepNext/>
              <w:keepLines/>
              <w:rPr>
                <w:rFonts w:cs="Calibri"/>
                <w:b/>
              </w:rPr>
            </w:pPr>
            <w:r w:rsidRPr="00DD47DF">
              <w:rPr>
                <w:rFonts w:cs="Calibri"/>
                <w:b/>
              </w:rPr>
              <w:t>Kategorie regionu</w:t>
            </w:r>
          </w:p>
        </w:tc>
        <w:tc>
          <w:tcPr>
            <w:tcW w:w="1464"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30432DD" w14:textId="77777777" w:rsidR="001B2E5C" w:rsidRPr="00DD47DF" w:rsidRDefault="001B2E5C" w:rsidP="00956C4F">
            <w:pPr>
              <w:pStyle w:val="Tabulka"/>
              <w:keepNext/>
              <w:keepLines/>
              <w:rPr>
                <w:rFonts w:cs="Calibri"/>
                <w:b/>
              </w:rPr>
            </w:pPr>
            <w:r w:rsidRPr="00DD47DF">
              <w:rPr>
                <w:rFonts w:cs="Calibri"/>
                <w:b/>
              </w:rPr>
              <w:t>Cílová hodnota</w:t>
            </w:r>
            <w:r w:rsidR="00956C4F" w:rsidRPr="00DD47DF">
              <w:rPr>
                <w:rFonts w:cs="Calibri"/>
                <w:b/>
              </w:rPr>
              <w:t xml:space="preserve"> </w:t>
            </w:r>
            <w:r w:rsidRPr="00DD47DF">
              <w:rPr>
                <w:rFonts w:cs="Calibri"/>
                <w:b/>
              </w:rPr>
              <w:t>(2023)</w:t>
            </w:r>
          </w:p>
        </w:tc>
        <w:tc>
          <w:tcPr>
            <w:tcW w:w="665"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03204053" w14:textId="77777777" w:rsidR="001B2E5C" w:rsidRPr="00DD47DF" w:rsidRDefault="001B2E5C" w:rsidP="001B2E5C">
            <w:pPr>
              <w:pStyle w:val="Tabulka"/>
              <w:keepNext/>
              <w:keepLines/>
              <w:rPr>
                <w:rFonts w:cs="Calibri"/>
                <w:b/>
              </w:rPr>
            </w:pPr>
            <w:r w:rsidRPr="00DD47DF">
              <w:rPr>
                <w:rFonts w:cs="Calibri"/>
                <w:b/>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7506355" w14:textId="77777777" w:rsidR="001B2E5C" w:rsidRPr="00DD47DF" w:rsidRDefault="001B2E5C" w:rsidP="001B2E5C">
            <w:pPr>
              <w:pStyle w:val="Tabulka"/>
              <w:keepNext/>
              <w:keepLines/>
              <w:rPr>
                <w:rFonts w:cs="Calibri"/>
                <w:b/>
              </w:rPr>
            </w:pPr>
            <w:r w:rsidRPr="00DD47DF">
              <w:rPr>
                <w:rFonts w:cs="Calibri"/>
                <w:b/>
              </w:rPr>
              <w:t>Četnost podávání zpráv</w:t>
            </w:r>
          </w:p>
        </w:tc>
      </w:tr>
      <w:tr w:rsidR="00465C6C" w:rsidRPr="00DD47DF" w14:paraId="7EEC84FE"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2E8612B7" w14:textId="575791F2" w:rsidR="00465C6C" w:rsidRPr="00DD47DF" w:rsidRDefault="00C75691" w:rsidP="00D030DD">
            <w:pPr>
              <w:pStyle w:val="Tabulka"/>
              <w:keepNext/>
              <w:keepLines/>
              <w:rPr>
                <w:rFonts w:cs="Calibri"/>
              </w:rPr>
            </w:pPr>
            <w:r w:rsidRPr="00DD47DF">
              <w:rPr>
                <w:rFonts w:cs="Calibri"/>
              </w:rPr>
              <w:t xml:space="preserve">CO </w:t>
            </w:r>
            <w:r w:rsidR="00EA7B06" w:rsidRPr="00DD47DF">
              <w:rPr>
                <w:rFonts w:cs="Calibri"/>
              </w:rPr>
              <w:t>0</w:t>
            </w:r>
            <w:r w:rsidR="00465C6C" w:rsidRPr="00DD47DF">
              <w:rPr>
                <w:rFonts w:cs="Calibri"/>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6888D141" w14:textId="77777777" w:rsidR="00465C6C" w:rsidRPr="00DD47DF" w:rsidRDefault="007D6298" w:rsidP="00D030DD">
            <w:pPr>
              <w:pStyle w:val="Tabulka"/>
              <w:keepNext/>
              <w:keepLines/>
              <w:jc w:val="left"/>
              <w:rPr>
                <w:rFonts w:cs="Calibri"/>
              </w:rPr>
            </w:pPr>
            <w:r w:rsidRPr="00DD47DF">
              <w:rPr>
                <w:rFonts w:cs="Calibri"/>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63D099D8" w14:textId="77777777" w:rsidR="00465C6C" w:rsidRPr="00DD47DF" w:rsidRDefault="00050E1B" w:rsidP="00D030DD">
            <w:pPr>
              <w:pStyle w:val="Tabulka"/>
              <w:keepNext/>
              <w:keepLines/>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54AAD2ED" w14:textId="77777777" w:rsidR="00465C6C" w:rsidRPr="00DD47DF" w:rsidRDefault="000C37B9" w:rsidP="000C37B9">
            <w:pPr>
              <w:pStyle w:val="Tabulka"/>
              <w:keepNext/>
              <w:keepLines/>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386AB7AC" w14:textId="77777777" w:rsidR="00465C6C" w:rsidRPr="00DD47DF" w:rsidRDefault="009974DF" w:rsidP="00D030DD">
            <w:pPr>
              <w:pStyle w:val="Tabulka"/>
              <w:keepNext/>
              <w:keepLines/>
              <w:rPr>
                <w:rFonts w:cs="Calibri"/>
              </w:rPr>
            </w:pPr>
            <w:r w:rsidRPr="00DD47DF">
              <w:rPr>
                <w:rFonts w:cs="Calibri"/>
              </w:rPr>
              <w:t>Méně rozvinuté regiony</w:t>
            </w:r>
          </w:p>
        </w:tc>
        <w:tc>
          <w:tcPr>
            <w:tcW w:w="1464" w:type="dxa"/>
            <w:tcBorders>
              <w:top w:val="single" w:sz="4" w:space="0" w:color="000000"/>
              <w:left w:val="single" w:sz="4" w:space="0" w:color="000000"/>
              <w:bottom w:val="single" w:sz="4" w:space="0" w:color="000000"/>
              <w:right w:val="single" w:sz="4" w:space="0" w:color="000000"/>
            </w:tcBorders>
            <w:vAlign w:val="center"/>
          </w:tcPr>
          <w:p w14:paraId="711518B3" w14:textId="1484AA16" w:rsidR="00465C6C" w:rsidRPr="00DD47DF" w:rsidRDefault="0016073A" w:rsidP="00D5733E">
            <w:pPr>
              <w:pStyle w:val="Tabulka"/>
              <w:keepNext/>
              <w:keepLines/>
              <w:rPr>
                <w:rFonts w:cs="Calibri"/>
              </w:rPr>
            </w:pPr>
            <w:r>
              <w:rPr>
                <w:rFonts w:cs="Calibri"/>
              </w:rPr>
              <w:t xml:space="preserve">2 </w:t>
            </w:r>
            <w:r w:rsidR="00D5733E">
              <w:rPr>
                <w:rFonts w:cs="Calibri"/>
              </w:rPr>
              <w:t>024</w:t>
            </w:r>
          </w:p>
        </w:tc>
        <w:tc>
          <w:tcPr>
            <w:tcW w:w="665" w:type="dxa"/>
            <w:tcBorders>
              <w:top w:val="single" w:sz="4" w:space="0" w:color="000000"/>
              <w:left w:val="single" w:sz="4" w:space="0" w:color="000000"/>
              <w:bottom w:val="single" w:sz="4" w:space="0" w:color="000000"/>
              <w:right w:val="single" w:sz="4" w:space="0" w:color="000000"/>
            </w:tcBorders>
            <w:vAlign w:val="center"/>
          </w:tcPr>
          <w:p w14:paraId="5161755A" w14:textId="77777777" w:rsidR="00465C6C" w:rsidRPr="00DD47DF" w:rsidRDefault="00FC7054" w:rsidP="00D030DD">
            <w:pPr>
              <w:pStyle w:val="Tabulka"/>
              <w:keepNext/>
              <w:keepLines/>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22DFCDF2" w14:textId="77777777" w:rsidR="00465C6C" w:rsidRPr="00DD47DF" w:rsidRDefault="00FC7054" w:rsidP="00D030DD">
            <w:pPr>
              <w:pStyle w:val="Tabulka"/>
              <w:keepNext/>
              <w:keepLines/>
              <w:rPr>
                <w:rFonts w:cs="Calibri"/>
              </w:rPr>
            </w:pPr>
            <w:r>
              <w:rPr>
                <w:rFonts w:cs="Calibri"/>
              </w:rPr>
              <w:t>průběžně</w:t>
            </w:r>
          </w:p>
        </w:tc>
      </w:tr>
      <w:tr w:rsidR="006D1774" w:rsidRPr="00DD47DF" w14:paraId="3DC4E92A"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52B6FA6F" w14:textId="5586E7AD" w:rsidR="006D1774" w:rsidRPr="00DD47DF" w:rsidRDefault="00C75691" w:rsidP="00F47B67">
            <w:pPr>
              <w:pStyle w:val="Tabulka"/>
              <w:rPr>
                <w:rFonts w:cs="Calibri"/>
              </w:rPr>
            </w:pPr>
            <w:r w:rsidRPr="00DD47DF">
              <w:rPr>
                <w:rFonts w:cs="Calibri"/>
              </w:rPr>
              <w:t xml:space="preserve">CO </w:t>
            </w:r>
            <w:r w:rsidR="00EA7B06" w:rsidRPr="00DD47DF">
              <w:rPr>
                <w:rFonts w:cs="Calibri"/>
              </w:rPr>
              <w:t>0</w:t>
            </w:r>
            <w:r w:rsidR="006D1774" w:rsidRPr="00DD47DF">
              <w:rPr>
                <w:rFonts w:cs="Calibri"/>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50B25F65" w14:textId="77777777" w:rsidR="006D1774" w:rsidRPr="00DD47DF" w:rsidRDefault="006D1774" w:rsidP="00F47B67">
            <w:pPr>
              <w:pStyle w:val="Tabulka"/>
              <w:jc w:val="left"/>
              <w:rPr>
                <w:rFonts w:cs="Calibri"/>
              </w:rPr>
            </w:pPr>
            <w:r w:rsidRPr="00DD47DF">
              <w:rPr>
                <w:rFonts w:cs="Calibri"/>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6602952F" w14:textId="77777777" w:rsidR="006D1774" w:rsidRPr="00DD47DF" w:rsidRDefault="006D1774" w:rsidP="00F47B67">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0C2210B5" w14:textId="77777777" w:rsidR="006D1774" w:rsidRPr="00DD47DF" w:rsidRDefault="000C37B9" w:rsidP="00F47B67">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11E7A10F" w14:textId="77777777" w:rsidR="006D1774" w:rsidRPr="00DD47DF" w:rsidRDefault="006D1774" w:rsidP="009974DF">
            <w:pPr>
              <w:pStyle w:val="Tabulka"/>
              <w:rPr>
                <w:rFonts w:cs="Calibri"/>
              </w:rPr>
            </w:pPr>
            <w:r w:rsidRPr="00DD47DF">
              <w:rPr>
                <w:rFonts w:cs="Calibri"/>
              </w:rPr>
              <w:t>Méně rozvinuté regiony</w:t>
            </w:r>
          </w:p>
        </w:tc>
        <w:tc>
          <w:tcPr>
            <w:tcW w:w="1464" w:type="dxa"/>
            <w:tcBorders>
              <w:top w:val="single" w:sz="4" w:space="0" w:color="000000"/>
              <w:left w:val="single" w:sz="4" w:space="0" w:color="000000"/>
              <w:bottom w:val="single" w:sz="4" w:space="0" w:color="000000"/>
              <w:right w:val="single" w:sz="4" w:space="0" w:color="000000"/>
            </w:tcBorders>
            <w:vAlign w:val="center"/>
          </w:tcPr>
          <w:p w14:paraId="7E1A83DA" w14:textId="329F33D6" w:rsidR="006D1774" w:rsidRPr="00DD47DF" w:rsidRDefault="004617F2" w:rsidP="00D5733E">
            <w:pPr>
              <w:pStyle w:val="Tabulka"/>
              <w:rPr>
                <w:rFonts w:cs="Calibri"/>
              </w:rPr>
            </w:pPr>
            <w:r w:rsidRPr="00DD47DF">
              <w:rPr>
                <w:rFonts w:cs="Calibri"/>
              </w:rPr>
              <w:t xml:space="preserve">1 </w:t>
            </w:r>
            <w:r w:rsidR="00D5733E">
              <w:rPr>
                <w:rFonts w:cs="Calibri"/>
              </w:rPr>
              <w:t>025</w:t>
            </w:r>
          </w:p>
        </w:tc>
        <w:tc>
          <w:tcPr>
            <w:tcW w:w="665" w:type="dxa"/>
            <w:tcBorders>
              <w:top w:val="single" w:sz="4" w:space="0" w:color="000000"/>
              <w:left w:val="single" w:sz="4" w:space="0" w:color="000000"/>
              <w:bottom w:val="single" w:sz="4" w:space="0" w:color="000000"/>
              <w:right w:val="single" w:sz="4" w:space="0" w:color="000000"/>
            </w:tcBorders>
            <w:vAlign w:val="center"/>
          </w:tcPr>
          <w:p w14:paraId="5A41465E" w14:textId="77777777" w:rsidR="006D1774" w:rsidRPr="00DD47DF" w:rsidRDefault="00FC7054" w:rsidP="006D1774">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15356DE0" w14:textId="77777777" w:rsidR="006D1774" w:rsidRPr="00DD47DF" w:rsidRDefault="00FC7054" w:rsidP="006D1774">
            <w:pPr>
              <w:pStyle w:val="Tabulka"/>
              <w:rPr>
                <w:rFonts w:cs="Calibri"/>
              </w:rPr>
            </w:pPr>
            <w:r>
              <w:rPr>
                <w:rFonts w:cs="Calibri"/>
              </w:rPr>
              <w:t>průběžně</w:t>
            </w:r>
          </w:p>
        </w:tc>
      </w:tr>
      <w:tr w:rsidR="006D1774" w:rsidRPr="00DD47DF" w14:paraId="501D3AE8"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4631D257" w14:textId="3372ADDE" w:rsidR="006D1774" w:rsidRPr="00DD47DF" w:rsidRDefault="00C75691" w:rsidP="00F47B67">
            <w:pPr>
              <w:pStyle w:val="Tabulka"/>
              <w:rPr>
                <w:rFonts w:cs="Calibri"/>
              </w:rPr>
            </w:pPr>
            <w:r w:rsidRPr="00DD47DF">
              <w:rPr>
                <w:rFonts w:cs="Calibri"/>
              </w:rPr>
              <w:t xml:space="preserve">CO </w:t>
            </w:r>
            <w:r w:rsidR="00EA7B06" w:rsidRPr="00DD47DF">
              <w:rPr>
                <w:rFonts w:cs="Calibri"/>
              </w:rPr>
              <w:t>0</w:t>
            </w:r>
            <w:r w:rsidR="006D1774" w:rsidRPr="00DD47DF">
              <w:rPr>
                <w:rFonts w:cs="Calibri"/>
              </w:rPr>
              <w:t>3</w:t>
            </w:r>
          </w:p>
        </w:tc>
        <w:tc>
          <w:tcPr>
            <w:tcW w:w="0" w:type="auto"/>
            <w:tcBorders>
              <w:top w:val="single" w:sz="4" w:space="0" w:color="000000"/>
              <w:left w:val="single" w:sz="4" w:space="0" w:color="000000"/>
              <w:bottom w:val="single" w:sz="4" w:space="0" w:color="000000"/>
              <w:right w:val="single" w:sz="4" w:space="0" w:color="000000"/>
            </w:tcBorders>
            <w:vAlign w:val="center"/>
          </w:tcPr>
          <w:p w14:paraId="005F2488" w14:textId="77777777" w:rsidR="006D1774" w:rsidRPr="00DD47DF" w:rsidRDefault="007D6298" w:rsidP="00F47B67">
            <w:pPr>
              <w:pStyle w:val="Tabulka"/>
              <w:jc w:val="left"/>
              <w:rPr>
                <w:rFonts w:cs="Calibri"/>
              </w:rPr>
            </w:pPr>
            <w:r w:rsidRPr="00DD47DF">
              <w:rPr>
                <w:rFonts w:cs="Calibri"/>
              </w:rPr>
              <w:t>Počet podniků p</w:t>
            </w:r>
            <w:r w:rsidR="00974E81">
              <w:rPr>
                <w:rFonts w:cs="Calibri"/>
              </w:rPr>
              <w:t>obírajících jinou finanční podporu</w:t>
            </w:r>
            <w:r w:rsidRPr="00DD47DF">
              <w:rPr>
                <w:rFonts w:cs="Calibri"/>
              </w:rPr>
              <w:t xml:space="preserve"> než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5D092F79" w14:textId="77777777" w:rsidR="006D1774" w:rsidRPr="00DD47DF" w:rsidRDefault="006D1774" w:rsidP="00F47B67">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446F2C65" w14:textId="77777777" w:rsidR="006D1774" w:rsidRPr="00DD47DF" w:rsidRDefault="000C37B9" w:rsidP="00F47B67">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7806F515" w14:textId="77777777" w:rsidR="006D1774" w:rsidRPr="00DD47DF" w:rsidRDefault="006D1774" w:rsidP="009974DF">
            <w:pPr>
              <w:pStyle w:val="Tabulka"/>
              <w:rPr>
                <w:rFonts w:cs="Calibri"/>
              </w:rPr>
            </w:pPr>
            <w:r w:rsidRPr="00DD47DF">
              <w:rPr>
                <w:rFonts w:cs="Calibri"/>
              </w:rPr>
              <w:t>Méně rozvinuté regiony</w:t>
            </w:r>
          </w:p>
        </w:tc>
        <w:tc>
          <w:tcPr>
            <w:tcW w:w="1464" w:type="dxa"/>
            <w:tcBorders>
              <w:top w:val="single" w:sz="4" w:space="0" w:color="000000"/>
              <w:left w:val="single" w:sz="4" w:space="0" w:color="000000"/>
              <w:bottom w:val="single" w:sz="4" w:space="0" w:color="000000"/>
              <w:right w:val="single" w:sz="4" w:space="0" w:color="000000"/>
            </w:tcBorders>
            <w:vAlign w:val="center"/>
          </w:tcPr>
          <w:p w14:paraId="3DF51107" w14:textId="20947030" w:rsidR="006D1774" w:rsidRPr="00DD47DF" w:rsidRDefault="00D5733E" w:rsidP="00D5733E">
            <w:pPr>
              <w:pStyle w:val="Tabulka"/>
              <w:rPr>
                <w:rFonts w:cs="Calibri"/>
              </w:rPr>
            </w:pPr>
            <w:r>
              <w:rPr>
                <w:rFonts w:cs="Calibri"/>
              </w:rPr>
              <w:t>999</w:t>
            </w:r>
          </w:p>
        </w:tc>
        <w:tc>
          <w:tcPr>
            <w:tcW w:w="665" w:type="dxa"/>
            <w:tcBorders>
              <w:top w:val="single" w:sz="4" w:space="0" w:color="000000"/>
              <w:left w:val="single" w:sz="4" w:space="0" w:color="000000"/>
              <w:bottom w:val="single" w:sz="4" w:space="0" w:color="000000"/>
              <w:right w:val="single" w:sz="4" w:space="0" w:color="000000"/>
            </w:tcBorders>
            <w:vAlign w:val="center"/>
          </w:tcPr>
          <w:p w14:paraId="7D9B10AE" w14:textId="77777777" w:rsidR="006D1774" w:rsidRPr="00DD47DF" w:rsidRDefault="00392BCA" w:rsidP="006D1774">
            <w:pPr>
              <w:pStyle w:val="Tabulka"/>
              <w:rPr>
                <w:rFonts w:cs="Calibri"/>
              </w:rPr>
            </w:pPr>
            <w:r>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40DBECEE" w14:textId="77777777" w:rsidR="006D1774" w:rsidRPr="00DD47DF" w:rsidRDefault="00392BCA" w:rsidP="006D1774">
            <w:pPr>
              <w:pStyle w:val="Tabulka"/>
              <w:rPr>
                <w:rFonts w:cs="Calibri"/>
              </w:rPr>
            </w:pPr>
            <w:r>
              <w:rPr>
                <w:rFonts w:cs="Calibri"/>
              </w:rPr>
              <w:t>průběžně</w:t>
            </w:r>
          </w:p>
        </w:tc>
      </w:tr>
      <w:tr w:rsidR="006D1774" w:rsidRPr="00DD47DF" w14:paraId="3D72C76A" w14:textId="77777777">
        <w:trPr>
          <w:trHeight w:val="934"/>
        </w:trPr>
        <w:tc>
          <w:tcPr>
            <w:tcW w:w="0" w:type="auto"/>
            <w:tcBorders>
              <w:top w:val="single" w:sz="4" w:space="0" w:color="000000"/>
              <w:left w:val="single" w:sz="4" w:space="0" w:color="000000"/>
              <w:bottom w:val="single" w:sz="4" w:space="0" w:color="000000"/>
              <w:right w:val="single" w:sz="4" w:space="0" w:color="000000"/>
            </w:tcBorders>
            <w:vAlign w:val="center"/>
          </w:tcPr>
          <w:p w14:paraId="0C69A4F6" w14:textId="5184E534" w:rsidR="006D1774" w:rsidRPr="00DD47DF" w:rsidRDefault="00C75691" w:rsidP="00F47B67">
            <w:pPr>
              <w:pStyle w:val="Tabulka"/>
              <w:rPr>
                <w:rFonts w:cs="Calibri"/>
              </w:rPr>
            </w:pPr>
            <w:r w:rsidRPr="00DD47DF">
              <w:rPr>
                <w:rFonts w:cs="Calibri"/>
              </w:rPr>
              <w:t xml:space="preserve">CO </w:t>
            </w:r>
            <w:r w:rsidR="00EA7B06" w:rsidRPr="00DD47DF">
              <w:rPr>
                <w:rFonts w:cs="Calibri"/>
              </w:rPr>
              <w:t>0</w:t>
            </w:r>
            <w:r w:rsidR="006D1774" w:rsidRPr="00DD47DF">
              <w:rPr>
                <w:rFonts w:cs="Calibri"/>
              </w:rPr>
              <w:t>5</w:t>
            </w:r>
          </w:p>
        </w:tc>
        <w:tc>
          <w:tcPr>
            <w:tcW w:w="0" w:type="auto"/>
            <w:tcBorders>
              <w:top w:val="single" w:sz="4" w:space="0" w:color="000000"/>
              <w:left w:val="single" w:sz="4" w:space="0" w:color="000000"/>
              <w:bottom w:val="single" w:sz="4" w:space="0" w:color="000000"/>
              <w:right w:val="single" w:sz="4" w:space="0" w:color="000000"/>
            </w:tcBorders>
            <w:vAlign w:val="center"/>
          </w:tcPr>
          <w:p w14:paraId="4BEA1A34" w14:textId="77777777" w:rsidR="006D1774" w:rsidRPr="00DD47DF" w:rsidRDefault="00FE1B8C" w:rsidP="00F47B67">
            <w:pPr>
              <w:pStyle w:val="Tabulka"/>
              <w:jc w:val="left"/>
              <w:rPr>
                <w:rFonts w:cs="Calibri"/>
              </w:rPr>
            </w:pPr>
            <w:r w:rsidRPr="00DD47DF">
              <w:rPr>
                <w:rFonts w:cs="Calibri"/>
              </w:rPr>
              <w:t>Počet nových podniků, které dostávají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6EFC1681" w14:textId="77777777" w:rsidR="006D1774" w:rsidRPr="00DD47DF" w:rsidRDefault="006D1774" w:rsidP="00F47B67">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57F835FE" w14:textId="77777777" w:rsidR="006D1774" w:rsidRPr="00DD47DF" w:rsidRDefault="000C37B9" w:rsidP="00F47B67">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683C3719" w14:textId="77777777" w:rsidR="006D1774" w:rsidRPr="00DD47DF" w:rsidRDefault="006D1774" w:rsidP="009974DF">
            <w:pPr>
              <w:pStyle w:val="Tabulka"/>
              <w:rPr>
                <w:rFonts w:cs="Calibri"/>
              </w:rPr>
            </w:pPr>
            <w:r w:rsidRPr="00DD47DF">
              <w:rPr>
                <w:rFonts w:cs="Calibri"/>
              </w:rPr>
              <w:t>Méně rozvinuté regiony</w:t>
            </w:r>
          </w:p>
        </w:tc>
        <w:tc>
          <w:tcPr>
            <w:tcW w:w="1464" w:type="dxa"/>
            <w:tcBorders>
              <w:top w:val="single" w:sz="4" w:space="0" w:color="000000"/>
              <w:left w:val="single" w:sz="4" w:space="0" w:color="000000"/>
              <w:bottom w:val="single" w:sz="4" w:space="0" w:color="000000"/>
              <w:right w:val="single" w:sz="4" w:space="0" w:color="000000"/>
            </w:tcBorders>
            <w:vAlign w:val="center"/>
          </w:tcPr>
          <w:p w14:paraId="691AB483" w14:textId="77777777" w:rsidR="006D1774" w:rsidRPr="00DD47DF" w:rsidRDefault="006D1774" w:rsidP="00F47B67">
            <w:pPr>
              <w:pStyle w:val="Tabulka"/>
              <w:rPr>
                <w:rFonts w:cs="Calibri"/>
              </w:rPr>
            </w:pPr>
            <w:r w:rsidRPr="00DD47DF">
              <w:rPr>
                <w:rFonts w:cs="Calibri"/>
              </w:rPr>
              <w:t>402</w:t>
            </w:r>
          </w:p>
        </w:tc>
        <w:tc>
          <w:tcPr>
            <w:tcW w:w="665" w:type="dxa"/>
            <w:tcBorders>
              <w:top w:val="single" w:sz="4" w:space="0" w:color="000000"/>
              <w:left w:val="single" w:sz="4" w:space="0" w:color="000000"/>
              <w:bottom w:val="single" w:sz="4" w:space="0" w:color="000000"/>
              <w:right w:val="single" w:sz="4" w:space="0" w:color="000000"/>
            </w:tcBorders>
            <w:vAlign w:val="center"/>
          </w:tcPr>
          <w:p w14:paraId="408BFE26" w14:textId="77777777" w:rsidR="006D1774" w:rsidRPr="00DD47DF" w:rsidRDefault="004C2A8C" w:rsidP="006D1774">
            <w:pPr>
              <w:pStyle w:val="Tabulka"/>
              <w:rPr>
                <w:rFonts w:cs="Calibri"/>
              </w:rPr>
            </w:pPr>
            <w:r>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55A1DB9C" w14:textId="77777777" w:rsidR="006D1774" w:rsidRPr="00DD47DF" w:rsidRDefault="004C2A8C" w:rsidP="006D1774">
            <w:pPr>
              <w:pStyle w:val="Tabulka"/>
              <w:rPr>
                <w:rFonts w:cs="Calibri"/>
              </w:rPr>
            </w:pPr>
            <w:r>
              <w:rPr>
                <w:rFonts w:cs="Calibri"/>
              </w:rPr>
              <w:t>průběžně</w:t>
            </w:r>
          </w:p>
        </w:tc>
      </w:tr>
      <w:tr w:rsidR="006D1774" w:rsidRPr="00DD47DF" w14:paraId="5F0834AF"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7758FBE1" w14:textId="7259E7A2" w:rsidR="006D1774" w:rsidRPr="00DD47DF" w:rsidRDefault="00C75691" w:rsidP="00F47B67">
            <w:pPr>
              <w:pStyle w:val="Tabulka"/>
              <w:rPr>
                <w:rFonts w:cs="Calibri"/>
              </w:rPr>
            </w:pPr>
            <w:r w:rsidRPr="00DD47DF">
              <w:rPr>
                <w:rFonts w:cs="Calibri"/>
              </w:rPr>
              <w:t xml:space="preserve">CO </w:t>
            </w:r>
            <w:r w:rsidR="00EA7B06" w:rsidRPr="00DD47DF">
              <w:rPr>
                <w:rFonts w:cs="Calibri"/>
              </w:rPr>
              <w:t>0</w:t>
            </w:r>
            <w:r w:rsidR="006D1774" w:rsidRPr="00DD47DF">
              <w:rPr>
                <w:rFonts w:cs="Calibri"/>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2BC3E6CB" w14:textId="77777777" w:rsidR="006D1774" w:rsidRPr="00DD47DF" w:rsidRDefault="00892451" w:rsidP="00F47B67">
            <w:pPr>
              <w:pStyle w:val="Tabulka"/>
              <w:jc w:val="left"/>
              <w:rPr>
                <w:rFonts w:cs="Calibri"/>
              </w:rPr>
            </w:pPr>
            <w:r w:rsidRPr="00892451">
              <w:rPr>
                <w:rFonts w:cs="Calibri"/>
              </w:rPr>
              <w:t>Soukromé investice odpovídající veřejné podpoře podniků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1579BD8F" w14:textId="77777777" w:rsidR="006D1774" w:rsidRPr="00DD47DF" w:rsidRDefault="006D1774" w:rsidP="00F47B67">
            <w:pPr>
              <w:pStyle w:val="Tabulka"/>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7A69D92F" w14:textId="77777777" w:rsidR="006D1774" w:rsidRPr="00DD47DF" w:rsidRDefault="000C37B9" w:rsidP="00F47B67">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49BDCFCB" w14:textId="77777777" w:rsidR="006D1774" w:rsidRPr="00DD47DF" w:rsidRDefault="006D1774" w:rsidP="009974DF">
            <w:pPr>
              <w:pStyle w:val="Tabulka"/>
              <w:rPr>
                <w:rFonts w:cs="Calibri"/>
              </w:rPr>
            </w:pPr>
            <w:r w:rsidRPr="00DD47DF">
              <w:rPr>
                <w:rFonts w:cs="Calibri"/>
              </w:rPr>
              <w:t>Méně rozvinuté regiony</w:t>
            </w:r>
          </w:p>
        </w:tc>
        <w:tc>
          <w:tcPr>
            <w:tcW w:w="1464" w:type="dxa"/>
            <w:tcBorders>
              <w:top w:val="single" w:sz="4" w:space="0" w:color="000000"/>
              <w:left w:val="single" w:sz="4" w:space="0" w:color="000000"/>
              <w:bottom w:val="single" w:sz="4" w:space="0" w:color="000000"/>
              <w:right w:val="single" w:sz="4" w:space="0" w:color="000000"/>
            </w:tcBorders>
            <w:vAlign w:val="center"/>
          </w:tcPr>
          <w:p w14:paraId="11D971FF" w14:textId="2058485D" w:rsidR="006D1774" w:rsidRPr="00DD47DF" w:rsidRDefault="00D5733E" w:rsidP="001C51E1">
            <w:pPr>
              <w:pStyle w:val="Tabulka"/>
              <w:rPr>
                <w:rFonts w:cs="Calibri"/>
              </w:rPr>
            </w:pPr>
            <w:r>
              <w:rPr>
                <w:rFonts w:cs="Calibri"/>
              </w:rPr>
              <w:t>276</w:t>
            </w:r>
            <w:r w:rsidR="00757F45" w:rsidRPr="00DD47DF">
              <w:rPr>
                <w:rFonts w:cs="Calibri"/>
              </w:rPr>
              <w:t xml:space="preserve"> 0</w:t>
            </w:r>
            <w:r w:rsidR="001C51E1" w:rsidRPr="00DD47DF">
              <w:rPr>
                <w:rFonts w:cs="Calibri"/>
              </w:rPr>
              <w:t>00 000</w:t>
            </w:r>
          </w:p>
        </w:tc>
        <w:tc>
          <w:tcPr>
            <w:tcW w:w="665" w:type="dxa"/>
            <w:tcBorders>
              <w:top w:val="single" w:sz="4" w:space="0" w:color="000000"/>
              <w:left w:val="single" w:sz="4" w:space="0" w:color="000000"/>
              <w:bottom w:val="single" w:sz="4" w:space="0" w:color="000000"/>
              <w:right w:val="single" w:sz="4" w:space="0" w:color="000000"/>
            </w:tcBorders>
            <w:vAlign w:val="center"/>
          </w:tcPr>
          <w:p w14:paraId="5DF6EF8B" w14:textId="77777777" w:rsidR="006D1774" w:rsidRPr="00DD47DF" w:rsidRDefault="00800418" w:rsidP="006D1774">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65509244" w14:textId="77777777" w:rsidR="006D1774" w:rsidRPr="00DD47DF" w:rsidRDefault="00934A97" w:rsidP="006D1774">
            <w:pPr>
              <w:pStyle w:val="Tabulka"/>
              <w:rPr>
                <w:rFonts w:cs="Calibri"/>
              </w:rPr>
            </w:pPr>
            <w:r>
              <w:rPr>
                <w:rFonts w:cs="Calibri"/>
              </w:rPr>
              <w:t>průběžně</w:t>
            </w:r>
          </w:p>
        </w:tc>
      </w:tr>
      <w:tr w:rsidR="006D1774" w:rsidRPr="00DD47DF" w14:paraId="391DDCC7"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58DA12B0" w14:textId="7E1839B1" w:rsidR="006D1774" w:rsidRPr="00DD47DF" w:rsidRDefault="00C75691" w:rsidP="00F47B67">
            <w:pPr>
              <w:pStyle w:val="Tabulka"/>
              <w:rPr>
                <w:rFonts w:cs="Calibri"/>
              </w:rPr>
            </w:pPr>
            <w:r w:rsidRPr="00DD47DF">
              <w:rPr>
                <w:rFonts w:cs="Calibri"/>
              </w:rPr>
              <w:t xml:space="preserve">CO </w:t>
            </w:r>
            <w:r w:rsidR="00EA7B06" w:rsidRPr="00DD47DF">
              <w:rPr>
                <w:rFonts w:cs="Calibri"/>
              </w:rPr>
              <w:t>0</w:t>
            </w:r>
            <w:r w:rsidR="006D1774" w:rsidRPr="00DD47DF">
              <w:rPr>
                <w:rFonts w:cs="Calibri"/>
              </w:rPr>
              <w:t>7</w:t>
            </w:r>
          </w:p>
        </w:tc>
        <w:tc>
          <w:tcPr>
            <w:tcW w:w="0" w:type="auto"/>
            <w:tcBorders>
              <w:top w:val="single" w:sz="4" w:space="0" w:color="000000"/>
              <w:left w:val="single" w:sz="4" w:space="0" w:color="000000"/>
              <w:bottom w:val="single" w:sz="4" w:space="0" w:color="000000"/>
              <w:right w:val="single" w:sz="4" w:space="0" w:color="000000"/>
            </w:tcBorders>
            <w:vAlign w:val="center"/>
          </w:tcPr>
          <w:p w14:paraId="410BC01B" w14:textId="77777777" w:rsidR="006D1774" w:rsidRPr="00DD47DF" w:rsidRDefault="006D0B6D" w:rsidP="00F47B67">
            <w:pPr>
              <w:pStyle w:val="Tabulka"/>
              <w:jc w:val="left"/>
              <w:rPr>
                <w:rFonts w:cs="Calibri"/>
              </w:rPr>
            </w:pPr>
            <w:r w:rsidRPr="006D0B6D">
              <w:rPr>
                <w:rFonts w:cs="Calibri"/>
              </w:rPr>
              <w:t>Soukromé investice odpovídající veřejné podpoře podniků (jiné než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7AD5A14C" w14:textId="77777777" w:rsidR="006D1774" w:rsidRPr="00DD47DF" w:rsidRDefault="006D1774" w:rsidP="00F47B67">
            <w:pPr>
              <w:pStyle w:val="Tabulka"/>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7099EA7A" w14:textId="77777777" w:rsidR="006D1774" w:rsidRPr="00DD47DF" w:rsidRDefault="000C37B9" w:rsidP="00F47B67">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5BC52C8D" w14:textId="77777777" w:rsidR="006D1774" w:rsidRPr="00DD47DF" w:rsidRDefault="006D1774" w:rsidP="009974DF">
            <w:pPr>
              <w:pStyle w:val="Tabulka"/>
              <w:rPr>
                <w:rFonts w:cs="Calibri"/>
              </w:rPr>
            </w:pPr>
            <w:r w:rsidRPr="00DD47DF">
              <w:rPr>
                <w:rFonts w:cs="Calibri"/>
              </w:rPr>
              <w:t>Méně rozvinuté regiony</w:t>
            </w:r>
          </w:p>
        </w:tc>
        <w:tc>
          <w:tcPr>
            <w:tcW w:w="1464" w:type="dxa"/>
            <w:tcBorders>
              <w:top w:val="single" w:sz="4" w:space="0" w:color="000000"/>
              <w:left w:val="single" w:sz="4" w:space="0" w:color="000000"/>
              <w:bottom w:val="single" w:sz="4" w:space="0" w:color="000000"/>
              <w:right w:val="single" w:sz="4" w:space="0" w:color="000000"/>
            </w:tcBorders>
            <w:vAlign w:val="center"/>
          </w:tcPr>
          <w:p w14:paraId="364AFC28" w14:textId="75DCDA18" w:rsidR="006D1774" w:rsidRPr="00DD47DF" w:rsidRDefault="00D5733E" w:rsidP="00D5733E">
            <w:pPr>
              <w:pStyle w:val="Tabulka"/>
              <w:rPr>
                <w:rFonts w:cs="Calibri"/>
              </w:rPr>
            </w:pPr>
            <w:r>
              <w:rPr>
                <w:rFonts w:cs="Calibri"/>
              </w:rPr>
              <w:t xml:space="preserve">399 </w:t>
            </w:r>
            <w:r w:rsidR="00F932E8">
              <w:rPr>
                <w:rFonts w:cs="Calibri"/>
              </w:rPr>
              <w:t>000</w:t>
            </w:r>
            <w:r w:rsidR="0016073A">
              <w:rPr>
                <w:rFonts w:cs="Calibri"/>
              </w:rPr>
              <w:t xml:space="preserve"> 000</w:t>
            </w:r>
          </w:p>
        </w:tc>
        <w:tc>
          <w:tcPr>
            <w:tcW w:w="665" w:type="dxa"/>
            <w:tcBorders>
              <w:top w:val="single" w:sz="4" w:space="0" w:color="000000"/>
              <w:left w:val="single" w:sz="4" w:space="0" w:color="000000"/>
              <w:bottom w:val="single" w:sz="4" w:space="0" w:color="000000"/>
              <w:right w:val="single" w:sz="4" w:space="0" w:color="000000"/>
            </w:tcBorders>
            <w:vAlign w:val="center"/>
          </w:tcPr>
          <w:p w14:paraId="75B869B0" w14:textId="77777777" w:rsidR="006D1774" w:rsidRPr="00DD47DF" w:rsidRDefault="00392BCA" w:rsidP="006D1774">
            <w:pPr>
              <w:pStyle w:val="Tabulka"/>
              <w:rPr>
                <w:rFonts w:cs="Calibri"/>
              </w:rPr>
            </w:pPr>
            <w:r>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3EBB7900" w14:textId="77777777" w:rsidR="006D1774" w:rsidRPr="00DD47DF" w:rsidRDefault="00392BCA" w:rsidP="006D1774">
            <w:pPr>
              <w:pStyle w:val="Tabulka"/>
              <w:rPr>
                <w:rFonts w:cs="Calibri"/>
              </w:rPr>
            </w:pPr>
            <w:r>
              <w:rPr>
                <w:rFonts w:cs="Calibri"/>
              </w:rPr>
              <w:t>průběžně</w:t>
            </w:r>
          </w:p>
        </w:tc>
      </w:tr>
      <w:tr w:rsidR="00F6040D" w:rsidRPr="00DD47DF" w14:paraId="35AB8C15" w14:textId="77777777" w:rsidTr="001D58DB">
        <w:trPr>
          <w:trHeight w:val="363"/>
        </w:trPr>
        <w:tc>
          <w:tcPr>
            <w:tcW w:w="0" w:type="auto"/>
            <w:tcBorders>
              <w:top w:val="single" w:sz="4" w:space="0" w:color="000000"/>
              <w:left w:val="single" w:sz="4" w:space="0" w:color="000000"/>
              <w:bottom w:val="single" w:sz="4" w:space="0" w:color="000000"/>
              <w:right w:val="single" w:sz="4" w:space="0" w:color="000000"/>
            </w:tcBorders>
            <w:vAlign w:val="center"/>
          </w:tcPr>
          <w:p w14:paraId="49AB87B9" w14:textId="026A47A5" w:rsidR="00F6040D" w:rsidRPr="00DD47DF" w:rsidRDefault="00C75691" w:rsidP="008F41A1">
            <w:pPr>
              <w:pStyle w:val="Tabulka"/>
              <w:rPr>
                <w:rFonts w:cs="Calibri"/>
              </w:rPr>
            </w:pPr>
            <w:r w:rsidRPr="00DD47DF">
              <w:rPr>
                <w:rFonts w:cs="Calibri"/>
              </w:rPr>
              <w:t xml:space="preserve">CO </w:t>
            </w:r>
            <w:r w:rsidR="00EA7B06" w:rsidRPr="00DD47DF">
              <w:rPr>
                <w:rFonts w:cs="Calibri"/>
              </w:rPr>
              <w:t>0</w:t>
            </w:r>
            <w:r w:rsidR="00F6040D" w:rsidRPr="00DD47DF">
              <w:rPr>
                <w:rFonts w:cs="Calibri"/>
              </w:rPr>
              <w:t>8</w:t>
            </w:r>
          </w:p>
        </w:tc>
        <w:tc>
          <w:tcPr>
            <w:tcW w:w="0" w:type="auto"/>
            <w:tcBorders>
              <w:top w:val="single" w:sz="4" w:space="0" w:color="000000"/>
              <w:left w:val="single" w:sz="4" w:space="0" w:color="000000"/>
              <w:bottom w:val="single" w:sz="4" w:space="0" w:color="000000"/>
              <w:right w:val="single" w:sz="4" w:space="0" w:color="000000"/>
            </w:tcBorders>
            <w:vAlign w:val="center"/>
          </w:tcPr>
          <w:p w14:paraId="54829E58" w14:textId="77777777" w:rsidR="00F6040D" w:rsidRPr="00DD47DF" w:rsidRDefault="00F6040D" w:rsidP="008F41A1">
            <w:pPr>
              <w:pStyle w:val="Tabulka"/>
              <w:jc w:val="left"/>
              <w:rPr>
                <w:rFonts w:cs="Calibri"/>
              </w:rPr>
            </w:pPr>
            <w:r w:rsidRPr="00DD47DF">
              <w:rPr>
                <w:rFonts w:cs="Calibri"/>
              </w:rPr>
              <w:t>Zvýšení zaměstnanosti v podporovaných podnicích</w:t>
            </w:r>
          </w:p>
        </w:tc>
        <w:tc>
          <w:tcPr>
            <w:tcW w:w="0" w:type="auto"/>
            <w:tcBorders>
              <w:top w:val="single" w:sz="4" w:space="0" w:color="000000"/>
              <w:left w:val="single" w:sz="4" w:space="0" w:color="000000"/>
              <w:bottom w:val="single" w:sz="4" w:space="0" w:color="000000"/>
              <w:right w:val="single" w:sz="4" w:space="0" w:color="000000"/>
            </w:tcBorders>
            <w:vAlign w:val="center"/>
          </w:tcPr>
          <w:p w14:paraId="32018384" w14:textId="77777777" w:rsidR="00F6040D" w:rsidRPr="00DD47DF" w:rsidRDefault="00F6040D" w:rsidP="008F41A1">
            <w:pPr>
              <w:pStyle w:val="Tabulka"/>
              <w:rPr>
                <w:rFonts w:cs="Calibri"/>
              </w:rPr>
            </w:pPr>
            <w:r w:rsidRPr="00DD47DF">
              <w:rPr>
                <w:rFonts w:cs="Calibri"/>
              </w:rPr>
              <w:t>FTE</w:t>
            </w:r>
          </w:p>
        </w:tc>
        <w:tc>
          <w:tcPr>
            <w:tcW w:w="0" w:type="auto"/>
            <w:tcBorders>
              <w:top w:val="single" w:sz="4" w:space="0" w:color="000000"/>
              <w:left w:val="single" w:sz="4" w:space="0" w:color="000000"/>
              <w:bottom w:val="single" w:sz="4" w:space="0" w:color="000000"/>
              <w:right w:val="single" w:sz="4" w:space="0" w:color="000000"/>
            </w:tcBorders>
            <w:vAlign w:val="center"/>
          </w:tcPr>
          <w:p w14:paraId="7F1F27DB" w14:textId="77777777" w:rsidR="00F6040D" w:rsidRPr="00DD47DF" w:rsidRDefault="000C37B9" w:rsidP="00F47B67">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6948F2A5" w14:textId="77777777" w:rsidR="00F6040D" w:rsidRPr="00DD47DF" w:rsidRDefault="00F6040D" w:rsidP="009974DF">
            <w:pPr>
              <w:pStyle w:val="Tabulka"/>
              <w:rPr>
                <w:rFonts w:cs="Calibri"/>
              </w:rPr>
            </w:pPr>
            <w:r w:rsidRPr="00DD47DF">
              <w:rPr>
                <w:rFonts w:cs="Calibri"/>
              </w:rPr>
              <w:t>Méně rozvinuté regiony</w:t>
            </w:r>
          </w:p>
        </w:tc>
        <w:tc>
          <w:tcPr>
            <w:tcW w:w="1464" w:type="dxa"/>
            <w:tcBorders>
              <w:top w:val="single" w:sz="4" w:space="0" w:color="000000"/>
              <w:left w:val="single" w:sz="4" w:space="0" w:color="000000"/>
              <w:bottom w:val="single" w:sz="4" w:space="0" w:color="000000"/>
              <w:right w:val="single" w:sz="4" w:space="0" w:color="000000"/>
            </w:tcBorders>
            <w:vAlign w:val="center"/>
          </w:tcPr>
          <w:p w14:paraId="2E9187F9" w14:textId="3052C5F9" w:rsidR="00F6040D" w:rsidRPr="00DD47DF" w:rsidRDefault="0016073A" w:rsidP="00757F45">
            <w:pPr>
              <w:pStyle w:val="Tabulka"/>
              <w:rPr>
                <w:rFonts w:cs="Calibri"/>
              </w:rPr>
            </w:pPr>
            <w:r>
              <w:rPr>
                <w:rFonts w:cs="Calibri"/>
              </w:rPr>
              <w:t>5 000</w:t>
            </w:r>
          </w:p>
        </w:tc>
        <w:tc>
          <w:tcPr>
            <w:tcW w:w="665" w:type="dxa"/>
            <w:tcBorders>
              <w:top w:val="single" w:sz="4" w:space="0" w:color="000000"/>
              <w:left w:val="single" w:sz="4" w:space="0" w:color="000000"/>
              <w:bottom w:val="single" w:sz="4" w:space="0" w:color="000000"/>
              <w:right w:val="single" w:sz="4" w:space="0" w:color="000000"/>
            </w:tcBorders>
            <w:vAlign w:val="center"/>
          </w:tcPr>
          <w:p w14:paraId="201A21BE" w14:textId="77777777" w:rsidR="00F6040D" w:rsidRPr="00DD47DF" w:rsidRDefault="00F6040D" w:rsidP="008F41A1">
            <w:pPr>
              <w:pStyle w:val="Tabulka"/>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258D380A" w14:textId="77777777" w:rsidR="00F6040D" w:rsidRPr="00DD47DF" w:rsidRDefault="00B404F7" w:rsidP="008F41A1">
            <w:pPr>
              <w:pStyle w:val="Tabulka"/>
              <w:rPr>
                <w:rFonts w:cs="Calibri"/>
              </w:rPr>
            </w:pPr>
            <w:r>
              <w:rPr>
                <w:rFonts w:cs="Calibri"/>
              </w:rPr>
              <w:t>průběžně</w:t>
            </w:r>
          </w:p>
        </w:tc>
      </w:tr>
    </w:tbl>
    <w:p w14:paraId="1129E12A" w14:textId="77777777" w:rsidR="008C7D72" w:rsidRPr="00DD47DF" w:rsidRDefault="008C7D72" w:rsidP="00DA3512">
      <w:pPr>
        <w:pStyle w:val="kapitola2A0"/>
        <w:numPr>
          <w:ilvl w:val="2"/>
          <w:numId w:val="64"/>
        </w:numPr>
      </w:pPr>
      <w:bookmarkStart w:id="46" w:name="_Toc351464373"/>
      <w:bookmarkStart w:id="47" w:name="_Toc520445262"/>
      <w:r w:rsidRPr="00DD47DF">
        <w:t>INVESTIČNÍ PRIORITA</w:t>
      </w:r>
      <w:r w:rsidR="00AA66A2" w:rsidRPr="00DD47DF">
        <w:t xml:space="preserve"> 2 prioritní osy 2</w:t>
      </w:r>
      <w:r w:rsidRPr="00DD47DF">
        <w:t>: Vyvíjení a provádění nových obchodních modelů pro MSP, zejména pro oblast mezinárodního obchodu</w:t>
      </w:r>
      <w:bookmarkEnd w:id="47"/>
    </w:p>
    <w:p w14:paraId="0EAFD271" w14:textId="77777777" w:rsidR="00EB13D9" w:rsidRPr="00DD47DF" w:rsidRDefault="008C7D72" w:rsidP="00DA3512">
      <w:pPr>
        <w:pStyle w:val="kapitola2A0"/>
        <w:numPr>
          <w:ilvl w:val="2"/>
          <w:numId w:val="64"/>
        </w:numPr>
      </w:pPr>
      <w:bookmarkStart w:id="48" w:name="_Toc520445263"/>
      <w:r w:rsidRPr="00DD47DF">
        <w:t>Specifické cíle odpovídající investiční prioritě a očekávané výsledky</w:t>
      </w:r>
      <w:bookmarkEnd w:id="48"/>
    </w:p>
    <w:p w14:paraId="0A28E5C9" w14:textId="77777777" w:rsidR="00EB13D9" w:rsidRPr="00DD47DF" w:rsidRDefault="00EB13D9" w:rsidP="00396141">
      <w:pPr>
        <w:pStyle w:val="Modrnadpis"/>
      </w:pPr>
      <w:r w:rsidRPr="00DD47DF">
        <w:t xml:space="preserve">SPECIFICKÝ CÍL </w:t>
      </w:r>
      <w:r w:rsidR="00C71E6F" w:rsidRPr="00DD47DF">
        <w:t>2.</w:t>
      </w:r>
      <w:r w:rsidRPr="00DD47DF">
        <w:t xml:space="preserve">2: </w:t>
      </w:r>
      <w:r w:rsidR="00FF3A47" w:rsidRPr="00DD47DF">
        <w:t>Zvýšit internacionalizaci malých a středních podniků</w:t>
      </w:r>
    </w:p>
    <w:bookmarkEnd w:id="46"/>
    <w:p w14:paraId="5E04145A" w14:textId="77777777" w:rsidR="001A5C2A" w:rsidRPr="00DD47DF" w:rsidRDefault="005E45B6" w:rsidP="00666B70">
      <w:pPr>
        <w:pStyle w:val="Standardntext"/>
      </w:pPr>
      <w:r w:rsidRPr="00DD47DF">
        <w:t xml:space="preserve">Konkurenceschopnost MSP a jejich růst jsou zásadním způsobem závislé na schopnosti MSP pronikat na nové a perspektivní zahraniční trhy. Expanze na nové trhy v zahraničí představuje možnost pro MSP dosáhnout posunu v těchto pozicích a orientovat se na výrobu pro koncové zákazníky. Hlavním cílem je zaměřit se na rozvoj internacionalizace podnikání v oblasti </w:t>
      </w:r>
      <w:r w:rsidRPr="00DD47DF">
        <w:lastRenderedPageBreak/>
        <w:t>sofistikovaných služeb a poradenství a na MSP orientující se na nové zdroje růstu na zahraničních trzích.</w:t>
      </w:r>
    </w:p>
    <w:p w14:paraId="5D8DB3B5" w14:textId="77777777" w:rsidR="001A5C2A" w:rsidRPr="00DD47DF" w:rsidRDefault="003508A9" w:rsidP="001A5C2A">
      <w:pPr>
        <w:pStyle w:val="Modrnadpis"/>
      </w:pPr>
      <w:r w:rsidRPr="00DD47DF">
        <w:t>Výsledky, kterých chce ČR dosáhnout s podporou Unie</w:t>
      </w:r>
    </w:p>
    <w:p w14:paraId="20341FFD" w14:textId="77777777" w:rsidR="005E45B6" w:rsidRPr="00DD47DF" w:rsidRDefault="005E45B6" w:rsidP="00D927A2">
      <w:pPr>
        <w:pStyle w:val="Odstavecseseznamem1"/>
        <w:numPr>
          <w:ilvl w:val="0"/>
          <w:numId w:val="54"/>
        </w:numPr>
        <w:jc w:val="both"/>
        <w:rPr>
          <w:rFonts w:cs="Calibri"/>
          <w:sz w:val="24"/>
          <w:szCs w:val="24"/>
        </w:rPr>
      </w:pPr>
      <w:r w:rsidRPr="00DD47DF">
        <w:rPr>
          <w:rFonts w:cs="Calibri"/>
          <w:sz w:val="24"/>
          <w:szCs w:val="24"/>
        </w:rPr>
        <w:t>Zlepšení dostupnosti kvalitních poradenských služeb za účelem napomoci malým a středním podnikům k vyššímu využití tržních příležitostí.</w:t>
      </w:r>
    </w:p>
    <w:p w14:paraId="0ABC02B5" w14:textId="77777777" w:rsidR="005E45B6" w:rsidRPr="00DD47DF" w:rsidRDefault="005E45B6" w:rsidP="00D927A2">
      <w:pPr>
        <w:pStyle w:val="Odstavecseseznamem1"/>
        <w:numPr>
          <w:ilvl w:val="0"/>
          <w:numId w:val="54"/>
        </w:numPr>
        <w:jc w:val="both"/>
        <w:rPr>
          <w:rFonts w:cs="Calibri"/>
          <w:sz w:val="24"/>
          <w:szCs w:val="24"/>
        </w:rPr>
      </w:pPr>
      <w:r w:rsidRPr="00DD47DF">
        <w:rPr>
          <w:rFonts w:cs="Calibri"/>
          <w:sz w:val="24"/>
          <w:szCs w:val="24"/>
        </w:rPr>
        <w:t xml:space="preserve">Posílení schopnosti a marketinkové připravenosti malých a středních </w:t>
      </w:r>
      <w:r w:rsidR="00594BD9" w:rsidRPr="00DD47DF">
        <w:rPr>
          <w:rFonts w:cs="Calibri"/>
          <w:sz w:val="24"/>
          <w:szCs w:val="24"/>
        </w:rPr>
        <w:t>podniků</w:t>
      </w:r>
      <w:r w:rsidRPr="00DD47DF">
        <w:rPr>
          <w:rFonts w:cs="Calibri"/>
          <w:sz w:val="24"/>
          <w:szCs w:val="24"/>
        </w:rPr>
        <w:t xml:space="preserve"> nacházet nové trhy (územně i produktově) a vstupovat a udržet se na nich. S tím souvisí zvýšená schopnost mezinárodní expanze, rozšiřování exportní působnosti, výrobních a prodejních aktivit. </w:t>
      </w:r>
    </w:p>
    <w:p w14:paraId="69C08C67" w14:textId="77777777" w:rsidR="005E45B6" w:rsidRPr="00DD47DF" w:rsidRDefault="005E45B6" w:rsidP="00D927A2">
      <w:pPr>
        <w:pStyle w:val="Odstavecseseznamem1"/>
        <w:numPr>
          <w:ilvl w:val="0"/>
          <w:numId w:val="54"/>
        </w:numPr>
        <w:jc w:val="both"/>
        <w:rPr>
          <w:rFonts w:cs="Calibri"/>
          <w:sz w:val="24"/>
          <w:szCs w:val="24"/>
        </w:rPr>
      </w:pPr>
      <w:r w:rsidRPr="00DD47DF">
        <w:rPr>
          <w:rFonts w:cs="Calibri"/>
          <w:sz w:val="24"/>
          <w:szCs w:val="24"/>
        </w:rPr>
        <w:t xml:space="preserve">Zlepšení strategického plánování a řízení MSP povede k posílení schopnosti identifikovat nové příležitosti na zahraničních trzích, zvýšení účinnosti řízení klíčových </w:t>
      </w:r>
      <w:r w:rsidR="00594BD9" w:rsidRPr="00DD47DF">
        <w:rPr>
          <w:rFonts w:cs="Calibri"/>
          <w:sz w:val="24"/>
          <w:szCs w:val="24"/>
        </w:rPr>
        <w:t>podnikových</w:t>
      </w:r>
      <w:r w:rsidRPr="00DD47DF">
        <w:rPr>
          <w:rFonts w:cs="Calibri"/>
          <w:sz w:val="24"/>
          <w:szCs w:val="24"/>
        </w:rPr>
        <w:t xml:space="preserve"> procesů a celkovému posílení aktivního přístupu k řízení budoucí konkurenční výhody MSP (princip řízení z budoucnosti).</w:t>
      </w:r>
    </w:p>
    <w:p w14:paraId="1AD74388" w14:textId="77777777" w:rsidR="001A5C2A" w:rsidRPr="00DD47DF" w:rsidRDefault="005E45B6" w:rsidP="00D927A2">
      <w:pPr>
        <w:pStyle w:val="Standardntext"/>
        <w:numPr>
          <w:ilvl w:val="0"/>
          <w:numId w:val="54"/>
        </w:numPr>
      </w:pPr>
      <w:r w:rsidRPr="00DD47DF">
        <w:t>Zlepšení ekonomických výsledků endogenního podnikatelského sektoru v podobě růstu pod</w:t>
      </w:r>
      <w:r w:rsidR="000A3436" w:rsidRPr="00DD47DF">
        <w:t>ílu exportu na celkových výkonech</w:t>
      </w:r>
      <w:r w:rsidRPr="00DD47DF">
        <w:t xml:space="preserve"> povede ke stabilizaci podnikatelského prostředí a vytvoří tak prostor pro další rozvoj klíčových </w:t>
      </w:r>
      <w:r w:rsidR="009D1769" w:rsidRPr="00DD47DF">
        <w:t>kompetencí</w:t>
      </w:r>
      <w:r w:rsidR="000A3436" w:rsidRPr="00DD47DF">
        <w:t xml:space="preserve"> a vyšší diversifikaci exportu.</w:t>
      </w:r>
    </w:p>
    <w:p w14:paraId="4F467266" w14:textId="77777777" w:rsidR="00EB13D9" w:rsidRPr="00DD47DF" w:rsidRDefault="00EB13D9" w:rsidP="007B391E">
      <w:pPr>
        <w:pStyle w:val="Titulek"/>
        <w:keepNext/>
        <w:keepLines/>
        <w:rPr>
          <w:rFonts w:cs="Calibri"/>
        </w:rPr>
      </w:pPr>
      <w:r w:rsidRPr="00DD47DF">
        <w:rPr>
          <w:rFonts w:cs="Calibri"/>
        </w:rPr>
        <w:t>Tabulka</w:t>
      </w:r>
      <w:r w:rsidR="00955F90" w:rsidRPr="00DD47DF">
        <w:rPr>
          <w:rFonts w:cs="Calibri"/>
        </w:rPr>
        <w:t xml:space="preserve"> </w:t>
      </w:r>
      <w:r w:rsidR="002756E7" w:rsidRPr="00DD47DF">
        <w:rPr>
          <w:rFonts w:cs="Calibri"/>
        </w:rPr>
        <w:fldChar w:fldCharType="begin"/>
      </w:r>
      <w:r w:rsidR="00955F90"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0" w:type="auto"/>
        <w:tblCellMar>
          <w:left w:w="57" w:type="dxa"/>
          <w:right w:w="57" w:type="dxa"/>
        </w:tblCellMar>
        <w:tblLook w:val="01E0" w:firstRow="1" w:lastRow="1" w:firstColumn="1" w:lastColumn="1" w:noHBand="0" w:noVBand="0"/>
      </w:tblPr>
      <w:tblGrid>
        <w:gridCol w:w="664"/>
        <w:gridCol w:w="1708"/>
        <w:gridCol w:w="946"/>
        <w:gridCol w:w="1334"/>
        <w:gridCol w:w="955"/>
        <w:gridCol w:w="905"/>
        <w:gridCol w:w="997"/>
        <w:gridCol w:w="717"/>
        <w:gridCol w:w="1100"/>
      </w:tblGrid>
      <w:tr w:rsidR="00CF739D" w:rsidRPr="00DD47DF" w14:paraId="316C208B" w14:textId="77777777">
        <w:trPr>
          <w:trHeight w:hRule="exact" w:val="1244"/>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5C9FA385" w14:textId="77777777" w:rsidR="00CF739D" w:rsidRPr="00DD47DF" w:rsidRDefault="00CF739D" w:rsidP="007B391E">
            <w:pPr>
              <w:pStyle w:val="Tabulka"/>
              <w:keepNext/>
              <w:keepLines/>
              <w:rPr>
                <w:rFonts w:cs="Calibri"/>
                <w:b/>
                <w:bCs/>
              </w:rPr>
            </w:pPr>
            <w:r w:rsidRPr="00DD47DF">
              <w:rPr>
                <w:rFonts w:cs="Calibri"/>
                <w:b/>
                <w:bCs/>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35117CE" w14:textId="77777777" w:rsidR="00CF739D" w:rsidRPr="00DD47DF" w:rsidRDefault="00CF739D" w:rsidP="007B391E">
            <w:pPr>
              <w:pStyle w:val="Tabulka"/>
              <w:keepNext/>
              <w:keepLines/>
              <w:rPr>
                <w:rFonts w:cs="Calibri"/>
                <w:b/>
                <w:bCs/>
              </w:rPr>
            </w:pPr>
            <w:r w:rsidRPr="00DD47DF">
              <w:rPr>
                <w:rFonts w:cs="Calibri"/>
                <w:b/>
                <w:bCs/>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90B28A9" w14:textId="77777777" w:rsidR="00CF739D" w:rsidRPr="00DD47DF" w:rsidRDefault="00CF739D" w:rsidP="007B391E">
            <w:pPr>
              <w:pStyle w:val="Tabulka"/>
              <w:keepNext/>
              <w:keepLines/>
              <w:rPr>
                <w:rFonts w:cs="Calibri"/>
                <w:b/>
                <w:bCs/>
              </w:rPr>
            </w:pPr>
            <w:r w:rsidRPr="00DD47DF">
              <w:rPr>
                <w:rFonts w:cs="Calibri"/>
                <w:b/>
                <w:bCs/>
              </w:rPr>
              <w:t>Měrná</w:t>
            </w:r>
          </w:p>
          <w:p w14:paraId="0C238163" w14:textId="77777777" w:rsidR="00CF739D" w:rsidRPr="00DD47DF" w:rsidRDefault="00CF739D" w:rsidP="007B391E">
            <w:pPr>
              <w:pStyle w:val="Tabulka"/>
              <w:keepNext/>
              <w:keepLines/>
              <w:rPr>
                <w:rFonts w:cs="Calibri"/>
                <w:b/>
                <w:bCs/>
              </w:rPr>
            </w:pPr>
            <w:r w:rsidRPr="00DD47DF">
              <w:rPr>
                <w:rFonts w:cs="Calibri"/>
                <w:b/>
                <w:bCs/>
              </w:rPr>
              <w:t>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92769F6" w14:textId="77777777" w:rsidR="00CF739D" w:rsidRPr="00DD47DF" w:rsidRDefault="00CF739D" w:rsidP="007B391E">
            <w:pPr>
              <w:pStyle w:val="Tabulka"/>
              <w:keepNext/>
              <w:keepLines/>
              <w:rPr>
                <w:rFonts w:cs="Calibri"/>
                <w:b/>
                <w:bCs/>
              </w:rPr>
            </w:pPr>
            <w:r w:rsidRPr="00DD47DF">
              <w:rPr>
                <w:rFonts w:cs="Calibri"/>
                <w:b/>
                <w:bCs/>
              </w:rPr>
              <w:t>Kategorie regionů (je-li relevantní)</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818E8A6" w14:textId="77777777" w:rsidR="00CF739D" w:rsidRPr="00DD47DF" w:rsidRDefault="004B0854" w:rsidP="007B391E">
            <w:pPr>
              <w:pStyle w:val="Tabulka"/>
              <w:keepNext/>
              <w:keepLines/>
              <w:rPr>
                <w:rFonts w:cs="Calibri"/>
                <w:b/>
                <w:bCs/>
              </w:rPr>
            </w:pPr>
            <w:r w:rsidRPr="00DD47DF">
              <w:rPr>
                <w:rFonts w:cs="Calibri"/>
                <w:b/>
                <w:bCs/>
              </w:rPr>
              <w:t>Výchozí hodnota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EA1D975" w14:textId="77777777" w:rsidR="00CF739D" w:rsidRPr="00DD47DF" w:rsidRDefault="004B0854" w:rsidP="007B391E">
            <w:pPr>
              <w:pStyle w:val="Tabulka"/>
              <w:keepNext/>
              <w:keepLines/>
              <w:rPr>
                <w:rFonts w:cs="Calibri"/>
                <w:b/>
                <w:bCs/>
              </w:rPr>
            </w:pPr>
            <w:r w:rsidRPr="00DD47DF">
              <w:rPr>
                <w:rFonts w:cs="Calibri"/>
                <w:b/>
                <w:bCs/>
              </w:rPr>
              <w:t xml:space="preserve">Výchozí </w:t>
            </w:r>
            <w:r w:rsidR="00CF739D" w:rsidRPr="00DD47DF">
              <w:rPr>
                <w:rFonts w:cs="Calibri"/>
                <w:b/>
                <w:bCs/>
              </w:rPr>
              <w:t>rok</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2203D56" w14:textId="77777777" w:rsidR="00CF739D" w:rsidRPr="00DD47DF" w:rsidRDefault="00CF739D" w:rsidP="007B391E">
            <w:pPr>
              <w:pStyle w:val="Tabulka"/>
              <w:keepNext/>
              <w:keepLines/>
              <w:rPr>
                <w:rFonts w:cs="Calibri"/>
                <w:b/>
                <w:bCs/>
              </w:rPr>
            </w:pPr>
            <w:r w:rsidRPr="00DD47DF">
              <w:rPr>
                <w:rFonts w:cs="Calibri"/>
                <w:b/>
                <w:bCs/>
              </w:rPr>
              <w:t>Cílová hodnota (2023)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9DDF24C" w14:textId="77777777" w:rsidR="00CF739D" w:rsidRPr="00DD47DF" w:rsidRDefault="00CF739D" w:rsidP="007B391E">
            <w:pPr>
              <w:pStyle w:val="Tabulka"/>
              <w:keepNext/>
              <w:keepLines/>
              <w:rPr>
                <w:rFonts w:cs="Calibri"/>
                <w:b/>
                <w:bCs/>
              </w:rPr>
            </w:pPr>
            <w:r w:rsidRPr="00DD47DF">
              <w:rPr>
                <w:rFonts w:cs="Calibri"/>
                <w:b/>
                <w:bCs/>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2A51039" w14:textId="77777777" w:rsidR="00CF739D" w:rsidRPr="00DD47DF" w:rsidRDefault="00CF739D" w:rsidP="007B391E">
            <w:pPr>
              <w:pStyle w:val="Tabulka"/>
              <w:keepNext/>
              <w:keepLines/>
              <w:rPr>
                <w:rFonts w:cs="Calibri"/>
                <w:b/>
                <w:bCs/>
              </w:rPr>
            </w:pPr>
            <w:r w:rsidRPr="00DD47DF">
              <w:rPr>
                <w:rFonts w:cs="Calibri"/>
                <w:b/>
                <w:bCs/>
              </w:rPr>
              <w:t>Četnost podávání zpráv</w:t>
            </w:r>
          </w:p>
        </w:tc>
      </w:tr>
      <w:tr w:rsidR="00EB13D9" w:rsidRPr="00DD47DF" w14:paraId="378CA7C6" w14:textId="77777777">
        <w:trPr>
          <w:trHeight w:hRule="exact" w:val="916"/>
        </w:trPr>
        <w:tc>
          <w:tcPr>
            <w:tcW w:w="0" w:type="auto"/>
            <w:tcBorders>
              <w:top w:val="single" w:sz="4" w:space="0" w:color="000000"/>
              <w:left w:val="single" w:sz="4" w:space="0" w:color="000000"/>
              <w:bottom w:val="single" w:sz="4" w:space="0" w:color="000000"/>
              <w:right w:val="single" w:sz="4" w:space="0" w:color="000000"/>
            </w:tcBorders>
            <w:vAlign w:val="center"/>
          </w:tcPr>
          <w:p w14:paraId="1C293310" w14:textId="77777777" w:rsidR="00EB13D9" w:rsidRPr="00DD47DF" w:rsidRDefault="00D6006C" w:rsidP="00EB13D9">
            <w:pPr>
              <w:pStyle w:val="Tabulka"/>
              <w:rPr>
                <w:rFonts w:cs="Calibri"/>
              </w:rPr>
            </w:pPr>
            <w:r w:rsidRPr="00DD47DF">
              <w:rPr>
                <w:rFonts w:cs="Calibri"/>
              </w:rPr>
              <w:t>10601</w:t>
            </w:r>
          </w:p>
        </w:tc>
        <w:tc>
          <w:tcPr>
            <w:tcW w:w="0" w:type="auto"/>
            <w:tcBorders>
              <w:top w:val="single" w:sz="4" w:space="0" w:color="000000"/>
              <w:left w:val="single" w:sz="4" w:space="0" w:color="000000"/>
              <w:bottom w:val="single" w:sz="4" w:space="0" w:color="000000"/>
              <w:right w:val="single" w:sz="4" w:space="0" w:color="000000"/>
            </w:tcBorders>
            <w:vAlign w:val="center"/>
          </w:tcPr>
          <w:p w14:paraId="7398B9FC" w14:textId="77777777" w:rsidR="00EB13D9" w:rsidRPr="00DD47DF" w:rsidRDefault="00AA6101" w:rsidP="00DC58DF">
            <w:pPr>
              <w:pStyle w:val="Tabulka"/>
              <w:jc w:val="left"/>
              <w:rPr>
                <w:rFonts w:cs="Calibri"/>
              </w:rPr>
            </w:pPr>
            <w:r w:rsidRPr="00DD47DF">
              <w:rPr>
                <w:rFonts w:cs="Calibri"/>
              </w:rPr>
              <w:t>Podíl exportu MSP/celkovým výkonům MSP</w:t>
            </w:r>
          </w:p>
        </w:tc>
        <w:tc>
          <w:tcPr>
            <w:tcW w:w="0" w:type="auto"/>
            <w:tcBorders>
              <w:top w:val="single" w:sz="4" w:space="0" w:color="000000"/>
              <w:left w:val="single" w:sz="4" w:space="0" w:color="000000"/>
              <w:bottom w:val="single" w:sz="4" w:space="0" w:color="000000"/>
              <w:right w:val="single" w:sz="4" w:space="0" w:color="000000"/>
            </w:tcBorders>
            <w:vAlign w:val="center"/>
          </w:tcPr>
          <w:p w14:paraId="4523FC32" w14:textId="77777777" w:rsidR="00EB13D9" w:rsidRPr="00DD47DF" w:rsidRDefault="00AA6101" w:rsidP="00EB13D9">
            <w:pPr>
              <w:pStyle w:val="Tabulka"/>
              <w:rPr>
                <w:rFonts w:cs="Calibri"/>
              </w:rPr>
            </w:pPr>
            <w:r w:rsidRPr="00DD47DF">
              <w:rPr>
                <w:rFonts w:cs="Calibri"/>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108EE98D" w14:textId="77777777" w:rsidR="00EB13D9" w:rsidRPr="00DD47DF" w:rsidRDefault="00AA6101" w:rsidP="00EB13D9">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55A28277" w14:textId="1C4BDD29" w:rsidR="00EB13D9" w:rsidRPr="00DD47DF" w:rsidRDefault="009760C4" w:rsidP="00EB13D9">
            <w:pPr>
              <w:pStyle w:val="Tabulka"/>
              <w:rPr>
                <w:rFonts w:cs="Calibri"/>
              </w:rPr>
            </w:pPr>
            <w:r>
              <w:rPr>
                <w:rFonts w:cs="Calibri"/>
              </w:rPr>
              <w:t>21,2</w:t>
            </w:r>
          </w:p>
        </w:tc>
        <w:tc>
          <w:tcPr>
            <w:tcW w:w="0" w:type="auto"/>
            <w:tcBorders>
              <w:top w:val="single" w:sz="4" w:space="0" w:color="000000"/>
              <w:left w:val="single" w:sz="4" w:space="0" w:color="000000"/>
              <w:bottom w:val="single" w:sz="4" w:space="0" w:color="000000"/>
              <w:right w:val="single" w:sz="4" w:space="0" w:color="000000"/>
            </w:tcBorders>
            <w:vAlign w:val="center"/>
          </w:tcPr>
          <w:p w14:paraId="5673EA91" w14:textId="257037B3" w:rsidR="00EB13D9" w:rsidRPr="00DD47DF" w:rsidRDefault="009760C4" w:rsidP="00EB13D9">
            <w:pPr>
              <w:pStyle w:val="Tabulka"/>
              <w:rPr>
                <w:rFonts w:cs="Calibri"/>
              </w:rPr>
            </w:pPr>
            <w:r>
              <w:rPr>
                <w:rFonts w:cs="Calibri"/>
              </w:rPr>
              <w:t>2013</w:t>
            </w:r>
          </w:p>
        </w:tc>
        <w:tc>
          <w:tcPr>
            <w:tcW w:w="0" w:type="auto"/>
            <w:tcBorders>
              <w:top w:val="single" w:sz="4" w:space="0" w:color="000000"/>
              <w:left w:val="single" w:sz="4" w:space="0" w:color="000000"/>
              <w:bottom w:val="single" w:sz="4" w:space="0" w:color="000000"/>
              <w:right w:val="single" w:sz="4" w:space="0" w:color="000000"/>
            </w:tcBorders>
            <w:vAlign w:val="center"/>
          </w:tcPr>
          <w:p w14:paraId="37FAA6A0" w14:textId="225A26E2" w:rsidR="00EB13D9" w:rsidRPr="00DD47DF" w:rsidRDefault="009760C4" w:rsidP="009760C4">
            <w:pPr>
              <w:pStyle w:val="Tabulka"/>
              <w:rPr>
                <w:rFonts w:cs="Calibri"/>
              </w:rPr>
            </w:pPr>
            <w:r>
              <w:rPr>
                <w:rFonts w:cs="Calibri"/>
              </w:rPr>
              <w:t>22,3</w:t>
            </w:r>
            <w:r w:rsidR="006A2A56" w:rsidRPr="00DD47DF">
              <w:rPr>
                <w:rFonts w:cs="Calibri"/>
              </w:rPr>
              <w:t xml:space="preserve"> – </w:t>
            </w:r>
            <w:r>
              <w:rPr>
                <w:rFonts w:cs="Calibri"/>
              </w:rPr>
              <w:t>23,8</w:t>
            </w:r>
            <w:r w:rsidR="00E82B5E" w:rsidRPr="00DD47DF">
              <w:rPr>
                <w:rStyle w:val="Znakapoznpodarou"/>
                <w:rFonts w:cs="Calibri"/>
              </w:rPr>
              <w:footnoteReference w:id="53"/>
            </w:r>
          </w:p>
        </w:tc>
        <w:tc>
          <w:tcPr>
            <w:tcW w:w="0" w:type="auto"/>
            <w:tcBorders>
              <w:top w:val="single" w:sz="4" w:space="0" w:color="000000"/>
              <w:left w:val="single" w:sz="4" w:space="0" w:color="000000"/>
              <w:bottom w:val="single" w:sz="4" w:space="0" w:color="000000"/>
              <w:right w:val="single" w:sz="4" w:space="0" w:color="000000"/>
            </w:tcBorders>
            <w:vAlign w:val="center"/>
          </w:tcPr>
          <w:p w14:paraId="25D71BD2" w14:textId="77777777" w:rsidR="00EB13D9" w:rsidRPr="00DD47DF" w:rsidRDefault="00CD39F7" w:rsidP="00D55F1B">
            <w:pPr>
              <w:pStyle w:val="Tabulka"/>
              <w:rPr>
                <w:rFonts w:cs="Calibri"/>
              </w:rPr>
            </w:pPr>
            <w:r>
              <w:rPr>
                <w:rFonts w:cs="Calibri"/>
              </w:rPr>
              <w:t>MPO</w:t>
            </w:r>
          </w:p>
        </w:tc>
        <w:tc>
          <w:tcPr>
            <w:tcW w:w="0" w:type="auto"/>
            <w:tcBorders>
              <w:top w:val="single" w:sz="4" w:space="0" w:color="000000"/>
              <w:left w:val="single" w:sz="4" w:space="0" w:color="000000"/>
              <w:bottom w:val="single" w:sz="4" w:space="0" w:color="000000"/>
              <w:right w:val="single" w:sz="4" w:space="0" w:color="000000"/>
            </w:tcBorders>
            <w:vAlign w:val="center"/>
          </w:tcPr>
          <w:p w14:paraId="48531D02" w14:textId="77777777" w:rsidR="00EB13D9" w:rsidRPr="00DD47DF" w:rsidRDefault="00AA6101" w:rsidP="00EB13D9">
            <w:pPr>
              <w:pStyle w:val="Tabulka"/>
              <w:rPr>
                <w:rFonts w:cs="Calibri"/>
              </w:rPr>
            </w:pPr>
            <w:r w:rsidRPr="00DD47DF">
              <w:rPr>
                <w:rFonts w:cs="Calibri"/>
              </w:rPr>
              <w:t>ročně</w:t>
            </w:r>
          </w:p>
        </w:tc>
      </w:tr>
    </w:tbl>
    <w:p w14:paraId="2A0D2CCD" w14:textId="77777777" w:rsidR="00955F90" w:rsidRPr="00DD47DF" w:rsidRDefault="001B2E5C" w:rsidP="00D927A2">
      <w:pPr>
        <w:pStyle w:val="kapitola2A0"/>
        <w:numPr>
          <w:ilvl w:val="2"/>
          <w:numId w:val="64"/>
        </w:numPr>
      </w:pPr>
      <w:bookmarkStart w:id="49" w:name="_Toc520445264"/>
      <w:r w:rsidRPr="00DD47DF">
        <w:t>Opatření, jež má být podpořeno v rámci investiční priority</w:t>
      </w:r>
      <w:bookmarkEnd w:id="49"/>
    </w:p>
    <w:p w14:paraId="567C6E17" w14:textId="77777777" w:rsidR="00955F90" w:rsidRPr="00DD47DF" w:rsidRDefault="00D479AF" w:rsidP="005F43DF">
      <w:pPr>
        <w:pStyle w:val="Nadpis5"/>
        <w:numPr>
          <w:ilvl w:val="4"/>
          <w:numId w:val="19"/>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7E985C57" w14:textId="77777777" w:rsidR="00955F90" w:rsidRPr="00DD47DF" w:rsidRDefault="000A2EB4" w:rsidP="00DF4F92">
      <w:pPr>
        <w:pStyle w:val="Standardntext"/>
        <w:rPr>
          <w:b/>
        </w:rPr>
      </w:pPr>
      <w:r w:rsidRPr="00DD47DF">
        <w:rPr>
          <w:b/>
        </w:rPr>
        <w:t>Aktivity pro tento specifický cíl:</w:t>
      </w:r>
    </w:p>
    <w:p w14:paraId="361B7CB4" w14:textId="77777777" w:rsidR="00955F90" w:rsidRPr="00DD47DF" w:rsidRDefault="004A326E" w:rsidP="00D927A2">
      <w:pPr>
        <w:pStyle w:val="Standardntext"/>
        <w:numPr>
          <w:ilvl w:val="0"/>
          <w:numId w:val="45"/>
        </w:numPr>
      </w:pPr>
      <w:r w:rsidRPr="00DD47DF">
        <w:t>Služby pro MSP zaměřené na mezinárodní konkurenceschopnost usnadňující vstup na zahraniční trhy (účast na zahraničních výstavách a veletrzích, včetně organizace seminářů/akcí se zaměřením na konkrétní problematiku týkající se mezinárodní konkurenceschopnosti, např. právní aspekty daného teritoria aj.)</w:t>
      </w:r>
      <w:r w:rsidR="00955F90" w:rsidRPr="00DD47DF">
        <w:t>,</w:t>
      </w:r>
    </w:p>
    <w:p w14:paraId="578BCC0C" w14:textId="77777777" w:rsidR="00955F90" w:rsidRPr="00DD47DF" w:rsidRDefault="00AF1B5E" w:rsidP="00D927A2">
      <w:pPr>
        <w:pStyle w:val="Standardntext"/>
        <w:numPr>
          <w:ilvl w:val="0"/>
          <w:numId w:val="45"/>
        </w:numPr>
      </w:pPr>
      <w:r w:rsidRPr="00DD47DF">
        <w:t xml:space="preserve">sofistikované </w:t>
      </w:r>
      <w:r w:rsidR="00FA534B" w:rsidRPr="00DD47DF">
        <w:t>p</w:t>
      </w:r>
      <w:r w:rsidR="004A326E" w:rsidRPr="00DD47DF">
        <w:t>oradenské služby expertů se znalostí mezinárodního prostředí (se specifickou teritoriální znalostí) a poradenské služby pro strategické řízení a management inovací (mentoring, koučin</w:t>
      </w:r>
      <w:r w:rsidR="001F0603" w:rsidRPr="00DD47DF">
        <w:t>g</w:t>
      </w:r>
      <w:r w:rsidR="004A326E" w:rsidRPr="00DD47DF">
        <w:t>, foresight ad.)</w:t>
      </w:r>
      <w:r w:rsidR="00955F90" w:rsidRPr="00DD47DF">
        <w:t xml:space="preserve">, </w:t>
      </w:r>
    </w:p>
    <w:p w14:paraId="291FCD37" w14:textId="77777777" w:rsidR="00955F90" w:rsidRPr="00DD47DF" w:rsidRDefault="00FA534B" w:rsidP="00D927A2">
      <w:pPr>
        <w:pStyle w:val="Standardntext"/>
        <w:numPr>
          <w:ilvl w:val="0"/>
          <w:numId w:val="45"/>
        </w:numPr>
      </w:pPr>
      <w:r w:rsidRPr="00DD47DF">
        <w:lastRenderedPageBreak/>
        <w:t>s</w:t>
      </w:r>
      <w:r w:rsidR="00666B70" w:rsidRPr="00DD47DF">
        <w:t xml:space="preserve">lužby </w:t>
      </w:r>
      <w:r w:rsidR="00D659E9" w:rsidRPr="00DD47DF">
        <w:t xml:space="preserve">zaměřené na podporu internacionalizace zapojováním MSP do </w:t>
      </w:r>
      <w:r w:rsidR="00E211BC" w:rsidRPr="00DD47DF">
        <w:t xml:space="preserve">mezinárodních programů, jako např. v oblasti </w:t>
      </w:r>
      <w:r w:rsidR="00D659E9" w:rsidRPr="00DD47DF">
        <w:t>výzkumné spolupráce</w:t>
      </w:r>
      <w:r w:rsidR="00666B70" w:rsidRPr="00DD47DF">
        <w:t xml:space="preserve"> (</w:t>
      </w:r>
      <w:r w:rsidR="0087102E" w:rsidRPr="00DD47DF">
        <w:t>Horizont 2020</w:t>
      </w:r>
      <w:r w:rsidR="005D4217" w:rsidRPr="00DD47DF">
        <w:t>, COSME</w:t>
      </w:r>
      <w:r w:rsidR="00666B70" w:rsidRPr="00DD47DF">
        <w:t>)</w:t>
      </w:r>
      <w:r w:rsidR="00D659E9" w:rsidRPr="00DD47DF">
        <w:t>.</w:t>
      </w:r>
    </w:p>
    <w:p w14:paraId="44107D30" w14:textId="77777777" w:rsidR="005368EE" w:rsidRPr="00DD47DF" w:rsidRDefault="005368EE" w:rsidP="0027274C">
      <w:pPr>
        <w:pStyle w:val="Standardntext"/>
      </w:pPr>
      <w:r w:rsidRPr="00DD47DF">
        <w:t xml:space="preserve">Aktivity SC 2.2 zaměřené na zvyšování mezinárodní konkurenceschopnosti MSP vycházejí ze zkušeností z realizovaných podpor v programech </w:t>
      </w:r>
      <w:r w:rsidR="00AB0F33" w:rsidRPr="00DD47DF">
        <w:t xml:space="preserve">podpory </w:t>
      </w:r>
      <w:r w:rsidRPr="00DD47DF">
        <w:t xml:space="preserve">OPPI </w:t>
      </w:r>
      <w:r w:rsidRPr="00DD47DF">
        <w:rPr>
          <w:i/>
        </w:rPr>
        <w:t>Poradenství</w:t>
      </w:r>
      <w:r w:rsidRPr="00DD47DF">
        <w:t xml:space="preserve"> a </w:t>
      </w:r>
      <w:r w:rsidRPr="00DD47DF">
        <w:rPr>
          <w:i/>
        </w:rPr>
        <w:t>Marketing</w:t>
      </w:r>
      <w:r w:rsidRPr="00DD47DF">
        <w:t xml:space="preserve"> a specializují se na podpory individuálních a společných účastí MSP na zahraničních výstavách a veletrzích, na poradenské služby se znalostí mezinárodního prostředí a služby na podporu internacionalizace MSP. Dosavadní poznatky z realizace těchto služeb pro MSP, z organizace a přínosů veletržních účastí, </w:t>
      </w:r>
      <w:r w:rsidR="00AB0F33" w:rsidRPr="00DD47DF">
        <w:t xml:space="preserve">interních </w:t>
      </w:r>
      <w:r w:rsidRPr="00DD47DF">
        <w:t xml:space="preserve">projektů </w:t>
      </w:r>
      <w:r w:rsidRPr="00DD47DF">
        <w:rPr>
          <w:i/>
        </w:rPr>
        <w:t>CzechAccelerator</w:t>
      </w:r>
      <w:r w:rsidRPr="00DD47DF">
        <w:t xml:space="preserve">, </w:t>
      </w:r>
      <w:r w:rsidRPr="00DD47DF">
        <w:rPr>
          <w:i/>
        </w:rPr>
        <w:t>CzechEkoSystem</w:t>
      </w:r>
      <w:r w:rsidRPr="00DD47DF">
        <w:t xml:space="preserve">, </w:t>
      </w:r>
      <w:r w:rsidRPr="00DD47DF">
        <w:rPr>
          <w:i/>
        </w:rPr>
        <w:t>Design</w:t>
      </w:r>
      <w:r w:rsidR="00AF1B5E" w:rsidRPr="00DD47DF">
        <w:rPr>
          <w:i/>
        </w:rPr>
        <w:t xml:space="preserve"> pro konkurenceschopnost 2013-2014</w:t>
      </w:r>
      <w:r w:rsidRPr="00DD47DF">
        <w:t xml:space="preserve"> a </w:t>
      </w:r>
      <w:r w:rsidR="00AF1B5E" w:rsidRPr="00DD47DF">
        <w:rPr>
          <w:i/>
        </w:rPr>
        <w:t>Posílení mezinárodní konkurenceschopnosti českých podniků v oblasti kosmických technologií</w:t>
      </w:r>
      <w:r w:rsidR="009D1769" w:rsidRPr="00DD47DF">
        <w:t xml:space="preserve"> jsou využívány v přípravě systému podpory v navržených oblastech SC 2.2 v programovacím období 2014 – 2020. </w:t>
      </w:r>
      <w:r w:rsidR="00023054" w:rsidRPr="00DD47DF">
        <w:t xml:space="preserve">Zohledňovány budou zejména </w:t>
      </w:r>
      <w:r w:rsidR="009D1769" w:rsidRPr="00DD47DF">
        <w:t xml:space="preserve">zkušenosti </w:t>
      </w:r>
      <w:r w:rsidR="00023054" w:rsidRPr="00DD47DF">
        <w:t>a reakce</w:t>
      </w:r>
      <w:r w:rsidR="009D1769" w:rsidRPr="00DD47DF">
        <w:t xml:space="preserve"> MSP na poskytované služby a výši podpory, zkušenosti s výběrem dodavatelů, nastavením výběrových kritérií, hodnocením projektů externími hodnotiteli a také s administrací projektů. </w:t>
      </w:r>
      <w:r w:rsidRPr="00DD47DF">
        <w:t xml:space="preserve">Poznatky z pilotního ověření realizace </w:t>
      </w:r>
      <w:r w:rsidR="00F229AC" w:rsidRPr="00DD47DF">
        <w:t xml:space="preserve">takovýchto </w:t>
      </w:r>
      <w:r w:rsidRPr="00DD47DF">
        <w:t>projektů poskytujících služby MSP j</w:t>
      </w:r>
      <w:r w:rsidR="009D1769" w:rsidRPr="00DD47DF">
        <w:t>sou</w:t>
      </w:r>
      <w:r w:rsidRPr="00DD47DF">
        <w:t xml:space="preserve"> dalším potenciálem využitelným v přípravě programů a projektů z této oblasti pro období 2014 – 2020.</w:t>
      </w:r>
    </w:p>
    <w:p w14:paraId="479F7BD8" w14:textId="77777777" w:rsidR="009D1769" w:rsidRPr="00DD47DF" w:rsidRDefault="0027274C" w:rsidP="009D1769">
      <w:pPr>
        <w:pStyle w:val="Standardntext"/>
      </w:pPr>
      <w:r w:rsidRPr="00DD47DF">
        <w:t>Typový projekt v o</w:t>
      </w:r>
      <w:r w:rsidR="00840AC4" w:rsidRPr="00DD47DF">
        <w:t xml:space="preserve">blasti služeb pro MSP </w:t>
      </w:r>
      <w:r w:rsidR="00AF1B5E" w:rsidRPr="00DD47DF">
        <w:t>na</w:t>
      </w:r>
      <w:r w:rsidR="00AB7642" w:rsidRPr="00DD47DF">
        <w:t xml:space="preserve"> podporu</w:t>
      </w:r>
      <w:r w:rsidRPr="00DD47DF">
        <w:t xml:space="preserve"> mezinárodní konkurenceschopnost</w:t>
      </w:r>
      <w:r w:rsidR="00AB7642" w:rsidRPr="00DD47DF">
        <w:t>i</w:t>
      </w:r>
      <w:r w:rsidRPr="00DD47DF">
        <w:t xml:space="preserve"> usnadňující vstup na zahraniční trhy</w:t>
      </w:r>
      <w:r w:rsidR="00840AC4" w:rsidRPr="00DD47DF">
        <w:t xml:space="preserve"> bude podporovat</w:t>
      </w:r>
      <w:r w:rsidR="00AB7642" w:rsidRPr="00DD47DF">
        <w:t xml:space="preserve"> specializované asistenční služby, rozvíjející internacionalizační know-how podpořených MSP, např. služby zaměřené na tvorbu nových exportních strategií MSP, jako jsou služby související se vzděláváním exportujících MSP (teritoriální semináře), </w:t>
      </w:r>
      <w:r w:rsidR="00781B41" w:rsidRPr="00DD47DF">
        <w:t xml:space="preserve">tvorba a úprava podnikatelských plánů pro zahraniční trh, </w:t>
      </w:r>
      <w:r w:rsidR="00AB7642" w:rsidRPr="00DD47DF">
        <w:t>analýzy k plánování a designu nových produktů včetně posouzení jejich tržního potenciálu, vyhledávání cílových skupin v daném teritoriu, asistenční služby spojené s legislativními požadavky vstupu na konkrétní zahraniční trh (např. technické normy a certifikáty) nebo pobyt MSP v zahraničních výzkumných inkubátorech ve vybraných destinacích s možností networkingu</w:t>
      </w:r>
      <w:r w:rsidR="00781B41" w:rsidRPr="00DD47DF">
        <w:t xml:space="preserve"> (s potenciálními obchodními partnery, investory atd.), čerpání poradenských služeb, mentoringu, couchingu usnadňují vstup na zahraniční trh (viz. výše). Podpora účasti MSP na prezentacích před investory (business angels, Venture capital), účasti v akceleračních programech a účasti na významných mezinárodních start</w:t>
      </w:r>
      <w:r w:rsidR="00634DCF" w:rsidRPr="00DD47DF">
        <w:t>-</w:t>
      </w:r>
      <w:r w:rsidR="00781B41" w:rsidRPr="00DD47DF">
        <w:t xml:space="preserve">upových akcích (festivalech, konferencích atd.). Tyto služby přispějí rovněž k vytváření ucelených marketingových a obchodních strategií u konkrétních MSP, které jim umožní vstoupit na jiné trhy. Tvorba obchodní strategie v sobě zahrnuje vedle identifikace obchodních příležitostí i koncepci komunikace s cílovými skupinami. </w:t>
      </w:r>
      <w:r w:rsidR="00AB7642" w:rsidRPr="00DD47DF">
        <w:t>Dále bude podpořena účast MSP na zahraničních veletrzích, zahrnující</w:t>
      </w:r>
      <w:r w:rsidRPr="00DD47DF">
        <w:t xml:space="preserve"> pronájem výstavních ploch, technické </w:t>
      </w:r>
      <w:r w:rsidR="00781B41" w:rsidRPr="00DD47DF">
        <w:t xml:space="preserve">a architektonické </w:t>
      </w:r>
      <w:r w:rsidRPr="00DD47DF">
        <w:t>návrhy, pronájem a montáž výstavní expozice včetně nezbytného zařízení</w:t>
      </w:r>
      <w:r w:rsidR="00AB0F33" w:rsidRPr="00DD47DF">
        <w:t xml:space="preserve">, </w:t>
      </w:r>
      <w:r w:rsidRPr="00DD47DF">
        <w:t>základní služby související s provozem výstavní expozice</w:t>
      </w:r>
      <w:r w:rsidR="00AB0F33" w:rsidRPr="00DD47DF">
        <w:t xml:space="preserve">, </w:t>
      </w:r>
      <w:r w:rsidRPr="00DD47DF">
        <w:t>propagaci</w:t>
      </w:r>
      <w:r w:rsidR="00781B41" w:rsidRPr="00DD47DF">
        <w:t>, doprovodný program</w:t>
      </w:r>
      <w:r w:rsidRPr="00DD47DF">
        <w:t xml:space="preserve"> a dopravu.</w:t>
      </w:r>
      <w:r w:rsidR="005A40EE" w:rsidRPr="00DD47DF">
        <w:t xml:space="preserve"> </w:t>
      </w:r>
      <w:r w:rsidR="00803C8E" w:rsidRPr="00DD47DF">
        <w:t xml:space="preserve">Na rozdíl od SC 2.1 se </w:t>
      </w:r>
      <w:r w:rsidR="00320279" w:rsidRPr="00DD47DF">
        <w:t xml:space="preserve">v SC 2.2 </w:t>
      </w:r>
      <w:r w:rsidR="00803C8E" w:rsidRPr="00DD47DF">
        <w:t>bude jednat o sofistikované poradenské služby z oblasti mezinárodního prostředí a strategického řízení a managementu inovací</w:t>
      </w:r>
      <w:r w:rsidR="00004CEF" w:rsidRPr="00DD47DF">
        <w:t xml:space="preserve"> (mentoring, koučin</w:t>
      </w:r>
      <w:r w:rsidR="001F0603" w:rsidRPr="00DD47DF">
        <w:t>g</w:t>
      </w:r>
      <w:r w:rsidR="00004CEF" w:rsidRPr="00DD47DF">
        <w:t>, foresight ad.)</w:t>
      </w:r>
      <w:r w:rsidR="00803C8E" w:rsidRPr="00DD47DF">
        <w:t xml:space="preserve">. </w:t>
      </w:r>
      <w:r w:rsidR="005A40EE" w:rsidRPr="00DD47DF">
        <w:t>Výs</w:t>
      </w:r>
      <w:r w:rsidR="00231B6C" w:rsidRPr="00DD47DF">
        <w:t>tupem těchto aktivit budou realizované podnikatelské záměry v oblasti služeb</w:t>
      </w:r>
      <w:r w:rsidR="005A40EE" w:rsidRPr="00DD47DF">
        <w:t xml:space="preserve">, jejichž výsledky se promítnou ve střednědobém horizontu </w:t>
      </w:r>
      <w:r w:rsidR="009D1769" w:rsidRPr="00DD47DF">
        <w:t>do vyššího podílu exportu na celkových výkonech podniku</w:t>
      </w:r>
      <w:r w:rsidR="00F34564" w:rsidRPr="00DD47DF">
        <w:t xml:space="preserve"> v sektoru MSP</w:t>
      </w:r>
      <w:r w:rsidR="009D1769" w:rsidRPr="00DD47DF">
        <w:t>.</w:t>
      </w:r>
    </w:p>
    <w:p w14:paraId="4C5EEC67" w14:textId="77777777" w:rsidR="005B495A" w:rsidRPr="00DD47DF" w:rsidRDefault="00F01494" w:rsidP="005B495A">
      <w:pPr>
        <w:pStyle w:val="Standardntext"/>
      </w:pPr>
      <w:r w:rsidRPr="00DD47DF">
        <w:t xml:space="preserve">Aktivity SC 2.2 </w:t>
      </w:r>
      <w:r w:rsidR="006E14F6" w:rsidRPr="00DD47DF">
        <w:t xml:space="preserve">vychází z potřeb zohledněných v Národní RIS3 strategii a </w:t>
      </w:r>
      <w:r w:rsidRPr="00DD47DF">
        <w:t xml:space="preserve">mají přímou vazbu na tyto strategické cíle Národní </w:t>
      </w:r>
      <w:r w:rsidR="002B0AB0" w:rsidRPr="00DD47DF">
        <w:t>RI</w:t>
      </w:r>
      <w:r w:rsidRPr="00DD47DF">
        <w:t>S3 strategie: „</w:t>
      </w:r>
      <w:r w:rsidR="00D6559B" w:rsidRPr="00DD47DF">
        <w:t>Zvýšit inovační poptávku ve firmách (i ve veřejném sektoru)</w:t>
      </w:r>
      <w:r w:rsidRPr="00DD47DF">
        <w:t>“ a „Zvýšit internacionalizaci MSP“.</w:t>
      </w:r>
      <w:r w:rsidR="005B495A" w:rsidRPr="00DD47DF">
        <w:t xml:space="preserve"> Jde především o vzájemnou provázanost s typovými aktivitami/projekty/operacemi specifických cílů A1.2 „Zlepšit strategické řízení v MSP“, A3.1 „Zvýšení dostupnosti strategických informací o cílových trzích místních MSP“ a A3.3 „Snížení nákladů a rizik MSP spojených se vstupem na zahraniční trhy“ Národní </w:t>
      </w:r>
      <w:r w:rsidR="002B0AB0" w:rsidRPr="00DD47DF">
        <w:t>RI</w:t>
      </w:r>
      <w:r w:rsidR="005B495A" w:rsidRPr="00DD47DF">
        <w:t>S3 strategie.</w:t>
      </w:r>
    </w:p>
    <w:p w14:paraId="70A00A93" w14:textId="77777777" w:rsidR="00955F90" w:rsidRPr="00DD47DF" w:rsidRDefault="00955F90" w:rsidP="00757916">
      <w:pPr>
        <w:pStyle w:val="Standardntext"/>
      </w:pPr>
      <w:r w:rsidRPr="00DD47DF">
        <w:rPr>
          <w:b/>
        </w:rPr>
        <w:lastRenderedPageBreak/>
        <w:t xml:space="preserve">Hlavní cílová skupina: </w:t>
      </w:r>
      <w:r w:rsidRPr="00DD47DF">
        <w:t>Podnikatelské subjekty (malé a střední podniky).</w:t>
      </w:r>
    </w:p>
    <w:p w14:paraId="46C29D77" w14:textId="77777777" w:rsidR="00955F90" w:rsidRPr="00DD47DF" w:rsidRDefault="00955F90" w:rsidP="00757916">
      <w:pPr>
        <w:pStyle w:val="Standardntext"/>
      </w:pPr>
      <w:r w:rsidRPr="00DD47DF">
        <w:rPr>
          <w:b/>
        </w:rPr>
        <w:t xml:space="preserve">Cílové území: </w:t>
      </w:r>
      <w:r w:rsidRPr="00DD47DF">
        <w:t>Území České repu</w:t>
      </w:r>
      <w:r w:rsidR="002B15A3" w:rsidRPr="00DD47DF">
        <w:t>bliky, mimo území hl. m. Prah</w:t>
      </w:r>
      <w:r w:rsidR="00835369" w:rsidRPr="00DD47DF">
        <w:t>y.</w:t>
      </w:r>
      <w:r w:rsidR="00A46CD6" w:rsidRPr="00DD47DF">
        <w:t xml:space="preserve"> Předpokládá se plošné směrování intervencí bez vymezení územní dimenze</w:t>
      </w:r>
      <w:r w:rsidR="00015039" w:rsidRPr="00DD47DF">
        <w:t>.</w:t>
      </w:r>
    </w:p>
    <w:p w14:paraId="331FC602" w14:textId="779276E0" w:rsidR="00955F90" w:rsidRPr="00DD47DF" w:rsidRDefault="00955F90" w:rsidP="00757916">
      <w:pPr>
        <w:pStyle w:val="Standardntext"/>
      </w:pPr>
      <w:r w:rsidRPr="00DD47DF">
        <w:rPr>
          <w:b/>
        </w:rPr>
        <w:t xml:space="preserve">Typy příjemců: </w:t>
      </w:r>
      <w:r w:rsidRPr="00DD47DF">
        <w:t xml:space="preserve">Podnikatelské subjekty (malé a střední podniky), </w:t>
      </w:r>
      <w:r w:rsidR="00101D0A">
        <w:t>Agentura pro podporu podnikání a investic CzechInvest</w:t>
      </w:r>
      <w:r w:rsidR="00F229AC" w:rsidRPr="00DD47DF">
        <w:t xml:space="preserve">, </w:t>
      </w:r>
      <w:r w:rsidR="00271197" w:rsidRPr="00DD47DF">
        <w:t xml:space="preserve">Česká agentura na podporu </w:t>
      </w:r>
      <w:r w:rsidR="00816871" w:rsidRPr="00DD47DF">
        <w:t xml:space="preserve">exportu </w:t>
      </w:r>
      <w:r w:rsidR="00271197" w:rsidRPr="00DD47DF">
        <w:t>CzechTrade</w:t>
      </w:r>
      <w:r w:rsidRPr="00DD47DF">
        <w:t>.</w:t>
      </w:r>
      <w:r w:rsidR="00112C3A" w:rsidRPr="00DD47DF">
        <w:t xml:space="preserve"> V rámci tohoto specifického cíle budou podporováni nezemědělští podnikatelé s výstupem projektu mimo položky</w:t>
      </w:r>
      <w:r w:rsidR="004038F0" w:rsidRPr="00DD47DF">
        <w:t xml:space="preserve"> obsažené v dodatku Smlouvy (o EU)</w:t>
      </w:r>
      <w:r w:rsidR="00112C3A" w:rsidRPr="00DD47DF">
        <w:t>, v případě zemědělských podnikatelů budou podporovány projekty zaměřené na podnikatelské poradenství (nikoliv poradenství do zemědělské činnosti) související s internacionalizací těchto podniků.</w:t>
      </w:r>
    </w:p>
    <w:p w14:paraId="64FC0428" w14:textId="77777777" w:rsidR="00DE124D" w:rsidRPr="00DD47DF" w:rsidRDefault="00BA6461" w:rsidP="005F43DF">
      <w:pPr>
        <w:pStyle w:val="Nadpis5"/>
        <w:numPr>
          <w:ilvl w:val="4"/>
          <w:numId w:val="19"/>
        </w:numPr>
      </w:pPr>
      <w:r w:rsidRPr="00DD47DF">
        <w:t>Hlavní zásady pro výběr operací</w:t>
      </w:r>
    </w:p>
    <w:p w14:paraId="33384CAC" w14:textId="77777777" w:rsidR="00FE3385" w:rsidRPr="00DD47DF" w:rsidRDefault="00FE3385" w:rsidP="005E45B6">
      <w:pPr>
        <w:pStyle w:val="Standardntext"/>
      </w:pPr>
      <w:r w:rsidRPr="00DD47DF">
        <w:t>Společné obecné zásady pro výběr operací pro všechny investiční priority celého OP PIK jsou uvedeny v prioritní ose 1 v oddíle 2.A.6.2.</w:t>
      </w:r>
    </w:p>
    <w:p w14:paraId="11E229AB" w14:textId="77777777" w:rsidR="00A438A6" w:rsidRPr="00DD47DF" w:rsidRDefault="00EB56AF" w:rsidP="00A438A6">
      <w:pPr>
        <w:pStyle w:val="Standardntext"/>
      </w:pPr>
      <w:r w:rsidRPr="00DD47DF">
        <w:t xml:space="preserve"> </w:t>
      </w:r>
      <w:r w:rsidR="00A438A6" w:rsidRPr="00DD47DF">
        <w:t>V rámci výběru a hodnocení projektů budou posuzována především následující kritéria:</w:t>
      </w:r>
    </w:p>
    <w:p w14:paraId="2C654E07" w14:textId="77777777" w:rsidR="00A438A6" w:rsidRPr="00DD47DF" w:rsidRDefault="00A438A6" w:rsidP="00D927A2">
      <w:pPr>
        <w:pStyle w:val="Standardntext"/>
        <w:numPr>
          <w:ilvl w:val="0"/>
          <w:numId w:val="43"/>
        </w:numPr>
      </w:pPr>
      <w:r w:rsidRPr="00DD47DF">
        <w:t xml:space="preserve">Kvalita a potřebnost projektu s ohledem na zpracovanou obchodní strategii. </w:t>
      </w:r>
      <w:r w:rsidR="009D1769" w:rsidRPr="00DD47DF">
        <w:t>U tzv. interních projektů se</w:t>
      </w:r>
      <w:r w:rsidRPr="00DD47DF">
        <w:t xml:space="preserve"> bude přihlížet zejména na jejich úspěšnou realizaci v oblastech specializovaných poradenských služeb a internacionalizace.</w:t>
      </w:r>
    </w:p>
    <w:p w14:paraId="456F3244" w14:textId="77777777" w:rsidR="00A438A6" w:rsidRPr="00DD47DF" w:rsidRDefault="009D1769" w:rsidP="00D927A2">
      <w:pPr>
        <w:pStyle w:val="Standardntext"/>
        <w:numPr>
          <w:ilvl w:val="0"/>
          <w:numId w:val="43"/>
        </w:numPr>
      </w:pPr>
      <w:r w:rsidRPr="00DD47DF">
        <w:t>Interní projekty nabízející</w:t>
      </w:r>
      <w:r w:rsidR="00A438A6" w:rsidRPr="00DD47DF">
        <w:t xml:space="preserve"> MSP specializované poradenské služby a služby v oblasti internacionalizace budou posuzovány a hodnoceny v rámci specifického režimu hodnocení schváleného monitorovacím výborem, včetně výběrových kritérií. Transparentnost tohoto režimu bude zajištěna a o realizaci takovýchto projektů bude referováno ve Výročních zprávách OP PIK.</w:t>
      </w:r>
    </w:p>
    <w:p w14:paraId="55E83EBB" w14:textId="77777777" w:rsidR="00FE3385" w:rsidRPr="00DD47DF" w:rsidRDefault="00FE3385" w:rsidP="00D927A2">
      <w:pPr>
        <w:pStyle w:val="Standardntext"/>
        <w:numPr>
          <w:ilvl w:val="0"/>
          <w:numId w:val="43"/>
        </w:numPr>
      </w:pPr>
      <w:r w:rsidRPr="00DD47DF">
        <w:t>Shoda relevantních projektů s Národní RIS3 strategií bude ověřena v rámci hodnocení projektu, a to z hlediska naplňování výběrových kritérií definovaných v příslušných výzvách.</w:t>
      </w:r>
    </w:p>
    <w:p w14:paraId="49BB7894" w14:textId="77777777" w:rsidR="00A438A6" w:rsidRPr="00DD47DF" w:rsidRDefault="00A438A6" w:rsidP="00D927A2">
      <w:pPr>
        <w:pStyle w:val="Standardntext"/>
        <w:numPr>
          <w:ilvl w:val="0"/>
          <w:numId w:val="43"/>
        </w:numPr>
      </w:pPr>
      <w:r w:rsidRPr="00DD47DF">
        <w:t xml:space="preserve">Soulad projektu s horizontálními principy, mezi něž patří udržitelný rozvoj, rovné příležitosti a ochrana před diskriminací. Projekt, který bude v rozporu s těmito principy, nebude v rámci OP PIK podpořen (blíže viz oddíl 11). </w:t>
      </w:r>
    </w:p>
    <w:p w14:paraId="380DAE24" w14:textId="77777777" w:rsidR="00A438A6" w:rsidRPr="00DD47DF" w:rsidRDefault="00637CF8" w:rsidP="00D927A2">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7FDE75E3" w14:textId="77777777" w:rsidR="00955F90" w:rsidRPr="00DD47DF" w:rsidRDefault="00BA6461" w:rsidP="005F43DF">
      <w:pPr>
        <w:pStyle w:val="Nadpis5"/>
        <w:numPr>
          <w:ilvl w:val="4"/>
          <w:numId w:val="19"/>
        </w:numPr>
        <w:rPr>
          <w:rFonts w:cs="Calibri"/>
        </w:rPr>
      </w:pPr>
      <w:r w:rsidRPr="00DD47DF">
        <w:t>Plánované využití finančních nástrojů (použije-li se)</w:t>
      </w:r>
    </w:p>
    <w:p w14:paraId="145D8B5D" w14:textId="77777777" w:rsidR="00955F90" w:rsidRPr="00DD47DF" w:rsidRDefault="00CB19AE" w:rsidP="002A4D1D">
      <w:pPr>
        <w:pStyle w:val="Standardntext"/>
      </w:pPr>
      <w:r w:rsidRPr="00DD47DF">
        <w:t xml:space="preserve">Řídící orgán nepředpokládá využití finančních nástrojů v této investiční prioritě. </w:t>
      </w:r>
      <w:r w:rsidR="006F58B4" w:rsidRPr="00DD47DF">
        <w:t>Detaily</w:t>
      </w:r>
      <w:r w:rsidRPr="00DD47DF">
        <w:t xml:space="preserve"> stanoví konečná verze předběžného posouzení finančních nástrojů OP PIK dle čl. 37 odst. 2 obecného nařízení, které provede ŘO OP PIK, případně jeho revize podle čl. 37 odst. 2 písm. g) obecného nařízení.</w:t>
      </w:r>
    </w:p>
    <w:p w14:paraId="63B8390A" w14:textId="77777777" w:rsidR="00DE124D" w:rsidRPr="00DD47DF" w:rsidRDefault="00BA6461" w:rsidP="005F43DF">
      <w:pPr>
        <w:pStyle w:val="Nadpis5"/>
        <w:numPr>
          <w:ilvl w:val="4"/>
          <w:numId w:val="19"/>
        </w:numPr>
      </w:pPr>
      <w:r w:rsidRPr="00DD47DF">
        <w:t>Plánované využití velkých projektů (použije-li se)</w:t>
      </w:r>
    </w:p>
    <w:p w14:paraId="2D710EB3" w14:textId="77777777" w:rsidR="002A4D1D" w:rsidRPr="00DD47DF" w:rsidRDefault="002A4D1D" w:rsidP="002A4D1D">
      <w:pPr>
        <w:pStyle w:val="Standardntext"/>
      </w:pPr>
      <w:r w:rsidRPr="00DD47DF">
        <w:t xml:space="preserve">Velké projekty ve smyslu čl. </w:t>
      </w:r>
      <w:r w:rsidR="00C17C7C" w:rsidRPr="00DD47DF">
        <w:t>10</w:t>
      </w:r>
      <w:r w:rsidRPr="00DD47DF">
        <w:t>0 obecného nařízení nejsou plánovány.</w:t>
      </w:r>
    </w:p>
    <w:p w14:paraId="654DA93D" w14:textId="77777777" w:rsidR="00DE124D" w:rsidRPr="00DD47DF" w:rsidRDefault="00BA6461" w:rsidP="005F43DF">
      <w:pPr>
        <w:pStyle w:val="Nadpis5"/>
        <w:numPr>
          <w:ilvl w:val="4"/>
          <w:numId w:val="19"/>
        </w:numPr>
      </w:pPr>
      <w:r w:rsidRPr="00DD47DF">
        <w:lastRenderedPageBreak/>
        <w:t>Ukazatele výstupů podle investiční priority a případně podle kategorie regionů</w:t>
      </w:r>
    </w:p>
    <w:p w14:paraId="6F627C8C" w14:textId="77777777" w:rsidR="00DE124D" w:rsidRPr="00DD47DF" w:rsidRDefault="00DE124D" w:rsidP="00DE124D">
      <w:pPr>
        <w:pStyle w:val="Titulek"/>
        <w:keepNext/>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481"/>
        <w:gridCol w:w="2276"/>
        <w:gridCol w:w="1098"/>
        <w:gridCol w:w="665"/>
        <w:gridCol w:w="1227"/>
        <w:gridCol w:w="1237"/>
        <w:gridCol w:w="1057"/>
        <w:gridCol w:w="1285"/>
      </w:tblGrid>
      <w:tr w:rsidR="001B2E5C" w:rsidRPr="00DD47DF" w14:paraId="7A0E209A" w14:textId="77777777">
        <w:trPr>
          <w:trHeight w:hRule="exact" w:val="1074"/>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050FC93" w14:textId="77777777" w:rsidR="001B2E5C" w:rsidRPr="00DD47DF" w:rsidRDefault="001B2E5C" w:rsidP="001B2E5C">
            <w:pPr>
              <w:pStyle w:val="Tabulka"/>
              <w:rPr>
                <w:rFonts w:cs="Calibri"/>
                <w:b/>
              </w:rPr>
            </w:pPr>
            <w:r w:rsidRPr="00DD47DF">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DF654AB" w14:textId="77777777" w:rsidR="001B2E5C" w:rsidRPr="00DD47DF" w:rsidRDefault="001B2E5C" w:rsidP="001B2E5C">
            <w:pPr>
              <w:pStyle w:val="Tabulka"/>
              <w:rPr>
                <w:rFonts w:cs="Calibri"/>
                <w:b/>
              </w:rPr>
            </w:pPr>
            <w:r w:rsidRPr="00DD47DF">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5E1ADF9D" w14:textId="77777777" w:rsidR="001B2E5C" w:rsidRPr="00DD47DF" w:rsidRDefault="001B2E5C" w:rsidP="001B2E5C">
            <w:pPr>
              <w:pStyle w:val="Tabulka"/>
              <w:rPr>
                <w:rFonts w:cs="Calibri"/>
                <w:b/>
              </w:rPr>
            </w:pPr>
            <w:r w:rsidRPr="00DD47DF">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8016C6A" w14:textId="77777777" w:rsidR="001B2E5C" w:rsidRPr="00DD47DF" w:rsidRDefault="001B2E5C" w:rsidP="001B2E5C">
            <w:pPr>
              <w:pStyle w:val="Tabulka"/>
              <w:rPr>
                <w:rFonts w:cs="Calibri"/>
                <w:b/>
              </w:rPr>
            </w:pPr>
            <w:r w:rsidRPr="00DD47DF">
              <w:rPr>
                <w:rFonts w:cs="Calibri"/>
                <w:b/>
              </w:rPr>
              <w:t>Fond</w:t>
            </w:r>
          </w:p>
        </w:tc>
        <w:tc>
          <w:tcPr>
            <w:tcW w:w="1227"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9A90B4D" w14:textId="77777777" w:rsidR="001B2E5C" w:rsidRPr="00DD47DF" w:rsidRDefault="001B2E5C" w:rsidP="001B2E5C">
            <w:pPr>
              <w:pStyle w:val="Tabulka"/>
              <w:rPr>
                <w:rFonts w:cs="Calibri"/>
                <w:b/>
              </w:rPr>
            </w:pPr>
            <w:r w:rsidRPr="00DD47DF">
              <w:rPr>
                <w:rFonts w:cs="Calibri"/>
                <w:b/>
              </w:rPr>
              <w:t>Kategorie regionu</w:t>
            </w:r>
          </w:p>
        </w:tc>
        <w:tc>
          <w:tcPr>
            <w:tcW w:w="1237"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5237F48" w14:textId="77777777" w:rsidR="001B2E5C" w:rsidRPr="00DD47DF" w:rsidRDefault="001B2E5C" w:rsidP="002153F2">
            <w:pPr>
              <w:pStyle w:val="Tabulka"/>
              <w:rPr>
                <w:rFonts w:cs="Calibri"/>
                <w:b/>
              </w:rPr>
            </w:pPr>
            <w:r w:rsidRPr="00DD47DF">
              <w:rPr>
                <w:rFonts w:cs="Calibri"/>
                <w:b/>
              </w:rPr>
              <w:t>Cílová hodnota</w:t>
            </w:r>
            <w:r w:rsidR="002153F2" w:rsidRPr="00DD47DF">
              <w:rPr>
                <w:rFonts w:cs="Calibri"/>
                <w:b/>
              </w:rPr>
              <w:t xml:space="preserve"> </w:t>
            </w:r>
            <w:r w:rsidRPr="00DD47DF">
              <w:rPr>
                <w:rFonts w:cs="Calibri"/>
                <w:b/>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DD6E62B" w14:textId="77777777" w:rsidR="001B2E5C" w:rsidRPr="00DD47DF" w:rsidRDefault="001B2E5C" w:rsidP="001B2E5C">
            <w:pPr>
              <w:pStyle w:val="Tabulka"/>
              <w:rPr>
                <w:rFonts w:cs="Calibri"/>
                <w:b/>
              </w:rPr>
            </w:pPr>
            <w:r w:rsidRPr="00DD47DF">
              <w:rPr>
                <w:rFonts w:cs="Calibri"/>
                <w:b/>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5848C082" w14:textId="77777777" w:rsidR="001B2E5C" w:rsidRPr="00DD47DF" w:rsidRDefault="001B2E5C" w:rsidP="001B2E5C">
            <w:pPr>
              <w:pStyle w:val="Tabulka"/>
              <w:rPr>
                <w:rFonts w:cs="Calibri"/>
                <w:b/>
              </w:rPr>
            </w:pPr>
            <w:r w:rsidRPr="00DD47DF">
              <w:rPr>
                <w:rFonts w:cs="Calibri"/>
                <w:b/>
              </w:rPr>
              <w:t>Četnost podávání zpráv</w:t>
            </w:r>
          </w:p>
        </w:tc>
      </w:tr>
      <w:tr w:rsidR="009974DF" w:rsidRPr="00DD47DF" w14:paraId="44013D01"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0B05AAEF" w14:textId="2CC440AC" w:rsidR="009974DF" w:rsidRPr="00DD47DF" w:rsidRDefault="00C75691" w:rsidP="005A765B">
            <w:pPr>
              <w:pStyle w:val="Tabulka"/>
              <w:rPr>
                <w:rFonts w:cs="Calibri"/>
              </w:rPr>
            </w:pPr>
            <w:r w:rsidRPr="00DD47DF">
              <w:rPr>
                <w:rFonts w:cs="Calibri"/>
              </w:rPr>
              <w:t xml:space="preserve">CO </w:t>
            </w:r>
            <w:r w:rsidR="00927ADD" w:rsidRPr="00DD47DF">
              <w:rPr>
                <w:rFonts w:cs="Calibri"/>
              </w:rPr>
              <w:t>0</w:t>
            </w:r>
            <w:r w:rsidR="009974DF" w:rsidRPr="00DD47DF">
              <w:rPr>
                <w:rFonts w:cs="Calibri"/>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737B5761" w14:textId="77777777" w:rsidR="009974DF" w:rsidRPr="00DD47DF" w:rsidRDefault="007D6298" w:rsidP="00DE124D">
            <w:pPr>
              <w:pStyle w:val="Tabulka"/>
              <w:jc w:val="left"/>
              <w:rPr>
                <w:rFonts w:cs="Calibri"/>
              </w:rPr>
            </w:pPr>
            <w:r w:rsidRPr="00DD47DF">
              <w:rPr>
                <w:rFonts w:cs="Calibri"/>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5DD42C28" w14:textId="77777777" w:rsidR="009974DF" w:rsidRPr="00DD47DF" w:rsidRDefault="009974DF" w:rsidP="00DE124D">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2FAEE78E" w14:textId="77777777" w:rsidR="009974DF" w:rsidRPr="00DD47DF" w:rsidRDefault="002B3F69" w:rsidP="00DE124D">
            <w:pPr>
              <w:pStyle w:val="Tabulka"/>
              <w:rPr>
                <w:rFonts w:cs="Calibri"/>
              </w:rPr>
            </w:pPr>
            <w:r w:rsidRPr="00DD47DF">
              <w:rPr>
                <w:rFonts w:cs="Calibri"/>
              </w:rPr>
              <w:t>EFRR</w:t>
            </w:r>
          </w:p>
        </w:tc>
        <w:tc>
          <w:tcPr>
            <w:tcW w:w="1227" w:type="dxa"/>
            <w:tcBorders>
              <w:top w:val="single" w:sz="4" w:space="0" w:color="000000"/>
              <w:left w:val="single" w:sz="4" w:space="0" w:color="000000"/>
              <w:bottom w:val="single" w:sz="4" w:space="0" w:color="000000"/>
              <w:right w:val="single" w:sz="4" w:space="0" w:color="000000"/>
            </w:tcBorders>
            <w:vAlign w:val="center"/>
          </w:tcPr>
          <w:p w14:paraId="63F5F113" w14:textId="77777777" w:rsidR="009974DF" w:rsidRPr="00DD47DF" w:rsidRDefault="009974DF" w:rsidP="00DE124D">
            <w:pPr>
              <w:pStyle w:val="Tabulka"/>
              <w:rPr>
                <w:rFonts w:cs="Calibri"/>
              </w:rPr>
            </w:pPr>
            <w:r w:rsidRPr="00DD47DF">
              <w:rPr>
                <w:rFonts w:cs="Calibri"/>
              </w:rPr>
              <w:t>Méně rozvinuté regiony</w:t>
            </w:r>
          </w:p>
        </w:tc>
        <w:tc>
          <w:tcPr>
            <w:tcW w:w="1237" w:type="dxa"/>
            <w:tcBorders>
              <w:top w:val="single" w:sz="4" w:space="0" w:color="000000"/>
              <w:left w:val="single" w:sz="4" w:space="0" w:color="000000"/>
              <w:bottom w:val="single" w:sz="4" w:space="0" w:color="000000"/>
              <w:right w:val="single" w:sz="4" w:space="0" w:color="000000"/>
            </w:tcBorders>
            <w:vAlign w:val="center"/>
          </w:tcPr>
          <w:p w14:paraId="6D2E5279" w14:textId="49A7BF4F" w:rsidR="009974DF" w:rsidRPr="00DD47DF" w:rsidRDefault="00CF4655" w:rsidP="00DE124D">
            <w:pPr>
              <w:pStyle w:val="Tabulka"/>
              <w:rPr>
                <w:rFonts w:cs="Calibri"/>
              </w:rPr>
            </w:pPr>
            <w:r>
              <w:rPr>
                <w:rFonts w:cs="Calibri"/>
              </w:rPr>
              <w:t>1 320</w:t>
            </w:r>
          </w:p>
        </w:tc>
        <w:tc>
          <w:tcPr>
            <w:tcW w:w="0" w:type="auto"/>
            <w:tcBorders>
              <w:top w:val="single" w:sz="4" w:space="0" w:color="000000"/>
              <w:left w:val="single" w:sz="4" w:space="0" w:color="000000"/>
              <w:bottom w:val="single" w:sz="4" w:space="0" w:color="000000"/>
              <w:right w:val="single" w:sz="4" w:space="0" w:color="000000"/>
            </w:tcBorders>
            <w:vAlign w:val="center"/>
          </w:tcPr>
          <w:p w14:paraId="251ECD5E" w14:textId="77777777" w:rsidR="009974DF" w:rsidRPr="00DD47DF" w:rsidRDefault="00FC7054" w:rsidP="00DE124D">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29B947B9" w14:textId="77777777" w:rsidR="009974DF" w:rsidRPr="00DD47DF" w:rsidRDefault="00FC7054" w:rsidP="009974DF">
            <w:pPr>
              <w:pStyle w:val="Tabulka"/>
              <w:rPr>
                <w:rFonts w:cs="Calibri"/>
              </w:rPr>
            </w:pPr>
            <w:r>
              <w:rPr>
                <w:rFonts w:cs="Calibri"/>
              </w:rPr>
              <w:t>průběžně</w:t>
            </w:r>
          </w:p>
        </w:tc>
      </w:tr>
      <w:tr w:rsidR="006D1774" w:rsidRPr="00DD47DF" w14:paraId="2C812308"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7E8E1D0F" w14:textId="7FF1C4BF" w:rsidR="006D1774" w:rsidRPr="00DD47DF" w:rsidRDefault="00C75691" w:rsidP="005A765B">
            <w:pPr>
              <w:pStyle w:val="Tabulka"/>
              <w:rPr>
                <w:rFonts w:cs="Calibri"/>
              </w:rPr>
            </w:pPr>
            <w:r w:rsidRPr="00DD47DF">
              <w:rPr>
                <w:rFonts w:cs="Calibri"/>
              </w:rPr>
              <w:t xml:space="preserve">CO </w:t>
            </w:r>
            <w:r w:rsidR="00927ADD" w:rsidRPr="00DD47DF">
              <w:rPr>
                <w:rFonts w:cs="Calibri"/>
              </w:rPr>
              <w:t>0</w:t>
            </w:r>
            <w:r w:rsidR="006D1774" w:rsidRPr="00DD47DF">
              <w:rPr>
                <w:rFonts w:cs="Calibri"/>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2CFDD684" w14:textId="77777777" w:rsidR="006D1774" w:rsidRPr="00DD47DF" w:rsidRDefault="006D1774" w:rsidP="00DE124D">
            <w:pPr>
              <w:pStyle w:val="Tabulka"/>
              <w:jc w:val="left"/>
              <w:rPr>
                <w:rFonts w:cs="Calibri"/>
              </w:rPr>
            </w:pPr>
            <w:r w:rsidRPr="00DD47DF">
              <w:rPr>
                <w:rFonts w:cs="Calibri"/>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211B486B" w14:textId="77777777" w:rsidR="006D1774" w:rsidRPr="00DD47DF" w:rsidRDefault="006D1774" w:rsidP="00DE124D">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2EB5E8C5" w14:textId="77777777" w:rsidR="006D1774" w:rsidRPr="00DD47DF" w:rsidRDefault="002B3F69" w:rsidP="002A46AD">
            <w:pPr>
              <w:pStyle w:val="Tabulka"/>
              <w:rPr>
                <w:rFonts w:cs="Calibri"/>
              </w:rPr>
            </w:pPr>
            <w:r w:rsidRPr="00DD47DF">
              <w:rPr>
                <w:rFonts w:cs="Calibri"/>
              </w:rPr>
              <w:t>EFRR</w:t>
            </w:r>
          </w:p>
        </w:tc>
        <w:tc>
          <w:tcPr>
            <w:tcW w:w="1227" w:type="dxa"/>
            <w:tcBorders>
              <w:top w:val="single" w:sz="4" w:space="0" w:color="000000"/>
              <w:left w:val="single" w:sz="4" w:space="0" w:color="000000"/>
              <w:bottom w:val="single" w:sz="4" w:space="0" w:color="000000"/>
              <w:right w:val="single" w:sz="4" w:space="0" w:color="000000"/>
            </w:tcBorders>
            <w:vAlign w:val="center"/>
          </w:tcPr>
          <w:p w14:paraId="13AF9460" w14:textId="77777777" w:rsidR="006D1774" w:rsidRPr="00DD47DF" w:rsidRDefault="006D1774" w:rsidP="00DE124D">
            <w:pPr>
              <w:pStyle w:val="Tabulka"/>
              <w:rPr>
                <w:rFonts w:cs="Calibri"/>
              </w:rPr>
            </w:pPr>
            <w:r w:rsidRPr="00DD47DF">
              <w:rPr>
                <w:rFonts w:cs="Calibri"/>
              </w:rPr>
              <w:t>Méně rozvinuté regiony</w:t>
            </w:r>
          </w:p>
        </w:tc>
        <w:tc>
          <w:tcPr>
            <w:tcW w:w="1237" w:type="dxa"/>
            <w:tcBorders>
              <w:top w:val="single" w:sz="4" w:space="0" w:color="000000"/>
              <w:left w:val="single" w:sz="4" w:space="0" w:color="000000"/>
              <w:bottom w:val="single" w:sz="4" w:space="0" w:color="000000"/>
              <w:right w:val="single" w:sz="4" w:space="0" w:color="000000"/>
            </w:tcBorders>
            <w:vAlign w:val="center"/>
          </w:tcPr>
          <w:p w14:paraId="51DBF34D" w14:textId="6765AA57" w:rsidR="006D1774" w:rsidRPr="00DD47DF" w:rsidRDefault="00CF4655" w:rsidP="00DE124D">
            <w:pPr>
              <w:pStyle w:val="Tabulka"/>
              <w:rPr>
                <w:rFonts w:cs="Calibri"/>
              </w:rPr>
            </w:pPr>
            <w:r>
              <w:rPr>
                <w:rFonts w:cs="Calibri"/>
              </w:rPr>
              <w:t>500</w:t>
            </w:r>
          </w:p>
        </w:tc>
        <w:tc>
          <w:tcPr>
            <w:tcW w:w="0" w:type="auto"/>
            <w:tcBorders>
              <w:top w:val="single" w:sz="4" w:space="0" w:color="000000"/>
              <w:left w:val="single" w:sz="4" w:space="0" w:color="000000"/>
              <w:bottom w:val="single" w:sz="4" w:space="0" w:color="000000"/>
              <w:right w:val="single" w:sz="4" w:space="0" w:color="000000"/>
            </w:tcBorders>
            <w:vAlign w:val="center"/>
          </w:tcPr>
          <w:p w14:paraId="7E11B54C" w14:textId="77777777" w:rsidR="006D1774" w:rsidRPr="00DD47DF" w:rsidRDefault="00FC7054" w:rsidP="006D1774">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08652D22" w14:textId="77777777" w:rsidR="006D1774" w:rsidRPr="00DD47DF" w:rsidRDefault="00FC7054" w:rsidP="009974DF">
            <w:pPr>
              <w:pStyle w:val="Tabulka"/>
              <w:rPr>
                <w:rFonts w:cs="Calibri"/>
              </w:rPr>
            </w:pPr>
            <w:r>
              <w:rPr>
                <w:rFonts w:cs="Calibri"/>
              </w:rPr>
              <w:t>průběžně</w:t>
            </w:r>
          </w:p>
        </w:tc>
      </w:tr>
      <w:tr w:rsidR="002A46AD" w:rsidRPr="00DD47DF" w14:paraId="1DA3A4CF"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7129ADCA" w14:textId="7915D16A" w:rsidR="002A46AD" w:rsidRPr="00DD47DF" w:rsidRDefault="00C75691" w:rsidP="005A765B">
            <w:pPr>
              <w:pStyle w:val="Tabulka"/>
              <w:rPr>
                <w:rFonts w:cs="Calibri"/>
              </w:rPr>
            </w:pPr>
            <w:r w:rsidRPr="00DD47DF">
              <w:rPr>
                <w:rFonts w:cs="Calibri"/>
              </w:rPr>
              <w:t xml:space="preserve">CO </w:t>
            </w:r>
            <w:r w:rsidR="00927ADD" w:rsidRPr="00DD47DF">
              <w:rPr>
                <w:rFonts w:cs="Calibri"/>
              </w:rPr>
              <w:t>0</w:t>
            </w:r>
            <w:r w:rsidR="002A46AD" w:rsidRPr="00DD47DF">
              <w:rPr>
                <w:rFonts w:cs="Calibri"/>
              </w:rPr>
              <w:t>4</w:t>
            </w:r>
          </w:p>
        </w:tc>
        <w:tc>
          <w:tcPr>
            <w:tcW w:w="0" w:type="auto"/>
            <w:tcBorders>
              <w:top w:val="single" w:sz="4" w:space="0" w:color="000000"/>
              <w:left w:val="single" w:sz="4" w:space="0" w:color="000000"/>
              <w:bottom w:val="single" w:sz="4" w:space="0" w:color="000000"/>
              <w:right w:val="single" w:sz="4" w:space="0" w:color="000000"/>
            </w:tcBorders>
            <w:vAlign w:val="center"/>
          </w:tcPr>
          <w:p w14:paraId="66FD0DF3" w14:textId="77777777" w:rsidR="002A46AD" w:rsidRPr="00DD47DF" w:rsidRDefault="00FE1B8C" w:rsidP="00DE124D">
            <w:pPr>
              <w:pStyle w:val="Tabulka"/>
              <w:jc w:val="left"/>
              <w:rPr>
                <w:rFonts w:cs="Calibri"/>
              </w:rPr>
            </w:pPr>
            <w:r w:rsidRPr="00DD47DF">
              <w:rPr>
                <w:rFonts w:cs="Calibri"/>
              </w:rPr>
              <w:t>Počet podniků pobírajících nefinanční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150D0EF4" w14:textId="77777777" w:rsidR="002A46AD" w:rsidRPr="00DD47DF" w:rsidRDefault="002A46AD" w:rsidP="00DE124D">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31035ACB" w14:textId="77777777" w:rsidR="002A46AD" w:rsidRPr="00DD47DF" w:rsidRDefault="002B3F69" w:rsidP="002A46AD">
            <w:pPr>
              <w:pStyle w:val="Tabulka"/>
              <w:rPr>
                <w:rFonts w:cs="Calibri"/>
              </w:rPr>
            </w:pPr>
            <w:r w:rsidRPr="00DD47DF">
              <w:rPr>
                <w:rFonts w:cs="Calibri"/>
              </w:rPr>
              <w:t>EFRR</w:t>
            </w:r>
          </w:p>
        </w:tc>
        <w:tc>
          <w:tcPr>
            <w:tcW w:w="1227" w:type="dxa"/>
            <w:tcBorders>
              <w:top w:val="single" w:sz="4" w:space="0" w:color="000000"/>
              <w:left w:val="single" w:sz="4" w:space="0" w:color="000000"/>
              <w:bottom w:val="single" w:sz="4" w:space="0" w:color="000000"/>
              <w:right w:val="single" w:sz="4" w:space="0" w:color="000000"/>
            </w:tcBorders>
            <w:vAlign w:val="center"/>
          </w:tcPr>
          <w:p w14:paraId="68BEE167" w14:textId="77777777" w:rsidR="002A46AD" w:rsidRPr="00DD47DF" w:rsidRDefault="002A46AD" w:rsidP="00DE124D">
            <w:pPr>
              <w:pStyle w:val="Tabulka"/>
              <w:rPr>
                <w:rFonts w:cs="Calibri"/>
              </w:rPr>
            </w:pPr>
            <w:r w:rsidRPr="00DD47DF">
              <w:rPr>
                <w:rFonts w:cs="Calibri"/>
              </w:rPr>
              <w:t>Méně rozvinuté regiony</w:t>
            </w:r>
          </w:p>
        </w:tc>
        <w:tc>
          <w:tcPr>
            <w:tcW w:w="1237" w:type="dxa"/>
            <w:tcBorders>
              <w:top w:val="single" w:sz="4" w:space="0" w:color="000000"/>
              <w:left w:val="single" w:sz="4" w:space="0" w:color="000000"/>
              <w:bottom w:val="single" w:sz="4" w:space="0" w:color="000000"/>
              <w:right w:val="single" w:sz="4" w:space="0" w:color="000000"/>
            </w:tcBorders>
            <w:vAlign w:val="center"/>
          </w:tcPr>
          <w:p w14:paraId="7DDA2D71" w14:textId="4244C7FD" w:rsidR="002A46AD" w:rsidRPr="00DD47DF" w:rsidRDefault="00CF4655" w:rsidP="00DE124D">
            <w:pPr>
              <w:pStyle w:val="Tabulka"/>
              <w:rPr>
                <w:rFonts w:cs="Calibri"/>
              </w:rPr>
            </w:pPr>
            <w:r>
              <w:rPr>
                <w:rFonts w:cs="Calibri"/>
              </w:rPr>
              <w:t>820</w:t>
            </w:r>
          </w:p>
        </w:tc>
        <w:tc>
          <w:tcPr>
            <w:tcW w:w="0" w:type="auto"/>
            <w:tcBorders>
              <w:top w:val="single" w:sz="4" w:space="0" w:color="000000"/>
              <w:left w:val="single" w:sz="4" w:space="0" w:color="000000"/>
              <w:bottom w:val="single" w:sz="4" w:space="0" w:color="000000"/>
              <w:right w:val="single" w:sz="4" w:space="0" w:color="000000"/>
            </w:tcBorders>
            <w:vAlign w:val="center"/>
          </w:tcPr>
          <w:p w14:paraId="360E4003" w14:textId="77777777" w:rsidR="002A46AD" w:rsidRPr="00DD47DF" w:rsidRDefault="00800418" w:rsidP="006D1774">
            <w:pPr>
              <w:pStyle w:val="Tabulka"/>
              <w:rPr>
                <w:rFonts w:cs="Calibri"/>
              </w:rPr>
            </w:pPr>
            <w:r>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5BBA8596" w14:textId="77777777" w:rsidR="002A46AD" w:rsidRPr="00DD47DF" w:rsidRDefault="00800418" w:rsidP="009974DF">
            <w:pPr>
              <w:pStyle w:val="Tabulka"/>
              <w:rPr>
                <w:rFonts w:cs="Calibri"/>
              </w:rPr>
            </w:pPr>
            <w:r>
              <w:rPr>
                <w:rFonts w:cs="Calibri"/>
              </w:rPr>
              <w:t>průběžně</w:t>
            </w:r>
          </w:p>
        </w:tc>
      </w:tr>
      <w:tr w:rsidR="006D1774" w:rsidRPr="00DD47DF" w14:paraId="2C9C0A47"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29F66075" w14:textId="550FBD6D" w:rsidR="006D1774" w:rsidRPr="00DD47DF" w:rsidRDefault="00C75691" w:rsidP="005A765B">
            <w:pPr>
              <w:pStyle w:val="Tabulka"/>
              <w:rPr>
                <w:rFonts w:cs="Calibri"/>
              </w:rPr>
            </w:pPr>
            <w:r w:rsidRPr="00DD47DF">
              <w:rPr>
                <w:rFonts w:cs="Calibri"/>
              </w:rPr>
              <w:t xml:space="preserve">CO </w:t>
            </w:r>
            <w:r w:rsidR="00927ADD" w:rsidRPr="00DD47DF">
              <w:rPr>
                <w:rFonts w:cs="Calibri"/>
              </w:rPr>
              <w:t>0</w:t>
            </w:r>
            <w:r w:rsidR="006D1774" w:rsidRPr="00DD47DF">
              <w:rPr>
                <w:rFonts w:cs="Calibri"/>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6BDF3860" w14:textId="77777777" w:rsidR="006D1774" w:rsidRPr="00DD47DF" w:rsidRDefault="00892451" w:rsidP="00B5004C">
            <w:pPr>
              <w:pStyle w:val="Tabulka"/>
              <w:jc w:val="left"/>
              <w:rPr>
                <w:rFonts w:cs="Calibri"/>
              </w:rPr>
            </w:pPr>
            <w:r w:rsidRPr="00892451">
              <w:rPr>
                <w:rFonts w:cs="Calibri"/>
              </w:rPr>
              <w:t>Soukromé investice odpovídající veřejné podpoře podniků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6D82ACD7" w14:textId="77777777" w:rsidR="006D1774" w:rsidRPr="00DD47DF" w:rsidRDefault="006D1774" w:rsidP="00DE124D">
            <w:pPr>
              <w:pStyle w:val="Tabulka"/>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492D9896" w14:textId="77777777" w:rsidR="006D1774" w:rsidRPr="00DD47DF" w:rsidRDefault="002B3F69" w:rsidP="002A46AD">
            <w:pPr>
              <w:pStyle w:val="Tabulka"/>
              <w:rPr>
                <w:rFonts w:cs="Calibri"/>
              </w:rPr>
            </w:pPr>
            <w:r w:rsidRPr="00DD47DF">
              <w:rPr>
                <w:rFonts w:cs="Calibri"/>
              </w:rPr>
              <w:t>EFRR</w:t>
            </w:r>
          </w:p>
        </w:tc>
        <w:tc>
          <w:tcPr>
            <w:tcW w:w="1227" w:type="dxa"/>
            <w:tcBorders>
              <w:top w:val="single" w:sz="4" w:space="0" w:color="000000"/>
              <w:left w:val="single" w:sz="4" w:space="0" w:color="000000"/>
              <w:bottom w:val="single" w:sz="4" w:space="0" w:color="000000"/>
              <w:right w:val="single" w:sz="4" w:space="0" w:color="000000"/>
            </w:tcBorders>
            <w:vAlign w:val="center"/>
          </w:tcPr>
          <w:p w14:paraId="75437C4B" w14:textId="77777777" w:rsidR="006D1774" w:rsidRPr="00DD47DF" w:rsidRDefault="006D1774" w:rsidP="00DE124D">
            <w:pPr>
              <w:pStyle w:val="Tabulka"/>
              <w:rPr>
                <w:rFonts w:cs="Calibri"/>
              </w:rPr>
            </w:pPr>
            <w:r w:rsidRPr="00DD47DF">
              <w:rPr>
                <w:rFonts w:cs="Calibri"/>
              </w:rPr>
              <w:t>Méně rozvinuté regiony</w:t>
            </w:r>
          </w:p>
        </w:tc>
        <w:tc>
          <w:tcPr>
            <w:tcW w:w="1237" w:type="dxa"/>
            <w:tcBorders>
              <w:top w:val="single" w:sz="4" w:space="0" w:color="000000"/>
              <w:left w:val="single" w:sz="4" w:space="0" w:color="000000"/>
              <w:bottom w:val="single" w:sz="4" w:space="0" w:color="000000"/>
              <w:right w:val="single" w:sz="4" w:space="0" w:color="000000"/>
            </w:tcBorders>
            <w:vAlign w:val="center"/>
          </w:tcPr>
          <w:p w14:paraId="3904463A" w14:textId="63B8FC77" w:rsidR="006D1774" w:rsidRPr="00DD47DF" w:rsidRDefault="00CF4655" w:rsidP="00DE124D">
            <w:pPr>
              <w:pStyle w:val="Tabulka"/>
              <w:rPr>
                <w:rFonts w:cs="Calibri"/>
              </w:rPr>
            </w:pPr>
            <w:r>
              <w:rPr>
                <w:rFonts w:cs="Calibri"/>
              </w:rPr>
              <w:t>35</w:t>
            </w:r>
            <w:r w:rsidRPr="00DD47DF">
              <w:rPr>
                <w:rFonts w:cs="Calibri"/>
              </w:rPr>
              <w:t> </w:t>
            </w:r>
            <w:r w:rsidR="00457AB8" w:rsidRPr="00DD47DF">
              <w:rPr>
                <w:rFonts w:cs="Calibri"/>
              </w:rPr>
              <w:t>0</w:t>
            </w:r>
            <w:r w:rsidR="00084ED8" w:rsidRPr="00DD47DF">
              <w:rPr>
                <w:rFonts w:cs="Calibri"/>
              </w:rPr>
              <w:t>00 000</w:t>
            </w:r>
          </w:p>
        </w:tc>
        <w:tc>
          <w:tcPr>
            <w:tcW w:w="0" w:type="auto"/>
            <w:tcBorders>
              <w:top w:val="single" w:sz="4" w:space="0" w:color="000000"/>
              <w:left w:val="single" w:sz="4" w:space="0" w:color="000000"/>
              <w:bottom w:val="single" w:sz="4" w:space="0" w:color="000000"/>
              <w:right w:val="single" w:sz="4" w:space="0" w:color="000000"/>
            </w:tcBorders>
            <w:vAlign w:val="center"/>
          </w:tcPr>
          <w:p w14:paraId="7406F802" w14:textId="77777777" w:rsidR="006D1774" w:rsidRPr="00DD47DF" w:rsidRDefault="00800418" w:rsidP="006D1774">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4A6555DE" w14:textId="77777777" w:rsidR="006D1774" w:rsidRPr="00DD47DF" w:rsidRDefault="00934A97" w:rsidP="009974DF">
            <w:pPr>
              <w:pStyle w:val="Tabulka"/>
              <w:rPr>
                <w:rFonts w:cs="Calibri"/>
              </w:rPr>
            </w:pPr>
            <w:r>
              <w:rPr>
                <w:rFonts w:cs="Calibri"/>
              </w:rPr>
              <w:t>průběžně</w:t>
            </w:r>
          </w:p>
        </w:tc>
      </w:tr>
    </w:tbl>
    <w:p w14:paraId="79431D75" w14:textId="77777777" w:rsidR="00786F1A" w:rsidRPr="00DD47DF" w:rsidRDefault="008C7D72" w:rsidP="00DA3512">
      <w:pPr>
        <w:pStyle w:val="kapitola2A0"/>
        <w:numPr>
          <w:ilvl w:val="2"/>
          <w:numId w:val="63"/>
        </w:numPr>
      </w:pPr>
      <w:bookmarkStart w:id="50" w:name="_Toc520445265"/>
      <w:r w:rsidRPr="00DD47DF">
        <w:t>INVESTIČNÍ PRIORITA</w:t>
      </w:r>
      <w:r w:rsidR="00AA66A2" w:rsidRPr="00DD47DF">
        <w:t xml:space="preserve"> 3 prioritní osy 2</w:t>
      </w:r>
      <w:r w:rsidRPr="00DD47DF">
        <w:t xml:space="preserve">: </w:t>
      </w:r>
      <w:r w:rsidR="002641C7" w:rsidRPr="00DD47DF">
        <w:t>Podpora vytváření a rozšiřování vyspělých</w:t>
      </w:r>
      <w:r w:rsidRPr="00DD47DF">
        <w:t xml:space="preserve"> kapacit pro rozvoj produktů a služeb</w:t>
      </w:r>
      <w:bookmarkEnd w:id="50"/>
    </w:p>
    <w:p w14:paraId="1ECDFF47" w14:textId="77777777" w:rsidR="00EB13D9" w:rsidRPr="00DD47DF" w:rsidRDefault="008C7D72" w:rsidP="00DA3512">
      <w:pPr>
        <w:pStyle w:val="kapitola2A0"/>
        <w:numPr>
          <w:ilvl w:val="2"/>
          <w:numId w:val="63"/>
        </w:numPr>
      </w:pPr>
      <w:bookmarkStart w:id="51" w:name="_Toc520445266"/>
      <w:r w:rsidRPr="00DD47DF">
        <w:t>Specifické cíle odpovídající investiční prioritě a očekávané výsledky</w:t>
      </w:r>
      <w:bookmarkEnd w:id="51"/>
    </w:p>
    <w:p w14:paraId="5FC6FE50" w14:textId="77777777" w:rsidR="00EB13D9" w:rsidRPr="00DD47DF" w:rsidRDefault="00EB13D9" w:rsidP="00396141">
      <w:pPr>
        <w:pStyle w:val="Modrnadpis"/>
      </w:pPr>
      <w:r w:rsidRPr="00DD47DF">
        <w:t xml:space="preserve">SPECIFICKÝ CÍL </w:t>
      </w:r>
      <w:r w:rsidR="00C71E6F" w:rsidRPr="00DD47DF">
        <w:t>2.</w:t>
      </w:r>
      <w:r w:rsidRPr="00DD47DF">
        <w:t xml:space="preserve">3: </w:t>
      </w:r>
      <w:r w:rsidR="00C76EE3" w:rsidRPr="00DD47DF">
        <w:t>Zvýš</w:t>
      </w:r>
      <w:r w:rsidR="00771951" w:rsidRPr="00DD47DF">
        <w:t xml:space="preserve">it </w:t>
      </w:r>
      <w:r w:rsidR="00C76EE3" w:rsidRPr="00DD47DF">
        <w:t>využitelnost infrastruktury pro podnikání</w:t>
      </w:r>
    </w:p>
    <w:p w14:paraId="701733C1" w14:textId="77777777" w:rsidR="00781B41" w:rsidRPr="00DD47DF" w:rsidRDefault="00781B41" w:rsidP="005E45B6">
      <w:pPr>
        <w:pStyle w:val="Standardntext"/>
      </w:pPr>
      <w:r w:rsidRPr="00DD47DF">
        <w:t>Rozvoj nových a inovativních podnikatelských aktivit MSP je limitován nevhodnými parametry zastaralé podnikatelské infrastruktury jejíž provoz navíc vyžaduje vysoké režijní náklady. V regionech ČR se zároveň vyskytuje řada lokalit typu brownfield, které by bylo možné regenerovat a opětovně využít pro ekonomické aktivity MSP. Specifickým cílem je proto zlepšit kvalitu a zvýšit využitelnost podnikatelské infrastruktury</w:t>
      </w:r>
      <w:r w:rsidR="00906ED2" w:rsidRPr="00DD47DF">
        <w:t xml:space="preserve"> typu</w:t>
      </w:r>
      <w:r w:rsidRPr="00DD47DF">
        <w:t xml:space="preserve"> brownfield, a umožnit tak MSP realizovat své rozvojové podnikatelské záměry, které mohou vést nejen k rozšiřování výroby, ale také k posunu podniků směrem výše v rámci hodnotového řetězce.</w:t>
      </w:r>
    </w:p>
    <w:p w14:paraId="45295425" w14:textId="77777777" w:rsidR="001A5C2A" w:rsidRPr="00DD47DF" w:rsidRDefault="003508A9" w:rsidP="001A5C2A">
      <w:pPr>
        <w:pStyle w:val="Modrnadpis"/>
      </w:pPr>
      <w:r w:rsidRPr="00DD47DF">
        <w:t>Výsledky, kterých chce ČR dosáhnout s podporou Unie</w:t>
      </w:r>
    </w:p>
    <w:p w14:paraId="5D8DF1F8" w14:textId="788BDD87" w:rsidR="001A5C2A" w:rsidRPr="00DD47DF" w:rsidRDefault="008E3478" w:rsidP="00D927A2">
      <w:pPr>
        <w:pStyle w:val="Standardntext"/>
        <w:numPr>
          <w:ilvl w:val="0"/>
          <w:numId w:val="55"/>
        </w:numPr>
      </w:pPr>
      <w:r w:rsidRPr="00700E39">
        <w:t>Prostorově a ekonomicky vyhovující podnikatelské infrastruktury, včetně regenerovaných lokalit typu brownfield, umožní MSP přechod od běžné výroby a služeb na výrobu či služby s vyšší technickou a technologickou úrovní zajišťující konkurenceschopnost, snížení provozních nákladů, vysokou přidanou hodnotu s potenciálem lepšího uplatnění na zahraničních trzích.</w:t>
      </w:r>
    </w:p>
    <w:p w14:paraId="2988B1D4" w14:textId="77777777" w:rsidR="00EB13D9" w:rsidRPr="00DD47DF" w:rsidRDefault="00EB13D9" w:rsidP="00EB13D9">
      <w:pPr>
        <w:pStyle w:val="Titulek"/>
        <w:keepNext/>
        <w:rPr>
          <w:rFonts w:cs="Calibri"/>
        </w:rPr>
      </w:pPr>
      <w:r w:rsidRPr="00DD47DF">
        <w:rPr>
          <w:rFonts w:cs="Calibri"/>
        </w:rPr>
        <w:lastRenderedPageBreak/>
        <w:t xml:space="preserve">Tabulka </w:t>
      </w:r>
      <w:r w:rsidR="002756E7" w:rsidRPr="00DD47DF">
        <w:rPr>
          <w:rFonts w:cs="Calibri"/>
        </w:rPr>
        <w:fldChar w:fldCharType="begin"/>
      </w:r>
      <w:r w:rsidR="00955F90"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00955F90" w:rsidRPr="00DD47DF">
        <w:rPr>
          <w:rFonts w:cs="Calibri"/>
        </w:rPr>
        <w:t>a</w:t>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5000" w:type="pct"/>
        <w:tblLayout w:type="fixed"/>
        <w:tblCellMar>
          <w:left w:w="57" w:type="dxa"/>
          <w:right w:w="57" w:type="dxa"/>
        </w:tblCellMar>
        <w:tblLook w:val="01E0" w:firstRow="1" w:lastRow="1" w:firstColumn="1" w:lastColumn="1" w:noHBand="0" w:noVBand="0"/>
      </w:tblPr>
      <w:tblGrid>
        <w:gridCol w:w="766"/>
        <w:gridCol w:w="1559"/>
        <w:gridCol w:w="998"/>
        <w:gridCol w:w="1117"/>
        <w:gridCol w:w="862"/>
        <w:gridCol w:w="851"/>
        <w:gridCol w:w="1134"/>
        <w:gridCol w:w="994"/>
        <w:gridCol w:w="1045"/>
      </w:tblGrid>
      <w:tr w:rsidR="006103E6" w:rsidRPr="00DD47DF" w14:paraId="42220E72" w14:textId="77777777" w:rsidTr="004E589F">
        <w:trPr>
          <w:trHeight w:hRule="exact" w:val="1262"/>
        </w:trPr>
        <w:tc>
          <w:tcPr>
            <w:tcW w:w="411"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7C1AD9B8" w14:textId="77777777" w:rsidR="00CF739D" w:rsidRPr="00DD47DF" w:rsidRDefault="00CF739D" w:rsidP="001B2E5C">
            <w:pPr>
              <w:pStyle w:val="Tabulka"/>
              <w:rPr>
                <w:rFonts w:cs="Calibri"/>
                <w:b/>
                <w:bCs/>
                <w:sz w:val="20"/>
              </w:rPr>
            </w:pPr>
            <w:r w:rsidRPr="00DD47DF">
              <w:rPr>
                <w:rFonts w:cs="Calibri"/>
                <w:b/>
                <w:bCs/>
                <w:sz w:val="20"/>
              </w:rPr>
              <w:t>ID</w:t>
            </w:r>
          </w:p>
        </w:tc>
        <w:tc>
          <w:tcPr>
            <w:tcW w:w="836"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D1F6187" w14:textId="77777777" w:rsidR="00CF739D" w:rsidRPr="00DD47DF" w:rsidRDefault="00CF739D" w:rsidP="001B2E5C">
            <w:pPr>
              <w:pStyle w:val="Tabulka"/>
              <w:rPr>
                <w:rFonts w:cs="Calibri"/>
                <w:b/>
                <w:bCs/>
                <w:sz w:val="20"/>
              </w:rPr>
            </w:pPr>
            <w:r w:rsidRPr="00DD47DF">
              <w:rPr>
                <w:rFonts w:cs="Calibri"/>
                <w:b/>
                <w:bCs/>
                <w:sz w:val="20"/>
              </w:rPr>
              <w:t>Ukazatel</w:t>
            </w:r>
          </w:p>
        </w:tc>
        <w:tc>
          <w:tcPr>
            <w:tcW w:w="535"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7ED5149" w14:textId="77777777" w:rsidR="00CF739D" w:rsidRPr="00DD47DF" w:rsidRDefault="00CF739D" w:rsidP="001B2E5C">
            <w:pPr>
              <w:pStyle w:val="Tabulka"/>
              <w:rPr>
                <w:rFonts w:cs="Calibri"/>
                <w:b/>
                <w:bCs/>
                <w:sz w:val="20"/>
              </w:rPr>
            </w:pPr>
            <w:r w:rsidRPr="00DD47DF">
              <w:rPr>
                <w:rFonts w:cs="Calibri"/>
                <w:b/>
                <w:bCs/>
                <w:sz w:val="20"/>
              </w:rPr>
              <w:t>Měrná</w:t>
            </w:r>
          </w:p>
          <w:p w14:paraId="56541DCF" w14:textId="77777777" w:rsidR="00CF739D" w:rsidRPr="00DD47DF" w:rsidRDefault="00CF739D" w:rsidP="001B2E5C">
            <w:pPr>
              <w:pStyle w:val="Tabulka"/>
              <w:rPr>
                <w:rFonts w:cs="Calibri"/>
                <w:b/>
                <w:bCs/>
                <w:sz w:val="20"/>
              </w:rPr>
            </w:pPr>
            <w:r w:rsidRPr="00DD47DF">
              <w:rPr>
                <w:rFonts w:cs="Calibri"/>
                <w:b/>
                <w:bCs/>
                <w:sz w:val="20"/>
              </w:rPr>
              <w:t>jednotka</w:t>
            </w:r>
          </w:p>
        </w:tc>
        <w:tc>
          <w:tcPr>
            <w:tcW w:w="599"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74086231" w14:textId="77777777" w:rsidR="00CF739D" w:rsidRPr="00DD47DF" w:rsidRDefault="00CF739D" w:rsidP="001B2E5C">
            <w:pPr>
              <w:pStyle w:val="Tabulka"/>
              <w:rPr>
                <w:rFonts w:cs="Calibri"/>
                <w:b/>
                <w:bCs/>
                <w:sz w:val="20"/>
              </w:rPr>
            </w:pPr>
            <w:r w:rsidRPr="00DD47DF">
              <w:rPr>
                <w:rFonts w:cs="Calibri"/>
                <w:b/>
                <w:bCs/>
                <w:sz w:val="20"/>
              </w:rPr>
              <w:t>Kategorie regionů (je-li relevantní)</w:t>
            </w:r>
          </w:p>
        </w:tc>
        <w:tc>
          <w:tcPr>
            <w:tcW w:w="462"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0ABE365" w14:textId="77777777" w:rsidR="00CF739D" w:rsidRPr="00DD47DF" w:rsidRDefault="004B0854" w:rsidP="001B2E5C">
            <w:pPr>
              <w:pStyle w:val="Tabulka"/>
              <w:rPr>
                <w:rFonts w:cs="Calibri"/>
                <w:b/>
                <w:bCs/>
                <w:sz w:val="20"/>
              </w:rPr>
            </w:pPr>
            <w:r w:rsidRPr="00DD47DF">
              <w:rPr>
                <w:rFonts w:cs="Calibri"/>
                <w:b/>
                <w:bCs/>
                <w:sz w:val="20"/>
              </w:rPr>
              <w:t>Výchozí hodnota</w:t>
            </w:r>
          </w:p>
        </w:tc>
        <w:tc>
          <w:tcPr>
            <w:tcW w:w="456"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D3F5B41" w14:textId="77777777" w:rsidR="00CF739D" w:rsidRPr="00DD47DF" w:rsidRDefault="004B0854" w:rsidP="004B0854">
            <w:pPr>
              <w:pStyle w:val="Tabulka"/>
              <w:rPr>
                <w:rFonts w:cs="Calibri"/>
                <w:b/>
                <w:bCs/>
                <w:sz w:val="20"/>
              </w:rPr>
            </w:pPr>
            <w:r w:rsidRPr="00DD47DF">
              <w:rPr>
                <w:rFonts w:cs="Calibri"/>
                <w:b/>
                <w:bCs/>
                <w:sz w:val="20"/>
              </w:rPr>
              <w:t xml:space="preserve">Výchozí </w:t>
            </w:r>
            <w:r w:rsidR="00CF739D" w:rsidRPr="00DD47DF">
              <w:rPr>
                <w:rFonts w:cs="Calibri"/>
                <w:b/>
                <w:bCs/>
                <w:sz w:val="20"/>
              </w:rPr>
              <w:t>rok</w:t>
            </w:r>
          </w:p>
        </w:tc>
        <w:tc>
          <w:tcPr>
            <w:tcW w:w="608"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29CA3FB" w14:textId="77777777" w:rsidR="00CF739D" w:rsidRPr="00DD47DF" w:rsidRDefault="00CF739D" w:rsidP="001B2E5C">
            <w:pPr>
              <w:pStyle w:val="Tabulka"/>
              <w:rPr>
                <w:rFonts w:cs="Calibri"/>
                <w:b/>
                <w:bCs/>
                <w:sz w:val="20"/>
              </w:rPr>
            </w:pPr>
            <w:r w:rsidRPr="00DD47DF">
              <w:rPr>
                <w:rFonts w:cs="Calibri"/>
                <w:b/>
                <w:bCs/>
                <w:sz w:val="20"/>
              </w:rPr>
              <w:t>Cílová hodnota (2023)</w:t>
            </w:r>
          </w:p>
        </w:tc>
        <w:tc>
          <w:tcPr>
            <w:tcW w:w="533"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E4BB18C" w14:textId="77777777" w:rsidR="00CF739D" w:rsidRPr="00DD47DF" w:rsidRDefault="00CF739D" w:rsidP="001B2E5C">
            <w:pPr>
              <w:pStyle w:val="Tabulka"/>
              <w:rPr>
                <w:rFonts w:cs="Calibri"/>
                <w:b/>
                <w:bCs/>
                <w:sz w:val="20"/>
              </w:rPr>
            </w:pPr>
            <w:r w:rsidRPr="00DD47DF">
              <w:rPr>
                <w:rFonts w:cs="Calibri"/>
                <w:b/>
                <w:bCs/>
                <w:sz w:val="20"/>
              </w:rPr>
              <w:t>Zdroj údajů</w:t>
            </w:r>
          </w:p>
        </w:tc>
        <w:tc>
          <w:tcPr>
            <w:tcW w:w="560"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8E707C6" w14:textId="77777777" w:rsidR="00CF739D" w:rsidRPr="00DD47DF" w:rsidRDefault="00CF739D" w:rsidP="001B2E5C">
            <w:pPr>
              <w:pStyle w:val="Tabulka"/>
              <w:rPr>
                <w:rFonts w:cs="Calibri"/>
                <w:b/>
                <w:bCs/>
                <w:sz w:val="20"/>
              </w:rPr>
            </w:pPr>
            <w:r w:rsidRPr="00DD47DF">
              <w:rPr>
                <w:rFonts w:cs="Calibri"/>
                <w:b/>
                <w:bCs/>
                <w:sz w:val="20"/>
              </w:rPr>
              <w:t>Četnost podávání zpráv</w:t>
            </w:r>
          </w:p>
        </w:tc>
      </w:tr>
      <w:tr w:rsidR="009A45DC" w:rsidRPr="00DD47DF" w14:paraId="252538E5" w14:textId="77777777" w:rsidTr="001D58DB">
        <w:trPr>
          <w:trHeight w:hRule="exact" w:val="2377"/>
        </w:trPr>
        <w:tc>
          <w:tcPr>
            <w:tcW w:w="411" w:type="pct"/>
            <w:tcBorders>
              <w:top w:val="single" w:sz="4" w:space="0" w:color="000000"/>
              <w:left w:val="single" w:sz="4" w:space="0" w:color="000000"/>
              <w:bottom w:val="single" w:sz="4" w:space="0" w:color="000000"/>
              <w:right w:val="single" w:sz="4" w:space="0" w:color="000000"/>
            </w:tcBorders>
            <w:vAlign w:val="center"/>
          </w:tcPr>
          <w:p w14:paraId="2F910B40" w14:textId="77777777" w:rsidR="009A45DC" w:rsidRPr="00DD47DF" w:rsidDel="009A45DC" w:rsidRDefault="00922197" w:rsidP="00EB13D9">
            <w:pPr>
              <w:pStyle w:val="Tabulka"/>
              <w:rPr>
                <w:rFonts w:cs="Calibri"/>
              </w:rPr>
            </w:pPr>
            <w:r w:rsidRPr="00DD47DF">
              <w:rPr>
                <w:rFonts w:cs="Calibri"/>
              </w:rPr>
              <w:t>2</w:t>
            </w:r>
            <w:r w:rsidR="00831F28" w:rsidRPr="00DD47DF">
              <w:rPr>
                <w:rFonts w:cs="Calibri"/>
              </w:rPr>
              <w:t>3300</w:t>
            </w:r>
          </w:p>
        </w:tc>
        <w:tc>
          <w:tcPr>
            <w:tcW w:w="836" w:type="pct"/>
            <w:tcBorders>
              <w:top w:val="single" w:sz="4" w:space="0" w:color="000000"/>
              <w:left w:val="single" w:sz="4" w:space="0" w:color="000000"/>
              <w:bottom w:val="single" w:sz="4" w:space="0" w:color="000000"/>
              <w:right w:val="single" w:sz="4" w:space="0" w:color="000000"/>
            </w:tcBorders>
            <w:vAlign w:val="center"/>
          </w:tcPr>
          <w:p w14:paraId="6A6955F0" w14:textId="77777777" w:rsidR="009A45DC" w:rsidRPr="00DD47DF" w:rsidDel="009A45DC" w:rsidRDefault="00831F28" w:rsidP="00AF574A">
            <w:pPr>
              <w:pStyle w:val="Tabulka"/>
              <w:jc w:val="left"/>
              <w:rPr>
                <w:rFonts w:cs="Calibri"/>
              </w:rPr>
            </w:pPr>
            <w:r w:rsidRPr="00DD47DF">
              <w:rPr>
                <w:rFonts w:cs="Calibri"/>
              </w:rPr>
              <w:t>Celková rozloha regenerovaných lokalit v Národní databázi brownfieldů pro ekonomické využití MSP</w:t>
            </w:r>
          </w:p>
        </w:tc>
        <w:tc>
          <w:tcPr>
            <w:tcW w:w="535" w:type="pct"/>
            <w:tcBorders>
              <w:top w:val="single" w:sz="4" w:space="0" w:color="000000"/>
              <w:left w:val="single" w:sz="4" w:space="0" w:color="000000"/>
              <w:bottom w:val="single" w:sz="4" w:space="0" w:color="000000"/>
              <w:right w:val="single" w:sz="4" w:space="0" w:color="000000"/>
            </w:tcBorders>
            <w:vAlign w:val="center"/>
          </w:tcPr>
          <w:p w14:paraId="6612C129" w14:textId="77777777" w:rsidR="009A45DC" w:rsidRPr="00DD47DF" w:rsidDel="009A45DC" w:rsidRDefault="009A45DC" w:rsidP="00EB13D9">
            <w:pPr>
              <w:pStyle w:val="Tabulka"/>
              <w:rPr>
                <w:rFonts w:cs="Calibri"/>
              </w:rPr>
            </w:pPr>
            <w:r w:rsidRPr="00DD47DF">
              <w:rPr>
                <w:rFonts w:cs="Calibri"/>
                <w:bCs/>
              </w:rPr>
              <w:t>m</w:t>
            </w:r>
            <w:r w:rsidRPr="00DD47DF">
              <w:rPr>
                <w:rFonts w:cs="Calibri"/>
                <w:bCs/>
                <w:vertAlign w:val="superscript"/>
              </w:rPr>
              <w:t>2</w:t>
            </w:r>
          </w:p>
        </w:tc>
        <w:tc>
          <w:tcPr>
            <w:tcW w:w="599" w:type="pct"/>
            <w:tcBorders>
              <w:top w:val="single" w:sz="4" w:space="0" w:color="000000"/>
              <w:left w:val="single" w:sz="4" w:space="0" w:color="000000"/>
              <w:bottom w:val="single" w:sz="4" w:space="0" w:color="000000"/>
              <w:right w:val="single" w:sz="4" w:space="0" w:color="000000"/>
            </w:tcBorders>
            <w:vAlign w:val="center"/>
          </w:tcPr>
          <w:p w14:paraId="78892E16" w14:textId="77777777" w:rsidR="009A45DC" w:rsidRPr="00DD47DF" w:rsidDel="009A45DC" w:rsidRDefault="009A45DC" w:rsidP="00EB13D9">
            <w:pPr>
              <w:pStyle w:val="Tabulka"/>
              <w:rPr>
                <w:rFonts w:cs="Calibri"/>
              </w:rPr>
            </w:pPr>
            <w:r w:rsidRPr="00DD47DF">
              <w:rPr>
                <w:rFonts w:cs="Calibri"/>
              </w:rPr>
              <w:t>Méně rozvinuté regiony</w:t>
            </w:r>
          </w:p>
        </w:tc>
        <w:tc>
          <w:tcPr>
            <w:tcW w:w="462" w:type="pct"/>
            <w:tcBorders>
              <w:top w:val="single" w:sz="4" w:space="0" w:color="000000"/>
              <w:left w:val="single" w:sz="4" w:space="0" w:color="000000"/>
              <w:bottom w:val="single" w:sz="4" w:space="0" w:color="000000"/>
              <w:right w:val="single" w:sz="4" w:space="0" w:color="000000"/>
            </w:tcBorders>
            <w:vAlign w:val="center"/>
          </w:tcPr>
          <w:p w14:paraId="41BA0D49" w14:textId="77777777" w:rsidR="009A45DC" w:rsidRPr="00DD47DF" w:rsidDel="009A45DC" w:rsidRDefault="00831F28" w:rsidP="00EB13D9">
            <w:pPr>
              <w:pStyle w:val="Tabulka"/>
              <w:rPr>
                <w:rFonts w:cs="Calibri"/>
              </w:rPr>
            </w:pPr>
            <w:r w:rsidRPr="00DD47DF">
              <w:rPr>
                <w:rFonts w:cs="Calibri"/>
              </w:rPr>
              <w:t>258 756 977</w:t>
            </w:r>
          </w:p>
        </w:tc>
        <w:tc>
          <w:tcPr>
            <w:tcW w:w="456" w:type="pct"/>
            <w:tcBorders>
              <w:top w:val="single" w:sz="4" w:space="0" w:color="000000"/>
              <w:left w:val="single" w:sz="4" w:space="0" w:color="000000"/>
              <w:bottom w:val="single" w:sz="4" w:space="0" w:color="000000"/>
              <w:right w:val="single" w:sz="4" w:space="0" w:color="000000"/>
            </w:tcBorders>
            <w:vAlign w:val="center"/>
          </w:tcPr>
          <w:p w14:paraId="199C76C6" w14:textId="77777777" w:rsidR="009A45DC" w:rsidRPr="00DD47DF" w:rsidDel="009A45DC" w:rsidRDefault="009A45DC" w:rsidP="00EB13D9">
            <w:pPr>
              <w:pStyle w:val="Tabulka"/>
              <w:rPr>
                <w:rFonts w:cs="Calibri"/>
              </w:rPr>
            </w:pPr>
            <w:r w:rsidRPr="00DD47DF">
              <w:rPr>
                <w:rFonts w:cs="Calibri"/>
              </w:rPr>
              <w:t>2014</w:t>
            </w:r>
          </w:p>
        </w:tc>
        <w:tc>
          <w:tcPr>
            <w:tcW w:w="608" w:type="pct"/>
            <w:tcBorders>
              <w:top w:val="single" w:sz="4" w:space="0" w:color="000000"/>
              <w:left w:val="single" w:sz="4" w:space="0" w:color="000000"/>
              <w:bottom w:val="single" w:sz="4" w:space="0" w:color="000000"/>
              <w:right w:val="single" w:sz="4" w:space="0" w:color="000000"/>
            </w:tcBorders>
            <w:vAlign w:val="center"/>
          </w:tcPr>
          <w:p w14:paraId="228547D3" w14:textId="77777777" w:rsidR="009A45DC" w:rsidRPr="00DD47DF" w:rsidDel="009A45DC" w:rsidRDefault="00831F28" w:rsidP="00EB13D9">
            <w:pPr>
              <w:pStyle w:val="Tabulka"/>
              <w:rPr>
                <w:rFonts w:cs="Calibri"/>
                <w:sz w:val="20"/>
              </w:rPr>
            </w:pPr>
            <w:r w:rsidRPr="00DD47DF">
              <w:rPr>
                <w:rFonts w:cs="Calibri"/>
              </w:rPr>
              <w:t>259 000 000 – 260 500 000</w:t>
            </w:r>
            <w:r w:rsidRPr="00DD47DF">
              <w:rPr>
                <w:rStyle w:val="Znakapoznpodarou"/>
                <w:rFonts w:cs="Calibri"/>
              </w:rPr>
              <w:footnoteReference w:id="54"/>
            </w:r>
          </w:p>
        </w:tc>
        <w:tc>
          <w:tcPr>
            <w:tcW w:w="533" w:type="pct"/>
            <w:tcBorders>
              <w:top w:val="single" w:sz="4" w:space="0" w:color="000000"/>
              <w:left w:val="single" w:sz="4" w:space="0" w:color="000000"/>
              <w:bottom w:val="single" w:sz="4" w:space="0" w:color="000000"/>
              <w:right w:val="single" w:sz="4" w:space="0" w:color="000000"/>
            </w:tcBorders>
            <w:vAlign w:val="center"/>
          </w:tcPr>
          <w:p w14:paraId="6E211E79" w14:textId="77777777" w:rsidR="00F229AC" w:rsidRPr="00DD47DF" w:rsidRDefault="00CA3ED8" w:rsidP="00F229AC">
            <w:pPr>
              <w:pStyle w:val="Tabulka"/>
              <w:rPr>
                <w:rFonts w:cs="Calibri"/>
              </w:rPr>
            </w:pPr>
            <w:r>
              <w:rPr>
                <w:rFonts w:cs="Calibri"/>
              </w:rPr>
              <w:t>ŘO</w:t>
            </w:r>
          </w:p>
          <w:p w14:paraId="079B0A56" w14:textId="77777777" w:rsidR="009A45DC" w:rsidRPr="00DD47DF" w:rsidDel="009A45DC" w:rsidRDefault="009A45DC" w:rsidP="00F229AC">
            <w:pPr>
              <w:pStyle w:val="Tabulka"/>
              <w:rPr>
                <w:rFonts w:cs="Calibri"/>
              </w:rPr>
            </w:pPr>
          </w:p>
        </w:tc>
        <w:tc>
          <w:tcPr>
            <w:tcW w:w="560" w:type="pct"/>
            <w:tcBorders>
              <w:top w:val="single" w:sz="4" w:space="0" w:color="000000"/>
              <w:left w:val="single" w:sz="4" w:space="0" w:color="000000"/>
              <w:bottom w:val="single" w:sz="4" w:space="0" w:color="000000"/>
              <w:right w:val="single" w:sz="4" w:space="0" w:color="000000"/>
            </w:tcBorders>
            <w:vAlign w:val="center"/>
          </w:tcPr>
          <w:p w14:paraId="61E83AD0" w14:textId="77777777" w:rsidR="009A45DC" w:rsidRPr="00DD47DF" w:rsidDel="009A45DC" w:rsidRDefault="009A45DC" w:rsidP="00EB13D9">
            <w:pPr>
              <w:pStyle w:val="Tabulka"/>
              <w:rPr>
                <w:rFonts w:cs="Calibri"/>
              </w:rPr>
            </w:pPr>
            <w:r w:rsidRPr="00DD47DF">
              <w:rPr>
                <w:rFonts w:cs="Calibri"/>
              </w:rPr>
              <w:t>ročně</w:t>
            </w:r>
          </w:p>
        </w:tc>
      </w:tr>
    </w:tbl>
    <w:p w14:paraId="20048249" w14:textId="77777777" w:rsidR="00F262C8" w:rsidRPr="00DD47DF" w:rsidRDefault="001B2E5C" w:rsidP="00DA3512">
      <w:pPr>
        <w:pStyle w:val="kapitola2A0"/>
        <w:numPr>
          <w:ilvl w:val="2"/>
          <w:numId w:val="63"/>
        </w:numPr>
      </w:pPr>
      <w:bookmarkStart w:id="52" w:name="_Toc520445267"/>
      <w:r w:rsidRPr="00DD47DF">
        <w:t>Opatření, jež má být podpořeno v rámci investiční priority</w:t>
      </w:r>
      <w:bookmarkEnd w:id="52"/>
    </w:p>
    <w:p w14:paraId="6806DCDF" w14:textId="77777777" w:rsidR="00F262C8" w:rsidRPr="00DD47DF" w:rsidRDefault="00D479AF" w:rsidP="00EA7151">
      <w:pPr>
        <w:pStyle w:val="Nadpis5"/>
        <w:numPr>
          <w:ilvl w:val="4"/>
          <w:numId w:val="20"/>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6A54333F" w14:textId="77777777" w:rsidR="00F262C8" w:rsidRPr="00DD47DF" w:rsidRDefault="00F262C8" w:rsidP="00EA7151">
      <w:pPr>
        <w:pStyle w:val="Modrnadpis"/>
      </w:pPr>
      <w:r w:rsidRPr="00DD47DF">
        <w:t xml:space="preserve">SPECIFICKÝ CÍL </w:t>
      </w:r>
      <w:r w:rsidR="00C71E6F" w:rsidRPr="00DD47DF">
        <w:t>2.</w:t>
      </w:r>
      <w:r w:rsidRPr="00DD47DF">
        <w:t>3:</w:t>
      </w:r>
      <w:r w:rsidR="00C76EE3" w:rsidRPr="00DD47DF">
        <w:t xml:space="preserve"> Zvýš</w:t>
      </w:r>
      <w:r w:rsidR="00771951" w:rsidRPr="00DD47DF">
        <w:t xml:space="preserve">it </w:t>
      </w:r>
      <w:r w:rsidR="00C76EE3" w:rsidRPr="00DD47DF">
        <w:t>využitelnost infrastruktury pro podnikání</w:t>
      </w:r>
      <w:r w:rsidRPr="00DD47DF">
        <w:t xml:space="preserve"> </w:t>
      </w:r>
    </w:p>
    <w:p w14:paraId="3B3EE8BB" w14:textId="77777777" w:rsidR="00F262C8" w:rsidRPr="00DD47DF" w:rsidRDefault="000A2EB4" w:rsidP="00EA7151">
      <w:pPr>
        <w:pStyle w:val="Standardntext"/>
        <w:keepNext/>
        <w:keepLines/>
        <w:rPr>
          <w:b/>
        </w:rPr>
      </w:pPr>
      <w:r w:rsidRPr="00DD47DF">
        <w:rPr>
          <w:b/>
        </w:rPr>
        <w:t>Aktivity pro tento specifický cíl:</w:t>
      </w:r>
    </w:p>
    <w:p w14:paraId="77731689" w14:textId="77777777" w:rsidR="00F262C8" w:rsidRPr="00DD47DF" w:rsidRDefault="007C0A99" w:rsidP="00D927A2">
      <w:pPr>
        <w:pStyle w:val="Standardntext"/>
        <w:keepNext/>
        <w:keepLines/>
        <w:numPr>
          <w:ilvl w:val="0"/>
          <w:numId w:val="44"/>
        </w:numPr>
      </w:pPr>
      <w:r w:rsidRPr="00DD47DF">
        <w:t>Technické a stavební rekonstrukce brownfieldů (bez výdajů na odstranění ekologických zátěží) a jejich přeměna na moderní podnikatelské objekty a vznik nově zrekonstruovatelných podnikatelských ploch</w:t>
      </w:r>
      <w:r w:rsidR="00F262C8" w:rsidRPr="00DD47DF">
        <w:t>,</w:t>
      </w:r>
    </w:p>
    <w:p w14:paraId="15348659" w14:textId="77777777" w:rsidR="00F262C8" w:rsidRPr="00DD47DF" w:rsidRDefault="007C0A99" w:rsidP="00D927A2">
      <w:pPr>
        <w:pStyle w:val="Standardntext"/>
        <w:numPr>
          <w:ilvl w:val="0"/>
          <w:numId w:val="44"/>
        </w:numPr>
      </w:pPr>
      <w:r w:rsidRPr="00DD47DF">
        <w:t>realizace komplexních stavebně-technických opatření vedoucích k rekonstrukcím technicky nevyhovující podnikatelské nemovitostí nebo brownfieldů na podnikatelský objekt a vzniku nově zrekonstruovaných podnikatelských ploch</w:t>
      </w:r>
      <w:r w:rsidR="005D4217" w:rsidRPr="00DD47DF">
        <w:t>.</w:t>
      </w:r>
    </w:p>
    <w:p w14:paraId="1B12D27C" w14:textId="77777777" w:rsidR="005368EE" w:rsidRPr="00DD47DF" w:rsidRDefault="005368EE" w:rsidP="00226516">
      <w:pPr>
        <w:pStyle w:val="Standardntext"/>
      </w:pPr>
      <w:r w:rsidRPr="00DD47DF">
        <w:t>Aktivity SC 2.3 jsou orientovány na zvýšení využitelnosti infrastruktury pro podnikání, na modernizaci stávající infrastruktury v oblasti výroby a služeb a na rekonstrukci brownfield</w:t>
      </w:r>
      <w:r w:rsidR="00BF7E1C" w:rsidRPr="00DD47DF">
        <w:t>ů</w:t>
      </w:r>
      <w:r w:rsidRPr="00DD47DF">
        <w:t xml:space="preserve">. SC 2.3 navazuje na </w:t>
      </w:r>
      <w:r w:rsidR="00292B8D" w:rsidRPr="00DD47DF">
        <w:t xml:space="preserve">program </w:t>
      </w:r>
      <w:r w:rsidRPr="00DD47DF">
        <w:t xml:space="preserve">podpory OPPI </w:t>
      </w:r>
      <w:r w:rsidR="00292B8D" w:rsidRPr="00DD47DF">
        <w:rPr>
          <w:i/>
        </w:rPr>
        <w:t xml:space="preserve">Nemovitosti, </w:t>
      </w:r>
      <w:r w:rsidR="00292B8D" w:rsidRPr="00DD47DF">
        <w:t>který byl v letech 2007 - 2013 zaměřen na budování a rozvoj i</w:t>
      </w:r>
      <w:r w:rsidRPr="00DD47DF">
        <w:t>nfrastruktur</w:t>
      </w:r>
      <w:r w:rsidR="00292B8D" w:rsidRPr="00DD47DF">
        <w:t>y</w:t>
      </w:r>
      <w:r w:rsidRPr="00DD47DF">
        <w:t xml:space="preserve"> pro podnikání</w:t>
      </w:r>
      <w:r w:rsidR="00292B8D" w:rsidRPr="00DD47DF">
        <w:t xml:space="preserve"> a který </w:t>
      </w:r>
      <w:r w:rsidRPr="00DD47DF">
        <w:t>přispěl k částečnému zlepšení nevyhovující podnikatelské infrastruktury</w:t>
      </w:r>
      <w:r w:rsidR="00DD19A9" w:rsidRPr="00DD47DF">
        <w:t>. N</w:t>
      </w:r>
      <w:r w:rsidRPr="00DD47DF">
        <w:t xml:space="preserve">avrhované aktivity SC 2.3 umožní pokračovat v tomto procesu ve prospěch MSP, a to především </w:t>
      </w:r>
      <w:r w:rsidR="007C0A99" w:rsidRPr="00DD47DF">
        <w:t xml:space="preserve">komplexní stavební </w:t>
      </w:r>
      <w:r w:rsidRPr="00DD47DF">
        <w:t xml:space="preserve">rekonstrukcí </w:t>
      </w:r>
      <w:r w:rsidR="00803C8E" w:rsidRPr="00DD47DF">
        <w:t>stávajících objektů</w:t>
      </w:r>
      <w:r w:rsidR="00803C8E" w:rsidRPr="00DD47DF" w:rsidDel="00803C8E">
        <w:t xml:space="preserve"> </w:t>
      </w:r>
      <w:r w:rsidRPr="00DD47DF">
        <w:t>pro rozvoj výrobních činností a služeb s přínosem pro zaměstnanost, ekonomiku a životní prostředí</w:t>
      </w:r>
      <w:r w:rsidR="007C0A99" w:rsidRPr="00DD47DF">
        <w:t>, to vše při povinnosti zajistit jejich maximální energetickou efektivitu</w:t>
      </w:r>
      <w:r w:rsidRPr="00DD47DF">
        <w:t xml:space="preserve">. Zkušenosti z dosavadní realizace programu </w:t>
      </w:r>
      <w:r w:rsidR="00292B8D" w:rsidRPr="00DD47DF">
        <w:t xml:space="preserve">podpory OPPI </w:t>
      </w:r>
      <w:r w:rsidRPr="00DD47DF">
        <w:rPr>
          <w:i/>
        </w:rPr>
        <w:t xml:space="preserve">Nemovitosti </w:t>
      </w:r>
      <w:r w:rsidRPr="00DD47DF">
        <w:t xml:space="preserve">především v nastavení programových podmínek, struktury projektu a příloh, výběrových kritérií, externího hodnocení projektů a administrace </w:t>
      </w:r>
      <w:r w:rsidR="009D1769" w:rsidRPr="00DD47DF">
        <w:t>projektů jsou využívány pro</w:t>
      </w:r>
      <w:r w:rsidRPr="00DD47DF">
        <w:t xml:space="preserve"> přípravu programů </w:t>
      </w:r>
      <w:r w:rsidR="00292B8D" w:rsidRPr="00DD47DF">
        <w:t xml:space="preserve">pro období 2014 – 2020 </w:t>
      </w:r>
      <w:r w:rsidRPr="00DD47DF">
        <w:t>v rámci aktivit SC 2.3.</w:t>
      </w:r>
    </w:p>
    <w:p w14:paraId="3C21A3D5" w14:textId="73488025" w:rsidR="009D1769" w:rsidRDefault="008A41A4" w:rsidP="009D1769">
      <w:pPr>
        <w:pStyle w:val="Standardntext"/>
      </w:pPr>
      <w:r w:rsidRPr="00DD47DF">
        <w:lastRenderedPageBreak/>
        <w:t>Typovým projektem bude modernizace zastaralých, prostorově a technicky nevyhovujících objektů, budov a areálů</w:t>
      </w:r>
      <w:r w:rsidR="00835369" w:rsidRPr="00DD47DF">
        <w:t>,</w:t>
      </w:r>
      <w:r w:rsidR="00803C8E" w:rsidRPr="00DD47DF">
        <w:t xml:space="preserve"> které bude možné znovu využít pro rozvoj výrobních činností a služeb</w:t>
      </w:r>
      <w:r w:rsidR="00781B41" w:rsidRPr="00DD47DF">
        <w:t xml:space="preserve"> MSP</w:t>
      </w:r>
      <w:r w:rsidR="00711B4C" w:rsidRPr="00DD47DF">
        <w:t xml:space="preserve">. </w:t>
      </w:r>
      <w:r w:rsidR="00803C8E" w:rsidRPr="00DD47DF">
        <w:t>Rekonstrukce stávajících objektů není v případě SC 2.3 spojena s pořízením nových technologií.</w:t>
      </w:r>
      <w:r w:rsidRPr="00DD47DF">
        <w:t xml:space="preserve"> </w:t>
      </w:r>
      <w:r w:rsidR="00711B4C" w:rsidRPr="00DD47DF">
        <w:t>Příjemcem podpory v tomto specifickém cíli budou malé a střední podniky a také municipality</w:t>
      </w:r>
      <w:r w:rsidR="006C1F43" w:rsidRPr="00DD47DF">
        <w:t xml:space="preserve">. </w:t>
      </w:r>
      <w:r w:rsidR="005368EE" w:rsidRPr="00DD47DF">
        <w:t xml:space="preserve">Podporovány nebudou </w:t>
      </w:r>
      <w:r w:rsidR="006C1F43" w:rsidRPr="00DD47DF">
        <w:t xml:space="preserve">developerské </w:t>
      </w:r>
      <w:r w:rsidR="00292B8D" w:rsidRPr="00DD47DF">
        <w:t>projekty</w:t>
      </w:r>
      <w:r w:rsidR="006C1F43" w:rsidRPr="00DD47DF">
        <w:t xml:space="preserve">, ani </w:t>
      </w:r>
      <w:r w:rsidR="00E25F1B" w:rsidRPr="00DD47DF">
        <w:t xml:space="preserve">výstavba na „zelené louce“ vyžadující zábor zemědělského půdního fondu. </w:t>
      </w:r>
      <w:r w:rsidR="00231B6C" w:rsidRPr="00DD47DF">
        <w:t xml:space="preserve">Výstupem </w:t>
      </w:r>
      <w:r w:rsidR="006C1F43" w:rsidRPr="00DD47DF">
        <w:t xml:space="preserve">projektů v rámci tohoto specifického cíle </w:t>
      </w:r>
      <w:r w:rsidR="00231B6C" w:rsidRPr="00DD47DF">
        <w:t>bude nově zrekonstruovaná podnikatelská infrastruktura</w:t>
      </w:r>
      <w:r w:rsidR="006C1F43" w:rsidRPr="00DD47DF">
        <w:t xml:space="preserve">, </w:t>
      </w:r>
      <w:r w:rsidR="00A45A2E" w:rsidRPr="00DD47DF">
        <w:t>výsled</w:t>
      </w:r>
      <w:r w:rsidR="008F3B30" w:rsidRPr="00DD47DF">
        <w:t>k</w:t>
      </w:r>
      <w:r w:rsidR="00A45A2E" w:rsidRPr="00DD47DF">
        <w:t>em</w:t>
      </w:r>
      <w:r w:rsidR="008F3B30" w:rsidRPr="00DD47DF">
        <w:t xml:space="preserve"> </w:t>
      </w:r>
      <w:r w:rsidR="006C1F43" w:rsidRPr="00DD47DF">
        <w:t xml:space="preserve">aktivit specifického cíle </w:t>
      </w:r>
      <w:r w:rsidR="00A45A2E" w:rsidRPr="00DD47DF">
        <w:t xml:space="preserve">bude </w:t>
      </w:r>
      <w:r w:rsidR="002171D3" w:rsidRPr="00DD47DF">
        <w:t xml:space="preserve">růst celkové rozlohy </w:t>
      </w:r>
      <w:r w:rsidR="009D1769" w:rsidRPr="00DD47DF">
        <w:t>regenerovaných lokalit</w:t>
      </w:r>
      <w:r w:rsidR="00F86517" w:rsidRPr="00DD47DF">
        <w:t xml:space="preserve"> využitelných pro podnikatelské aktivity</w:t>
      </w:r>
      <w:r w:rsidR="00781B41" w:rsidRPr="00DD47DF">
        <w:t xml:space="preserve"> MSP</w:t>
      </w:r>
      <w:r w:rsidR="009D1769" w:rsidRPr="00DD47DF">
        <w:t>.</w:t>
      </w:r>
    </w:p>
    <w:p w14:paraId="7973AB6E" w14:textId="07D942BA" w:rsidR="00683E91" w:rsidRPr="00DD47DF" w:rsidRDefault="00683E91" w:rsidP="009D1769">
      <w:pPr>
        <w:pStyle w:val="Standardntext"/>
      </w:pPr>
      <w:r w:rsidRPr="00700E39">
        <w:t xml:space="preserve">Typovým projektem v rámci </w:t>
      </w:r>
      <w:r w:rsidRPr="00700E39">
        <w:rPr>
          <w:b/>
        </w:rPr>
        <w:t>režimu regionální podpory zaměřeného na cestovní ruch v podporovaných specifických oblastech</w:t>
      </w:r>
      <w:r w:rsidRPr="00700E39">
        <w:t xml:space="preserve"> bude modernizace zastaralých, prostorově a technicky nevyhovujících objektů, budov a areálů, které bude možné znovu využít pro rozvoj podnikatelských činností a služeb MSP v cestovním ruchu. Rekonstrukce stávajících objektů může být v rámci dobudování multifunkční infrastruktury spojena s pořízením nových technologií do maximální výše 30% způsobilých výdajů. Příjemcem podpory v tomto specifickém cíli budou malé a střední podniky. V rámci tohoto typu projektů </w:t>
      </w:r>
      <w:r w:rsidRPr="00700E39">
        <w:rPr>
          <w:b/>
        </w:rPr>
        <w:t>nebudou podpořeny aktivity směřující k vybudování nebo revitalizaci golfových hřišť a areálů a samostatných veřejných aquaparků či koupališť</w:t>
      </w:r>
      <w:r w:rsidRPr="00700E39">
        <w:t xml:space="preserve">. Podporovány nebudou developerské projekty, ani nová výstavba na „zelené louce“ vyžadující zábor zemědělského půdního fondu. V případě přístaveb a dostaveb </w:t>
      </w:r>
      <w:r w:rsidRPr="00700E39">
        <w:rPr>
          <w:b/>
        </w:rPr>
        <w:t>stávajících objektů,</w:t>
      </w:r>
      <w:r w:rsidRPr="00700E39">
        <w:t xml:space="preserve"> které vyžadují zábor zemědělského půdního fondu, bude podpora poskytnuta jen při vyloučení negativních enviromentálních vlivů a v souladu s udržitelnou výstavbou budov – </w:t>
      </w:r>
      <w:r w:rsidRPr="00700E39">
        <w:rPr>
          <w:b/>
        </w:rPr>
        <w:t>závazek úspěšné certifikace dle BREEAM nebo LEED</w:t>
      </w:r>
      <w:r w:rsidRPr="00700E39">
        <w:t>. Výstupem projektů v rámci tohoto specifického cíle bude nově zrekonstruovaná a vybudovaná podnikatelská multifunkční infrastruktura cestovního ruchu, výsledkem aktivit specifického cíle bude růst celkové rozlohy regenerovaných lokalit využitelných pro podnikatelské aktivity MSP a v tomto typu projektu doprovodně i vytvoření nových pracovních míst.</w:t>
      </w:r>
    </w:p>
    <w:p w14:paraId="7196F279" w14:textId="77777777" w:rsidR="00896EDF" w:rsidRPr="00DD47DF" w:rsidRDefault="00F262C8" w:rsidP="00757916">
      <w:pPr>
        <w:pStyle w:val="Standardntext"/>
      </w:pPr>
      <w:r w:rsidRPr="00DD47DF">
        <w:rPr>
          <w:b/>
        </w:rPr>
        <w:t xml:space="preserve">Hlavní cílová skupina: </w:t>
      </w:r>
      <w:r w:rsidRPr="00DD47DF">
        <w:t xml:space="preserve">Podnikatelské </w:t>
      </w:r>
      <w:r w:rsidR="00835369" w:rsidRPr="00DD47DF">
        <w:t>subjekty (malé a střední podniky)</w:t>
      </w:r>
    </w:p>
    <w:p w14:paraId="46E112D4" w14:textId="020045B9" w:rsidR="00F262C8" w:rsidRPr="00DD47DF" w:rsidRDefault="00F262C8" w:rsidP="00757916">
      <w:pPr>
        <w:pStyle w:val="Standardntext"/>
      </w:pPr>
      <w:r w:rsidRPr="00DD47DF">
        <w:rPr>
          <w:b/>
        </w:rPr>
        <w:t xml:space="preserve">Cílové území: </w:t>
      </w:r>
      <w:r w:rsidR="009E0DDE" w:rsidRPr="00700E39">
        <w:t xml:space="preserve">Území České republiky, mimo území hl. m. Prahy. Z hlediska územní dimenze bude tento specifický cíl zaměřen na urbánní území, kde se předpokládá zapojení do integrovaného nástroje ITI. V rámci </w:t>
      </w:r>
      <w:r w:rsidR="009E0DDE" w:rsidRPr="00700E39">
        <w:rPr>
          <w:b/>
        </w:rPr>
        <w:t>režimu regionální podpory zaměřeného na cestovní ruch v podporovaných specifických oblastech</w:t>
      </w:r>
      <w:r w:rsidR="009E0DDE" w:rsidRPr="00700E39">
        <w:t xml:space="preserve"> jsou tyto oblasti definovány jako malé venkovské obce (do 3.000 obyvatel) s výjimečným potenciálem přírodního subsystému cestovního ruchu (100 a více bodů), který je definován studií – výzkumným úkolem – „Hodnocení potenciálu cestovního ruchu na území ČR“ zpracovanou ÚÚR. Seznam těchto obcí – podporovaných specifických oblastí, a teritoriální vymezení režimu regionální podpory zaměřeného na cestovní ruch jsou uvedeny v Nepovinné příloze č. 6.</w:t>
      </w:r>
    </w:p>
    <w:p w14:paraId="439C270E" w14:textId="77777777" w:rsidR="00F262C8" w:rsidRPr="00DD47DF" w:rsidRDefault="00F262C8" w:rsidP="00757916">
      <w:pPr>
        <w:pStyle w:val="Standardntext"/>
      </w:pPr>
      <w:r w:rsidRPr="00DD47DF">
        <w:rPr>
          <w:b/>
        </w:rPr>
        <w:t xml:space="preserve">Typy příjemců: </w:t>
      </w:r>
      <w:r w:rsidRPr="00DD47DF">
        <w:t>Podnikatelské subjekty (malé a střední podniky)</w:t>
      </w:r>
      <w:r w:rsidR="00B93322" w:rsidRPr="00DD47DF">
        <w:t>, municipality.</w:t>
      </w:r>
    </w:p>
    <w:p w14:paraId="58932E55" w14:textId="77777777" w:rsidR="00A25CBC" w:rsidRPr="00DD47DF" w:rsidRDefault="00A25CBC" w:rsidP="00AC36CB">
      <w:pPr>
        <w:pStyle w:val="kapitola2A0"/>
        <w:numPr>
          <w:ilvl w:val="2"/>
          <w:numId w:val="130"/>
        </w:numPr>
      </w:pPr>
      <w:bookmarkStart w:id="53" w:name="_Toc520445268"/>
      <w:r w:rsidRPr="00DD47DF">
        <w:t>Specifické cíle odpovídající investiční prioritě a očekávané výsledky</w:t>
      </w:r>
      <w:bookmarkEnd w:id="53"/>
    </w:p>
    <w:p w14:paraId="21656273" w14:textId="77777777" w:rsidR="00A25CBC" w:rsidRPr="00DD47DF" w:rsidRDefault="00A25CBC" w:rsidP="00A25CBC">
      <w:pPr>
        <w:pStyle w:val="Modrnadpis"/>
        <w:ind w:left="0" w:firstLine="0"/>
      </w:pPr>
      <w:r w:rsidRPr="00DD47DF">
        <w:t>SPECIFICKÝ CÍL 2.4: Zvýšit kapacitu pro odborné vzdělávání v MSP</w:t>
      </w:r>
    </w:p>
    <w:p w14:paraId="497E9B03" w14:textId="77777777" w:rsidR="00A25CBC" w:rsidRPr="00DD47DF" w:rsidRDefault="00A25CBC" w:rsidP="00A25CBC">
      <w:pPr>
        <w:pStyle w:val="Standardntext"/>
      </w:pPr>
      <w:r w:rsidRPr="00DD47DF">
        <w:t xml:space="preserve">MSP se potýkají s nedostatkem kvalifikované pracovní síly v podnikání, zejména v případě inovačních procesů vyžadujících dostatečnou úroveň odborných znalostí a dovedností. Nezbytným faktorem konkurenceschopnosti MSP je udržet krok s dynamickým technologickým rozvojem, což s sebou přináší nutnost kontinuálního rozvoje lidských zdrojů </w:t>
      </w:r>
      <w:r w:rsidRPr="00DD47DF">
        <w:lastRenderedPageBreak/>
        <w:t>v podnicích, zejména zvyšování odbornosti a kvalifikace zaměstnanců i zaměstnavatelů. Tomu často brání nedostatek kapacit pro odborné vzdělávání v MSP. Specifickým cílem je proto rozvoj nové a lepší využití stávající infrastruktury pro odborné vzdělávání a zvyšování kvalifikace pracovníků v sektoru MSP.</w:t>
      </w:r>
    </w:p>
    <w:p w14:paraId="190D95A3" w14:textId="77777777" w:rsidR="00A25CBC" w:rsidRPr="00DD47DF" w:rsidRDefault="00A25CBC" w:rsidP="00A25CBC">
      <w:pPr>
        <w:pStyle w:val="Modrnadpis"/>
      </w:pPr>
      <w:r w:rsidRPr="00DD47DF">
        <w:t>Výsledky, kterých chce ČR dosáhnout s podporou Unie</w:t>
      </w:r>
    </w:p>
    <w:p w14:paraId="393255FF" w14:textId="77777777" w:rsidR="00A25CBC" w:rsidRPr="00DD47DF" w:rsidRDefault="00A25CBC" w:rsidP="00A25CBC">
      <w:pPr>
        <w:pStyle w:val="Standardntext"/>
        <w:numPr>
          <w:ilvl w:val="0"/>
          <w:numId w:val="56"/>
        </w:numPr>
      </w:pPr>
      <w:r w:rsidRPr="00DD47DF">
        <w:t xml:space="preserve">Odpovídající zajištění materiálních (moderní stroje a další vybavení či lokace využitelné pro zaškolování) kapacit MSP pro zajištění činností souvisejících s odborným </w:t>
      </w:r>
      <w:r w:rsidRPr="00DD47DF">
        <w:rPr>
          <w:color w:val="000000"/>
        </w:rPr>
        <w:t xml:space="preserve">vzděláváním </w:t>
      </w:r>
      <w:r w:rsidR="00954E0C" w:rsidRPr="00DD47DF">
        <w:rPr>
          <w:color w:val="000000"/>
        </w:rPr>
        <w:t xml:space="preserve">a zvyšováním kvalifikace pracovníků MSP.  </w:t>
      </w:r>
    </w:p>
    <w:p w14:paraId="5B19F1ED" w14:textId="77777777" w:rsidR="00A25CBC" w:rsidRPr="00DD47DF" w:rsidRDefault="00A25CBC" w:rsidP="00A25CBC">
      <w:pPr>
        <w:pStyle w:val="Textkomente"/>
        <w:numPr>
          <w:ilvl w:val="0"/>
          <w:numId w:val="76"/>
        </w:numPr>
        <w:rPr>
          <w:rFonts w:ascii="Times New Roman" w:hAnsi="Times New Roman"/>
          <w:sz w:val="24"/>
          <w:szCs w:val="24"/>
        </w:rPr>
      </w:pPr>
      <w:r w:rsidRPr="00DD47DF">
        <w:rPr>
          <w:rFonts w:ascii="Times New Roman" w:hAnsi="Times New Roman"/>
          <w:sz w:val="24"/>
          <w:szCs w:val="24"/>
        </w:rPr>
        <w:t>Zvýšení produktivity práce v sektoru MSP, mj. i v důsledku vyšší odbornosti a kvalifikace zaměstnanců a zaměstnavatelů.</w:t>
      </w:r>
    </w:p>
    <w:p w14:paraId="0D62E638" w14:textId="77777777" w:rsidR="00A25CBC" w:rsidRPr="00DD47DF" w:rsidRDefault="00A25CBC" w:rsidP="00A25CBC">
      <w:pPr>
        <w:pStyle w:val="Textkomente"/>
        <w:numPr>
          <w:ilvl w:val="0"/>
          <w:numId w:val="76"/>
        </w:numPr>
        <w:rPr>
          <w:rFonts w:ascii="Times New Roman" w:hAnsi="Times New Roman"/>
          <w:sz w:val="24"/>
          <w:szCs w:val="24"/>
        </w:rPr>
      </w:pPr>
      <w:r w:rsidRPr="00DD47DF">
        <w:rPr>
          <w:rFonts w:ascii="Times New Roman" w:hAnsi="Times New Roman"/>
          <w:sz w:val="24"/>
          <w:szCs w:val="24"/>
        </w:rPr>
        <w:t xml:space="preserve">Zvýšení podílů osob v produktivním věku účastnících se dalšího </w:t>
      </w:r>
      <w:r w:rsidR="00954E0C" w:rsidRPr="00DD47DF">
        <w:rPr>
          <w:rFonts w:ascii="Times New Roman" w:hAnsi="Times New Roman"/>
          <w:sz w:val="24"/>
          <w:szCs w:val="24"/>
        </w:rPr>
        <w:t xml:space="preserve">odborného </w:t>
      </w:r>
      <w:r w:rsidRPr="00DD47DF">
        <w:rPr>
          <w:rFonts w:ascii="Times New Roman" w:hAnsi="Times New Roman"/>
          <w:sz w:val="24"/>
          <w:szCs w:val="24"/>
        </w:rPr>
        <w:t>vzdělávání</w:t>
      </w:r>
      <w:r w:rsidR="00954E0C" w:rsidRPr="00DD47DF">
        <w:rPr>
          <w:rFonts w:ascii="Times New Roman" w:hAnsi="Times New Roman"/>
          <w:sz w:val="24"/>
          <w:szCs w:val="24"/>
        </w:rPr>
        <w:t xml:space="preserve"> v podnicích.</w:t>
      </w:r>
    </w:p>
    <w:p w14:paraId="2626B302" w14:textId="77777777" w:rsidR="00A25CBC" w:rsidRPr="00DD47DF" w:rsidRDefault="00A25CBC" w:rsidP="00A25CBC">
      <w:pPr>
        <w:pStyle w:val="Standardntext"/>
        <w:numPr>
          <w:ilvl w:val="0"/>
          <w:numId w:val="56"/>
        </w:numPr>
      </w:pPr>
      <w:r w:rsidRPr="00DD47DF">
        <w:t>Zvýšení inovačních aktivit MSP v důsledku lepší dostupnosti kvalifikovaných lidských zdrojů</w:t>
      </w:r>
    </w:p>
    <w:p w14:paraId="35AE2433" w14:textId="77777777" w:rsidR="00A25CBC" w:rsidRPr="00DD47DF" w:rsidRDefault="00A25CBC" w:rsidP="00A25CBC">
      <w:pPr>
        <w:pStyle w:val="Titulek"/>
        <w:keepNext/>
        <w:keepLines/>
        <w:rPr>
          <w:rFonts w:cs="Calibri"/>
        </w:rPr>
      </w:pPr>
      <w:r w:rsidRPr="00DD47DF">
        <w:rPr>
          <w:rFonts w:cs="Calibri"/>
        </w:rPr>
        <w:t xml:space="preserve">Tabulka </w:t>
      </w:r>
      <w:r w:rsidRPr="00DD47DF">
        <w:rPr>
          <w:rFonts w:cs="Calibri"/>
        </w:rPr>
        <w:fldChar w:fldCharType="begin"/>
      </w:r>
      <w:r w:rsidRPr="00DD47DF">
        <w:rPr>
          <w:rFonts w:cs="Calibri"/>
        </w:rPr>
        <w:instrText xml:space="preserve"> SEQ Tabulka \* ARABIC \r3 </w:instrText>
      </w:r>
      <w:r w:rsidRPr="00DD47DF">
        <w:rPr>
          <w:rFonts w:cs="Calibri"/>
        </w:rPr>
        <w:fldChar w:fldCharType="separate"/>
      </w:r>
      <w:r w:rsidR="00117847">
        <w:rPr>
          <w:rFonts w:cs="Calibri"/>
          <w:noProof/>
        </w:rPr>
        <w:t>3</w:t>
      </w:r>
      <w:r w:rsidRPr="00DD47DF">
        <w:rPr>
          <w:rFonts w:cs="Calibri"/>
        </w:rPr>
        <w:fldChar w:fldCharType="end"/>
      </w:r>
      <w:r w:rsidRPr="00DD47DF">
        <w:rPr>
          <w:rFonts w:cs="Calibri"/>
        </w:rPr>
        <w:t>b: Ukazatele výsledků specifické pro jednotlivé programy, podle specifického cíle (pro EFRR a Fond soudržnosti)</w:t>
      </w:r>
    </w:p>
    <w:tbl>
      <w:tblPr>
        <w:tblW w:w="5000" w:type="pct"/>
        <w:tblCellMar>
          <w:left w:w="57" w:type="dxa"/>
          <w:right w:w="57" w:type="dxa"/>
        </w:tblCellMar>
        <w:tblLook w:val="01E0" w:firstRow="1" w:lastRow="1" w:firstColumn="1" w:lastColumn="1" w:noHBand="0" w:noVBand="0"/>
      </w:tblPr>
      <w:tblGrid>
        <w:gridCol w:w="908"/>
        <w:gridCol w:w="1470"/>
        <w:gridCol w:w="946"/>
        <w:gridCol w:w="1183"/>
        <w:gridCol w:w="885"/>
        <w:gridCol w:w="873"/>
        <w:gridCol w:w="1022"/>
        <w:gridCol w:w="1002"/>
        <w:gridCol w:w="1037"/>
      </w:tblGrid>
      <w:tr w:rsidR="00A25CBC" w:rsidRPr="00DD47DF" w14:paraId="68D227A6" w14:textId="77777777" w:rsidTr="00335A15">
        <w:trPr>
          <w:trHeight w:hRule="exact" w:val="1221"/>
        </w:trPr>
        <w:tc>
          <w:tcPr>
            <w:tcW w:w="48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74AF9583" w14:textId="77777777" w:rsidR="00A25CBC" w:rsidRPr="00DD47DF" w:rsidRDefault="00A25CBC" w:rsidP="00335A15">
            <w:pPr>
              <w:pStyle w:val="Tabulka"/>
              <w:keepNext/>
              <w:keepLines/>
              <w:rPr>
                <w:rFonts w:cs="Calibri"/>
                <w:b/>
                <w:bCs/>
              </w:rPr>
            </w:pPr>
            <w:r w:rsidRPr="00DD47DF">
              <w:rPr>
                <w:rFonts w:cs="Calibri"/>
                <w:b/>
                <w:bCs/>
              </w:rPr>
              <w:t>ID</w:t>
            </w:r>
          </w:p>
        </w:tc>
        <w:tc>
          <w:tcPr>
            <w:tcW w:w="788"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F07AC64" w14:textId="77777777" w:rsidR="00A25CBC" w:rsidRPr="00DD47DF" w:rsidRDefault="00A25CBC" w:rsidP="00335A15">
            <w:pPr>
              <w:pStyle w:val="Tabulka"/>
              <w:keepNext/>
              <w:keepLines/>
              <w:rPr>
                <w:rFonts w:cs="Calibri"/>
                <w:b/>
                <w:bCs/>
              </w:rPr>
            </w:pPr>
            <w:r w:rsidRPr="00DD47DF">
              <w:rPr>
                <w:rFonts w:cs="Calibri"/>
                <w:b/>
                <w:bCs/>
              </w:rPr>
              <w:t>Ukazatel</w:t>
            </w:r>
          </w:p>
        </w:tc>
        <w:tc>
          <w:tcPr>
            <w:tcW w:w="50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346D3E16" w14:textId="77777777" w:rsidR="00A25CBC" w:rsidRPr="00DD47DF" w:rsidRDefault="00A25CBC" w:rsidP="00335A15">
            <w:pPr>
              <w:pStyle w:val="Tabulka"/>
              <w:keepNext/>
              <w:keepLines/>
              <w:rPr>
                <w:rFonts w:cs="Calibri"/>
                <w:b/>
                <w:bCs/>
              </w:rPr>
            </w:pPr>
            <w:r w:rsidRPr="00DD47DF">
              <w:rPr>
                <w:rFonts w:cs="Calibri"/>
                <w:b/>
                <w:bCs/>
              </w:rPr>
              <w:t>Měrná</w:t>
            </w:r>
          </w:p>
          <w:p w14:paraId="5DF3AFF3" w14:textId="77777777" w:rsidR="00A25CBC" w:rsidRPr="00DD47DF" w:rsidRDefault="00A25CBC" w:rsidP="00335A15">
            <w:pPr>
              <w:pStyle w:val="Tabulka"/>
              <w:keepNext/>
              <w:keepLines/>
              <w:rPr>
                <w:rFonts w:cs="Calibri"/>
                <w:b/>
                <w:bCs/>
              </w:rPr>
            </w:pPr>
            <w:r w:rsidRPr="00DD47DF">
              <w:rPr>
                <w:rFonts w:cs="Calibri"/>
                <w:b/>
                <w:bCs/>
              </w:rPr>
              <w:t>jednotka</w:t>
            </w:r>
          </w:p>
        </w:tc>
        <w:tc>
          <w:tcPr>
            <w:tcW w:w="634"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8B1F4F0" w14:textId="77777777" w:rsidR="00A25CBC" w:rsidRPr="00DD47DF" w:rsidRDefault="00A25CBC" w:rsidP="00335A15">
            <w:pPr>
              <w:pStyle w:val="Tabulka"/>
              <w:keepNext/>
              <w:keepLines/>
              <w:rPr>
                <w:rFonts w:cs="Calibri"/>
                <w:b/>
                <w:bCs/>
              </w:rPr>
            </w:pPr>
            <w:r w:rsidRPr="00DD47DF">
              <w:rPr>
                <w:rFonts w:cs="Calibri"/>
                <w:b/>
                <w:bCs/>
              </w:rPr>
              <w:t>Kategorie regionů (je-li relevantní)</w:t>
            </w:r>
          </w:p>
        </w:tc>
        <w:tc>
          <w:tcPr>
            <w:tcW w:w="474"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E0E781A" w14:textId="77777777" w:rsidR="00A25CBC" w:rsidRPr="00DD47DF" w:rsidRDefault="00A25CBC" w:rsidP="00335A15">
            <w:pPr>
              <w:pStyle w:val="Tabulka"/>
              <w:keepNext/>
              <w:keepLines/>
              <w:rPr>
                <w:rFonts w:cs="Calibri"/>
                <w:b/>
                <w:bCs/>
              </w:rPr>
            </w:pPr>
            <w:r w:rsidRPr="00DD47DF">
              <w:rPr>
                <w:rFonts w:cs="Calibri"/>
                <w:b/>
                <w:bCs/>
              </w:rPr>
              <w:t>Výchozí hodnota</w:t>
            </w:r>
          </w:p>
        </w:tc>
        <w:tc>
          <w:tcPr>
            <w:tcW w:w="468"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C2239E9" w14:textId="77777777" w:rsidR="00A25CBC" w:rsidRPr="00DD47DF" w:rsidRDefault="00A25CBC" w:rsidP="00335A15">
            <w:pPr>
              <w:pStyle w:val="Tabulka"/>
              <w:keepNext/>
              <w:keepLines/>
              <w:rPr>
                <w:rFonts w:cs="Calibri"/>
                <w:b/>
                <w:bCs/>
              </w:rPr>
            </w:pPr>
            <w:r w:rsidRPr="00DD47DF">
              <w:rPr>
                <w:rFonts w:cs="Calibri"/>
                <w:b/>
                <w:bCs/>
              </w:rPr>
              <w:t>Výchozí rok</w:t>
            </w:r>
          </w:p>
        </w:tc>
        <w:tc>
          <w:tcPr>
            <w:tcW w:w="548"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8148FE4" w14:textId="77777777" w:rsidR="00A25CBC" w:rsidRPr="00DD47DF" w:rsidRDefault="00A25CBC" w:rsidP="00335A15">
            <w:pPr>
              <w:pStyle w:val="Tabulka"/>
              <w:keepNext/>
              <w:keepLines/>
              <w:rPr>
                <w:rFonts w:cs="Calibri"/>
                <w:b/>
                <w:bCs/>
              </w:rPr>
            </w:pPr>
            <w:r w:rsidRPr="00DD47DF">
              <w:rPr>
                <w:rFonts w:cs="Calibri"/>
                <w:b/>
                <w:bCs/>
              </w:rPr>
              <w:t>Cílová hodnota (2023)</w:t>
            </w:r>
          </w:p>
        </w:tc>
        <w:tc>
          <w:tcPr>
            <w:tcW w:w="53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37E0D50D" w14:textId="77777777" w:rsidR="00A25CBC" w:rsidRPr="00DD47DF" w:rsidRDefault="00A25CBC" w:rsidP="00335A15">
            <w:pPr>
              <w:pStyle w:val="Tabulka"/>
              <w:keepNext/>
              <w:keepLines/>
              <w:rPr>
                <w:rFonts w:cs="Calibri"/>
                <w:b/>
                <w:bCs/>
              </w:rPr>
            </w:pPr>
            <w:r w:rsidRPr="00DD47DF">
              <w:rPr>
                <w:rFonts w:cs="Calibri"/>
                <w:b/>
                <w:bCs/>
              </w:rPr>
              <w:t>Zdroj údajů</w:t>
            </w:r>
          </w:p>
        </w:tc>
        <w:tc>
          <w:tcPr>
            <w:tcW w:w="556"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475A288B" w14:textId="77777777" w:rsidR="00A25CBC" w:rsidRPr="00DD47DF" w:rsidRDefault="00A25CBC" w:rsidP="00335A15">
            <w:pPr>
              <w:pStyle w:val="Tabulka"/>
              <w:keepNext/>
              <w:keepLines/>
              <w:rPr>
                <w:rFonts w:cs="Calibri"/>
                <w:b/>
                <w:bCs/>
              </w:rPr>
            </w:pPr>
            <w:r w:rsidRPr="00DD47DF">
              <w:rPr>
                <w:rFonts w:cs="Calibri"/>
                <w:b/>
                <w:bCs/>
              </w:rPr>
              <w:t>Četnost podávání zpráv</w:t>
            </w:r>
          </w:p>
        </w:tc>
      </w:tr>
      <w:tr w:rsidR="00A25CBC" w:rsidRPr="00DD47DF" w:rsidDel="00580FCF" w14:paraId="1E2F10E9" w14:textId="77777777" w:rsidTr="00335A15">
        <w:trPr>
          <w:trHeight w:hRule="exact" w:val="2636"/>
        </w:trPr>
        <w:tc>
          <w:tcPr>
            <w:tcW w:w="487" w:type="pct"/>
            <w:tcBorders>
              <w:top w:val="single" w:sz="4" w:space="0" w:color="000000"/>
              <w:left w:val="single" w:sz="4" w:space="0" w:color="000000"/>
              <w:bottom w:val="single" w:sz="4" w:space="0" w:color="000000"/>
              <w:right w:val="single" w:sz="4" w:space="0" w:color="000000"/>
            </w:tcBorders>
            <w:vAlign w:val="center"/>
          </w:tcPr>
          <w:p w14:paraId="6147EC43" w14:textId="77777777" w:rsidR="00A25CBC" w:rsidRPr="00DD47DF" w:rsidDel="00580FCF" w:rsidRDefault="00A25CBC" w:rsidP="00335A15">
            <w:pPr>
              <w:pStyle w:val="Tabulka"/>
              <w:rPr>
                <w:rFonts w:cs="Calibri"/>
              </w:rPr>
            </w:pPr>
            <w:r w:rsidRPr="00DD47DF">
              <w:rPr>
                <w:rFonts w:cs="Calibri"/>
              </w:rPr>
              <w:t>66810</w:t>
            </w:r>
          </w:p>
        </w:tc>
        <w:tc>
          <w:tcPr>
            <w:tcW w:w="788" w:type="pct"/>
            <w:tcBorders>
              <w:top w:val="single" w:sz="4" w:space="0" w:color="000000"/>
              <w:left w:val="single" w:sz="4" w:space="0" w:color="000000"/>
              <w:bottom w:val="single" w:sz="4" w:space="0" w:color="000000"/>
              <w:right w:val="single" w:sz="4" w:space="0" w:color="000000"/>
            </w:tcBorders>
            <w:vAlign w:val="center"/>
          </w:tcPr>
          <w:p w14:paraId="1F3FA1D4" w14:textId="77777777" w:rsidR="00A25CBC" w:rsidRPr="00DD47DF" w:rsidDel="00580FCF" w:rsidRDefault="00A25CBC" w:rsidP="00335A15">
            <w:pPr>
              <w:pStyle w:val="Tabulka"/>
              <w:rPr>
                <w:rFonts w:cs="Calibri"/>
              </w:rPr>
            </w:pPr>
            <w:r w:rsidRPr="00DD47DF">
              <w:rPr>
                <w:rFonts w:cs="Calibri"/>
              </w:rPr>
              <w:t>Podíl účastníků kurzů dalšího odborného vzdělávání na celkovém počtu zaměstnaných osob u malých podniků</w:t>
            </w:r>
          </w:p>
        </w:tc>
        <w:tc>
          <w:tcPr>
            <w:tcW w:w="507" w:type="pct"/>
            <w:tcBorders>
              <w:top w:val="single" w:sz="4" w:space="0" w:color="000000"/>
              <w:left w:val="single" w:sz="4" w:space="0" w:color="000000"/>
              <w:bottom w:val="single" w:sz="4" w:space="0" w:color="000000"/>
              <w:right w:val="single" w:sz="4" w:space="0" w:color="000000"/>
            </w:tcBorders>
            <w:vAlign w:val="center"/>
          </w:tcPr>
          <w:p w14:paraId="67301389" w14:textId="77777777" w:rsidR="00A25CBC" w:rsidRPr="00DD47DF" w:rsidDel="00580FCF" w:rsidRDefault="00A25CBC" w:rsidP="00335A15">
            <w:pPr>
              <w:pStyle w:val="Tabulka"/>
              <w:rPr>
                <w:rFonts w:cs="Calibri"/>
              </w:rPr>
            </w:pPr>
            <w:r w:rsidRPr="00DD47DF">
              <w:rPr>
                <w:rFonts w:cs="Calibri"/>
              </w:rPr>
              <w:t>%</w:t>
            </w:r>
          </w:p>
        </w:tc>
        <w:tc>
          <w:tcPr>
            <w:tcW w:w="634" w:type="pct"/>
            <w:tcBorders>
              <w:top w:val="single" w:sz="4" w:space="0" w:color="000000"/>
              <w:left w:val="single" w:sz="4" w:space="0" w:color="000000"/>
              <w:bottom w:val="single" w:sz="4" w:space="0" w:color="000000"/>
              <w:right w:val="single" w:sz="4" w:space="0" w:color="000000"/>
            </w:tcBorders>
            <w:vAlign w:val="center"/>
          </w:tcPr>
          <w:p w14:paraId="3A6A6096" w14:textId="77777777" w:rsidR="00A25CBC" w:rsidRPr="00DD47DF" w:rsidDel="00580FCF" w:rsidRDefault="00A25CBC" w:rsidP="00335A15">
            <w:pPr>
              <w:pStyle w:val="Tabulka"/>
              <w:rPr>
                <w:rFonts w:cs="Calibri"/>
              </w:rPr>
            </w:pPr>
            <w:r w:rsidRPr="00DD47DF">
              <w:rPr>
                <w:rFonts w:cs="Calibri"/>
              </w:rPr>
              <w:t>Méně rozvinuté regiony</w:t>
            </w:r>
          </w:p>
        </w:tc>
        <w:tc>
          <w:tcPr>
            <w:tcW w:w="474" w:type="pct"/>
            <w:tcBorders>
              <w:top w:val="single" w:sz="4" w:space="0" w:color="000000"/>
              <w:left w:val="single" w:sz="4" w:space="0" w:color="000000"/>
              <w:bottom w:val="single" w:sz="4" w:space="0" w:color="000000"/>
              <w:right w:val="single" w:sz="4" w:space="0" w:color="000000"/>
            </w:tcBorders>
            <w:vAlign w:val="center"/>
          </w:tcPr>
          <w:p w14:paraId="1E0830F6" w14:textId="77777777" w:rsidR="00A25CBC" w:rsidRPr="00DD47DF" w:rsidDel="00580FCF" w:rsidRDefault="00A25CBC" w:rsidP="00335A15">
            <w:pPr>
              <w:pStyle w:val="Tabulka"/>
              <w:rPr>
                <w:rFonts w:cs="Calibri"/>
              </w:rPr>
            </w:pPr>
            <w:r w:rsidRPr="00DD47DF">
              <w:rPr>
                <w:rFonts w:cs="Calibri"/>
              </w:rPr>
              <w:t>46,5</w:t>
            </w:r>
          </w:p>
        </w:tc>
        <w:tc>
          <w:tcPr>
            <w:tcW w:w="468" w:type="pct"/>
            <w:tcBorders>
              <w:top w:val="single" w:sz="4" w:space="0" w:color="000000"/>
              <w:left w:val="single" w:sz="4" w:space="0" w:color="000000"/>
              <w:bottom w:val="single" w:sz="4" w:space="0" w:color="000000"/>
              <w:right w:val="single" w:sz="4" w:space="0" w:color="000000"/>
            </w:tcBorders>
            <w:vAlign w:val="center"/>
          </w:tcPr>
          <w:p w14:paraId="3B4B185F" w14:textId="3A0548BD" w:rsidR="00A25CBC" w:rsidRPr="00DD47DF" w:rsidDel="00580FCF" w:rsidRDefault="005742CF" w:rsidP="005742CF">
            <w:pPr>
              <w:pStyle w:val="Tabulka"/>
              <w:rPr>
                <w:rFonts w:cs="Calibri"/>
              </w:rPr>
            </w:pPr>
            <w:r w:rsidRPr="00DD47DF">
              <w:rPr>
                <w:rFonts w:cs="Calibri"/>
              </w:rPr>
              <w:t>201</w:t>
            </w:r>
            <w:r>
              <w:rPr>
                <w:rFonts w:cs="Calibri"/>
              </w:rPr>
              <w:t>0</w:t>
            </w:r>
          </w:p>
        </w:tc>
        <w:tc>
          <w:tcPr>
            <w:tcW w:w="548" w:type="pct"/>
            <w:tcBorders>
              <w:top w:val="single" w:sz="4" w:space="0" w:color="000000"/>
              <w:left w:val="single" w:sz="4" w:space="0" w:color="000000"/>
              <w:bottom w:val="single" w:sz="4" w:space="0" w:color="000000"/>
              <w:right w:val="single" w:sz="4" w:space="0" w:color="000000"/>
            </w:tcBorders>
            <w:vAlign w:val="center"/>
          </w:tcPr>
          <w:p w14:paraId="4AF2C788" w14:textId="77C4558C" w:rsidR="00A25CBC" w:rsidRPr="00DD47DF" w:rsidDel="00580FCF" w:rsidRDefault="00650A04" w:rsidP="00335A15">
            <w:pPr>
              <w:pStyle w:val="Tabulka"/>
              <w:rPr>
                <w:rFonts w:cs="Calibri"/>
              </w:rPr>
            </w:pPr>
            <w:r>
              <w:rPr>
                <w:rFonts w:cs="Calibri"/>
              </w:rPr>
              <w:t>81</w:t>
            </w:r>
          </w:p>
        </w:tc>
        <w:tc>
          <w:tcPr>
            <w:tcW w:w="537" w:type="pct"/>
            <w:tcBorders>
              <w:top w:val="single" w:sz="4" w:space="0" w:color="000000"/>
              <w:left w:val="single" w:sz="4" w:space="0" w:color="000000"/>
              <w:bottom w:val="single" w:sz="4" w:space="0" w:color="000000"/>
              <w:right w:val="single" w:sz="4" w:space="0" w:color="000000"/>
            </w:tcBorders>
            <w:vAlign w:val="center"/>
          </w:tcPr>
          <w:p w14:paraId="5EDD9022" w14:textId="77777777" w:rsidR="00A25CBC" w:rsidRPr="00DD47DF" w:rsidDel="00580FCF" w:rsidRDefault="00A25CBC" w:rsidP="00335A15">
            <w:pPr>
              <w:pStyle w:val="Tabulka"/>
              <w:rPr>
                <w:rFonts w:cs="Calibri"/>
              </w:rPr>
            </w:pPr>
            <w:r w:rsidRPr="00DD47DF">
              <w:rPr>
                <w:rFonts w:cs="Calibri"/>
              </w:rPr>
              <w:t>ČSÚ, Eurostat</w:t>
            </w:r>
          </w:p>
        </w:tc>
        <w:tc>
          <w:tcPr>
            <w:tcW w:w="556" w:type="pct"/>
            <w:tcBorders>
              <w:top w:val="single" w:sz="4" w:space="0" w:color="000000"/>
              <w:left w:val="single" w:sz="4" w:space="0" w:color="000000"/>
              <w:bottom w:val="single" w:sz="4" w:space="0" w:color="000000"/>
              <w:right w:val="single" w:sz="4" w:space="0" w:color="000000"/>
            </w:tcBorders>
            <w:vAlign w:val="center"/>
          </w:tcPr>
          <w:p w14:paraId="74EF5F7C" w14:textId="77777777" w:rsidR="00A25CBC" w:rsidRPr="00DD47DF" w:rsidDel="00580FCF" w:rsidRDefault="00A25CBC" w:rsidP="00335A15">
            <w:pPr>
              <w:pStyle w:val="Tabulka"/>
              <w:rPr>
                <w:rFonts w:cs="Calibri"/>
              </w:rPr>
            </w:pPr>
            <w:r w:rsidRPr="00DD47DF">
              <w:rPr>
                <w:rFonts w:cs="Calibri"/>
              </w:rPr>
              <w:t>5 let</w:t>
            </w:r>
          </w:p>
        </w:tc>
      </w:tr>
      <w:tr w:rsidR="00A25CBC" w:rsidRPr="00DD47DF" w:rsidDel="00580FCF" w14:paraId="388DC751" w14:textId="77777777" w:rsidTr="00335A15">
        <w:trPr>
          <w:trHeight w:hRule="exact" w:val="2972"/>
        </w:trPr>
        <w:tc>
          <w:tcPr>
            <w:tcW w:w="487" w:type="pct"/>
            <w:tcBorders>
              <w:top w:val="single" w:sz="4" w:space="0" w:color="000000"/>
              <w:left w:val="single" w:sz="4" w:space="0" w:color="000000"/>
              <w:bottom w:val="single" w:sz="4" w:space="0" w:color="000000"/>
              <w:right w:val="single" w:sz="4" w:space="0" w:color="000000"/>
            </w:tcBorders>
            <w:vAlign w:val="center"/>
          </w:tcPr>
          <w:p w14:paraId="0EA86DAD" w14:textId="77777777" w:rsidR="00A25CBC" w:rsidRPr="00DD47DF" w:rsidDel="00580FCF" w:rsidRDefault="00A25CBC" w:rsidP="00335A15">
            <w:pPr>
              <w:pStyle w:val="Tabulka"/>
              <w:rPr>
                <w:rFonts w:cs="Calibri"/>
              </w:rPr>
            </w:pPr>
            <w:r w:rsidRPr="00DD47DF">
              <w:rPr>
                <w:rFonts w:cs="Calibri"/>
              </w:rPr>
              <w:t>66820</w:t>
            </w:r>
          </w:p>
        </w:tc>
        <w:tc>
          <w:tcPr>
            <w:tcW w:w="788" w:type="pct"/>
            <w:tcBorders>
              <w:top w:val="single" w:sz="4" w:space="0" w:color="000000"/>
              <w:left w:val="single" w:sz="4" w:space="0" w:color="000000"/>
              <w:bottom w:val="single" w:sz="4" w:space="0" w:color="000000"/>
              <w:right w:val="single" w:sz="4" w:space="0" w:color="000000"/>
            </w:tcBorders>
            <w:vAlign w:val="center"/>
          </w:tcPr>
          <w:p w14:paraId="6E842DB5" w14:textId="77777777" w:rsidR="00A25CBC" w:rsidRPr="00DD47DF" w:rsidDel="00580FCF" w:rsidRDefault="00A25CBC" w:rsidP="00335A15">
            <w:pPr>
              <w:pStyle w:val="Tabulka"/>
              <w:rPr>
                <w:rFonts w:cs="Calibri"/>
              </w:rPr>
            </w:pPr>
            <w:r w:rsidRPr="00DD47DF">
              <w:rPr>
                <w:rFonts w:cs="Calibri"/>
              </w:rPr>
              <w:t>Podíl účastníků kurzů dalšího odborného vzdělávání na celkovém počtu zaměstnaných osob u středních podniků</w:t>
            </w:r>
          </w:p>
        </w:tc>
        <w:tc>
          <w:tcPr>
            <w:tcW w:w="507" w:type="pct"/>
            <w:tcBorders>
              <w:top w:val="single" w:sz="4" w:space="0" w:color="000000"/>
              <w:left w:val="single" w:sz="4" w:space="0" w:color="000000"/>
              <w:bottom w:val="single" w:sz="4" w:space="0" w:color="000000"/>
              <w:right w:val="single" w:sz="4" w:space="0" w:color="000000"/>
            </w:tcBorders>
            <w:vAlign w:val="center"/>
          </w:tcPr>
          <w:p w14:paraId="5FDA6ADE" w14:textId="77777777" w:rsidR="00A25CBC" w:rsidRPr="00DD47DF" w:rsidDel="00580FCF" w:rsidRDefault="00A25CBC" w:rsidP="00335A15">
            <w:pPr>
              <w:pStyle w:val="Tabulka"/>
              <w:rPr>
                <w:rFonts w:cs="Calibri"/>
              </w:rPr>
            </w:pPr>
            <w:r w:rsidRPr="00DD47DF">
              <w:rPr>
                <w:rFonts w:cs="Calibri"/>
              </w:rPr>
              <w:t>%</w:t>
            </w:r>
          </w:p>
        </w:tc>
        <w:tc>
          <w:tcPr>
            <w:tcW w:w="634" w:type="pct"/>
            <w:tcBorders>
              <w:top w:val="single" w:sz="4" w:space="0" w:color="000000"/>
              <w:left w:val="single" w:sz="4" w:space="0" w:color="000000"/>
              <w:bottom w:val="single" w:sz="4" w:space="0" w:color="000000"/>
              <w:right w:val="single" w:sz="4" w:space="0" w:color="000000"/>
            </w:tcBorders>
            <w:vAlign w:val="center"/>
          </w:tcPr>
          <w:p w14:paraId="5942B910" w14:textId="77777777" w:rsidR="00A25CBC" w:rsidRPr="00DD47DF" w:rsidDel="00580FCF" w:rsidRDefault="00A25CBC" w:rsidP="00335A15">
            <w:pPr>
              <w:pStyle w:val="Tabulka"/>
              <w:rPr>
                <w:rFonts w:cs="Calibri"/>
              </w:rPr>
            </w:pPr>
            <w:r w:rsidRPr="00DD47DF">
              <w:rPr>
                <w:rFonts w:cs="Calibri"/>
              </w:rPr>
              <w:t>Méně rozvinuté regiony</w:t>
            </w:r>
          </w:p>
        </w:tc>
        <w:tc>
          <w:tcPr>
            <w:tcW w:w="474" w:type="pct"/>
            <w:tcBorders>
              <w:top w:val="single" w:sz="4" w:space="0" w:color="000000"/>
              <w:left w:val="single" w:sz="4" w:space="0" w:color="000000"/>
              <w:bottom w:val="single" w:sz="4" w:space="0" w:color="000000"/>
              <w:right w:val="single" w:sz="4" w:space="0" w:color="000000"/>
            </w:tcBorders>
            <w:vAlign w:val="center"/>
          </w:tcPr>
          <w:p w14:paraId="6FC282A9" w14:textId="77777777" w:rsidR="00A25CBC" w:rsidRPr="00DD47DF" w:rsidDel="00580FCF" w:rsidRDefault="00A25CBC" w:rsidP="00335A15">
            <w:pPr>
              <w:pStyle w:val="Tabulka"/>
              <w:rPr>
                <w:rFonts w:cs="Calibri"/>
              </w:rPr>
            </w:pPr>
            <w:r w:rsidRPr="00DD47DF">
              <w:rPr>
                <w:rFonts w:cs="Calibri"/>
              </w:rPr>
              <w:t>60,1</w:t>
            </w:r>
          </w:p>
        </w:tc>
        <w:tc>
          <w:tcPr>
            <w:tcW w:w="468" w:type="pct"/>
            <w:tcBorders>
              <w:top w:val="single" w:sz="4" w:space="0" w:color="000000"/>
              <w:left w:val="single" w:sz="4" w:space="0" w:color="000000"/>
              <w:bottom w:val="single" w:sz="4" w:space="0" w:color="000000"/>
              <w:right w:val="single" w:sz="4" w:space="0" w:color="000000"/>
            </w:tcBorders>
            <w:vAlign w:val="center"/>
          </w:tcPr>
          <w:p w14:paraId="141B8429" w14:textId="64B72FD7" w:rsidR="00A25CBC" w:rsidRPr="00DD47DF" w:rsidDel="00580FCF" w:rsidRDefault="005742CF" w:rsidP="005742CF">
            <w:pPr>
              <w:pStyle w:val="Tabulka"/>
              <w:rPr>
                <w:rFonts w:cs="Calibri"/>
              </w:rPr>
            </w:pPr>
            <w:r w:rsidRPr="00DD47DF">
              <w:rPr>
                <w:rFonts w:cs="Calibri"/>
              </w:rPr>
              <w:t>201</w:t>
            </w:r>
            <w:r>
              <w:rPr>
                <w:rFonts w:cs="Calibri"/>
              </w:rPr>
              <w:t>0</w:t>
            </w:r>
          </w:p>
        </w:tc>
        <w:tc>
          <w:tcPr>
            <w:tcW w:w="548" w:type="pct"/>
            <w:tcBorders>
              <w:top w:val="single" w:sz="4" w:space="0" w:color="000000"/>
              <w:left w:val="single" w:sz="4" w:space="0" w:color="000000"/>
              <w:bottom w:val="single" w:sz="4" w:space="0" w:color="000000"/>
              <w:right w:val="single" w:sz="4" w:space="0" w:color="000000"/>
            </w:tcBorders>
            <w:vAlign w:val="center"/>
          </w:tcPr>
          <w:p w14:paraId="7EA9C89F" w14:textId="62B344F0" w:rsidR="00A25CBC" w:rsidRPr="00DD47DF" w:rsidDel="00580FCF" w:rsidRDefault="00650A04" w:rsidP="00335A15">
            <w:pPr>
              <w:pStyle w:val="Tabulka"/>
              <w:rPr>
                <w:rFonts w:cs="Calibri"/>
              </w:rPr>
            </w:pPr>
            <w:r>
              <w:rPr>
                <w:rFonts w:cs="Calibri"/>
              </w:rPr>
              <w:t>85</w:t>
            </w:r>
          </w:p>
        </w:tc>
        <w:tc>
          <w:tcPr>
            <w:tcW w:w="537" w:type="pct"/>
            <w:tcBorders>
              <w:top w:val="single" w:sz="4" w:space="0" w:color="000000"/>
              <w:left w:val="single" w:sz="4" w:space="0" w:color="000000"/>
              <w:bottom w:val="single" w:sz="4" w:space="0" w:color="000000"/>
              <w:right w:val="single" w:sz="4" w:space="0" w:color="000000"/>
            </w:tcBorders>
            <w:vAlign w:val="center"/>
          </w:tcPr>
          <w:p w14:paraId="528270A6" w14:textId="77777777" w:rsidR="00A25CBC" w:rsidRPr="00DD47DF" w:rsidDel="00580FCF" w:rsidRDefault="00A25CBC" w:rsidP="00335A15">
            <w:pPr>
              <w:pStyle w:val="Tabulka"/>
              <w:rPr>
                <w:rFonts w:cs="Calibri"/>
              </w:rPr>
            </w:pPr>
            <w:r w:rsidRPr="00DD47DF">
              <w:rPr>
                <w:rFonts w:cs="Calibri"/>
              </w:rPr>
              <w:t>ČSÚ, Eurostat</w:t>
            </w:r>
          </w:p>
        </w:tc>
        <w:tc>
          <w:tcPr>
            <w:tcW w:w="556" w:type="pct"/>
            <w:tcBorders>
              <w:top w:val="single" w:sz="4" w:space="0" w:color="000000"/>
              <w:left w:val="single" w:sz="4" w:space="0" w:color="000000"/>
              <w:bottom w:val="single" w:sz="4" w:space="0" w:color="000000"/>
              <w:right w:val="single" w:sz="4" w:space="0" w:color="000000"/>
            </w:tcBorders>
            <w:vAlign w:val="center"/>
          </w:tcPr>
          <w:p w14:paraId="712877EE" w14:textId="77777777" w:rsidR="00A25CBC" w:rsidRPr="00DD47DF" w:rsidDel="00580FCF" w:rsidRDefault="00A25CBC" w:rsidP="00335A15">
            <w:pPr>
              <w:pStyle w:val="Tabulka"/>
              <w:rPr>
                <w:rFonts w:cs="Calibri"/>
              </w:rPr>
            </w:pPr>
            <w:r w:rsidRPr="00DD47DF">
              <w:rPr>
                <w:rFonts w:cs="Calibri"/>
              </w:rPr>
              <w:t>5 let</w:t>
            </w:r>
          </w:p>
        </w:tc>
      </w:tr>
    </w:tbl>
    <w:p w14:paraId="322450F5" w14:textId="77777777" w:rsidR="00A25CBC" w:rsidRPr="00DD47DF" w:rsidRDefault="00A25CBC" w:rsidP="00441D67">
      <w:pPr>
        <w:pStyle w:val="kapitola2A0"/>
        <w:numPr>
          <w:ilvl w:val="2"/>
          <w:numId w:val="131"/>
        </w:numPr>
      </w:pPr>
      <w:bookmarkStart w:id="54" w:name="_Toc520445269"/>
      <w:r w:rsidRPr="00DD47DF">
        <w:lastRenderedPageBreak/>
        <w:t>Opatření, jež má být podpořeno v rámci investiční priority</w:t>
      </w:r>
      <w:bookmarkEnd w:id="54"/>
    </w:p>
    <w:p w14:paraId="36429B60" w14:textId="77777777" w:rsidR="00A25CBC" w:rsidRPr="00DD47DF" w:rsidRDefault="00A25CBC" w:rsidP="00A25CBC">
      <w:pPr>
        <w:pStyle w:val="Nadpis5"/>
        <w:numPr>
          <w:ilvl w:val="4"/>
          <w:numId w:val="132"/>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344F7995" w14:textId="77777777" w:rsidR="00F262C8" w:rsidRPr="00DD47DF" w:rsidRDefault="00F262C8" w:rsidP="00396141">
      <w:pPr>
        <w:pStyle w:val="Modrnadpis"/>
      </w:pPr>
      <w:r w:rsidRPr="00DD47DF">
        <w:t xml:space="preserve">SPECIFICKÝ CÍL </w:t>
      </w:r>
      <w:r w:rsidR="00C71E6F" w:rsidRPr="00DD47DF">
        <w:t>2.</w:t>
      </w:r>
      <w:r w:rsidRPr="00DD47DF">
        <w:t xml:space="preserve">4: </w:t>
      </w:r>
      <w:r w:rsidR="00AC3ECC" w:rsidRPr="00DD47DF">
        <w:t>Zvýšit kapacitu pro odborné vzdělávání v MSP</w:t>
      </w:r>
    </w:p>
    <w:p w14:paraId="67F81C72" w14:textId="77777777" w:rsidR="00F262C8" w:rsidRPr="00DD47DF" w:rsidRDefault="000A2EB4" w:rsidP="00DF4F92">
      <w:pPr>
        <w:pStyle w:val="Standardntext"/>
        <w:rPr>
          <w:b/>
        </w:rPr>
      </w:pPr>
      <w:r w:rsidRPr="00DD47DF">
        <w:rPr>
          <w:b/>
        </w:rPr>
        <w:t>Aktivity pro tento specifický cíl:</w:t>
      </w:r>
    </w:p>
    <w:p w14:paraId="34684105" w14:textId="77777777" w:rsidR="009D1769" w:rsidRPr="00DD47DF" w:rsidRDefault="009D1769" w:rsidP="00D927A2">
      <w:pPr>
        <w:pStyle w:val="Standardntext"/>
        <w:numPr>
          <w:ilvl w:val="0"/>
          <w:numId w:val="49"/>
        </w:numPr>
      </w:pPr>
      <w:r w:rsidRPr="00DD47DF">
        <w:t xml:space="preserve">Zajištění a rozvoj kvalitní infrastruktury pro realizaci, organizaci a řízení odborného vzdělávání </w:t>
      </w:r>
      <w:r w:rsidR="00EF6DE3" w:rsidRPr="00DD47DF">
        <w:t>pracovníků v malých a středních podnicích.</w:t>
      </w:r>
    </w:p>
    <w:p w14:paraId="1E931D1B" w14:textId="77777777" w:rsidR="009D1769" w:rsidRPr="00DD47DF" w:rsidRDefault="00EF6DE3" w:rsidP="00D927A2">
      <w:pPr>
        <w:pStyle w:val="Standardntext"/>
        <w:numPr>
          <w:ilvl w:val="0"/>
          <w:numId w:val="49"/>
        </w:numPr>
      </w:pPr>
      <w:r w:rsidRPr="00DD47DF">
        <w:t xml:space="preserve">Pořízení </w:t>
      </w:r>
      <w:r w:rsidR="009D1769" w:rsidRPr="00DD47DF">
        <w:t>nových zařízení, vybudování/rozšíření školicích středisek, v rámci kterých budou mít zaměstnavatelé</w:t>
      </w:r>
      <w:r w:rsidR="00577711" w:rsidRPr="00DD47DF">
        <w:t>,</w:t>
      </w:r>
      <w:r w:rsidR="009D1769" w:rsidRPr="00DD47DF">
        <w:t xml:space="preserve"> jejich zaměstnanci</w:t>
      </w:r>
      <w:r w:rsidR="00577711" w:rsidRPr="00DD47DF">
        <w:t xml:space="preserve">, </w:t>
      </w:r>
      <w:r w:rsidR="00642E01" w:rsidRPr="00DD47DF">
        <w:t>žáci</w:t>
      </w:r>
      <w:r w:rsidR="00577711" w:rsidRPr="00DD47DF">
        <w:t xml:space="preserve"> a studenti spolupracujících škol možnost</w:t>
      </w:r>
      <w:r w:rsidR="009D1769" w:rsidRPr="00DD47DF">
        <w:t xml:space="preserve"> proškolení a seznámení se s rozvíjejícími se novými technologiemi, odbornostmi</w:t>
      </w:r>
      <w:r w:rsidRPr="00DD47DF">
        <w:t xml:space="preserve"> a </w:t>
      </w:r>
      <w:r w:rsidR="009D1769" w:rsidRPr="00DD47DF">
        <w:t xml:space="preserve">procesy </w:t>
      </w:r>
      <w:r w:rsidRPr="00DD47DF">
        <w:t xml:space="preserve">v daném oboru </w:t>
      </w:r>
      <w:r w:rsidR="009D1769" w:rsidRPr="00DD47DF">
        <w:t>a novou legislativou související s</w:t>
      </w:r>
      <w:r w:rsidR="00781B41" w:rsidRPr="00DD47DF">
        <w:t> </w:t>
      </w:r>
      <w:r w:rsidR="009D1769" w:rsidRPr="00DD47DF">
        <w:t>podnikáním</w:t>
      </w:r>
      <w:r w:rsidR="00781B41" w:rsidRPr="00DD47DF">
        <w:t xml:space="preserve"> i s efektivním marketingem, který je nutnou součástí konkurenceschopnosti</w:t>
      </w:r>
      <w:r w:rsidR="009D1769" w:rsidRPr="00DD47DF">
        <w:t>.</w:t>
      </w:r>
    </w:p>
    <w:p w14:paraId="0CD068CF" w14:textId="77777777" w:rsidR="00896EDF" w:rsidRPr="00DD47DF" w:rsidRDefault="00BE682B" w:rsidP="009D1769">
      <w:pPr>
        <w:pStyle w:val="Standardntext"/>
      </w:pPr>
      <w:r w:rsidRPr="00DD47DF">
        <w:t xml:space="preserve">Aktivity SC 2.4 se zaměřují na zkvalitnění infrastruktury pro rozvoj lidských zdrojů </w:t>
      </w:r>
      <w:r w:rsidR="00EF6DE3" w:rsidRPr="00DD47DF">
        <w:t>v podnicích ve smyslu</w:t>
      </w:r>
      <w:r w:rsidRPr="00DD47DF">
        <w:t xml:space="preserve"> technické</w:t>
      </w:r>
      <w:r w:rsidR="00EF6DE3" w:rsidRPr="00DD47DF">
        <w:t>ho</w:t>
      </w:r>
      <w:r w:rsidRPr="00DD47DF">
        <w:t xml:space="preserve"> odborné</w:t>
      </w:r>
      <w:r w:rsidR="00EF6DE3" w:rsidRPr="00DD47DF">
        <w:t>ho</w:t>
      </w:r>
      <w:r w:rsidRPr="00DD47DF">
        <w:t xml:space="preserve"> vzdělávání</w:t>
      </w:r>
      <w:r w:rsidR="00803C8E" w:rsidRPr="00DD47DF">
        <w:t xml:space="preserve"> zaměstnanců MSP</w:t>
      </w:r>
      <w:r w:rsidR="00803C8E" w:rsidRPr="00DD47DF">
        <w:rPr>
          <w:b/>
        </w:rPr>
        <w:t xml:space="preserve"> </w:t>
      </w:r>
      <w:r w:rsidR="00803C8E" w:rsidRPr="00DD47DF">
        <w:t>a</w:t>
      </w:r>
      <w:r w:rsidRPr="00DD47DF">
        <w:rPr>
          <w:b/>
        </w:rPr>
        <w:t xml:space="preserve"> </w:t>
      </w:r>
      <w:r w:rsidRPr="00DD47DF">
        <w:t>navazují na</w:t>
      </w:r>
      <w:r w:rsidRPr="00DD47DF">
        <w:rPr>
          <w:b/>
        </w:rPr>
        <w:t xml:space="preserve"> </w:t>
      </w:r>
      <w:r w:rsidR="00292B8D" w:rsidRPr="00DD47DF">
        <w:t>program podpory</w:t>
      </w:r>
      <w:r w:rsidR="00292B8D" w:rsidRPr="00DD47DF">
        <w:rPr>
          <w:b/>
        </w:rPr>
        <w:t xml:space="preserve"> </w:t>
      </w:r>
      <w:r w:rsidRPr="00DD47DF">
        <w:t xml:space="preserve">OPPI </w:t>
      </w:r>
      <w:r w:rsidRPr="00DD47DF">
        <w:rPr>
          <w:i/>
        </w:rPr>
        <w:t>Školicí střediska</w:t>
      </w:r>
      <w:r w:rsidRPr="00DD47DF">
        <w:t xml:space="preserve">. Realizace navrhovaných aktivit SC 2.4 umožní další zvýšení </w:t>
      </w:r>
      <w:r w:rsidR="00B07314" w:rsidRPr="00DD47DF">
        <w:t xml:space="preserve">a zkvalitnění </w:t>
      </w:r>
      <w:r w:rsidRPr="00DD47DF">
        <w:t xml:space="preserve">potřebných kapacit pro </w:t>
      </w:r>
      <w:r w:rsidR="00EF6DE3" w:rsidRPr="00DD47DF">
        <w:t xml:space="preserve">odborné </w:t>
      </w:r>
      <w:r w:rsidRPr="00DD47DF">
        <w:t>vzdělávání zaměstnanců</w:t>
      </w:r>
      <w:r w:rsidR="00B07314" w:rsidRPr="00DD47DF">
        <w:t xml:space="preserve"> a</w:t>
      </w:r>
      <w:r w:rsidRPr="00DD47DF">
        <w:t xml:space="preserve"> zaměstnavatelů v sektoru MSP</w:t>
      </w:r>
      <w:r w:rsidR="00577711" w:rsidRPr="00DD47DF">
        <w:t xml:space="preserve"> a – nově oproti praxi z OPPI – také </w:t>
      </w:r>
      <w:r w:rsidR="002464E2" w:rsidRPr="00DD47DF">
        <w:t xml:space="preserve">pro </w:t>
      </w:r>
      <w:r w:rsidR="00D858F6" w:rsidRPr="00DD47DF">
        <w:t xml:space="preserve">odborný výcvik, </w:t>
      </w:r>
      <w:r w:rsidR="002464E2" w:rsidRPr="00DD47DF">
        <w:t xml:space="preserve">odborné praxe a stáže </w:t>
      </w:r>
      <w:r w:rsidR="00642E01" w:rsidRPr="00DD47DF">
        <w:t xml:space="preserve">žáků a </w:t>
      </w:r>
      <w:r w:rsidR="00577711" w:rsidRPr="00DD47DF">
        <w:t>studentů škol, se kterými podpořený MSP naváže spolupráci</w:t>
      </w:r>
      <w:r w:rsidR="00B07314" w:rsidRPr="00DD47DF">
        <w:t>.</w:t>
      </w:r>
      <w:r w:rsidRPr="00DD47DF">
        <w:t xml:space="preserve"> </w:t>
      </w:r>
      <w:r w:rsidR="00B07314" w:rsidRPr="00DD47DF">
        <w:t>Odborné vzdělávání bude souviset zejména s</w:t>
      </w:r>
      <w:r w:rsidR="007E5195" w:rsidRPr="00DD47DF">
        <w:t xml:space="preserve"> pořízením nových technologií, zaváděním inovativních procesů</w:t>
      </w:r>
      <w:r w:rsidR="00B07314" w:rsidRPr="00DD47DF">
        <w:t xml:space="preserve"> a aplikací</w:t>
      </w:r>
      <w:r w:rsidR="007E5195" w:rsidRPr="00DD47DF">
        <w:t xml:space="preserve"> </w:t>
      </w:r>
      <w:r w:rsidR="00B07314" w:rsidRPr="00DD47DF">
        <w:t xml:space="preserve">právních předpisů </w:t>
      </w:r>
      <w:r w:rsidR="007E5195" w:rsidRPr="00DD47DF">
        <w:t xml:space="preserve">z oblasti podnikání. Počítá se </w:t>
      </w:r>
      <w:r w:rsidR="00B07314" w:rsidRPr="00DD47DF">
        <w:t xml:space="preserve">také </w:t>
      </w:r>
      <w:r w:rsidR="007E5195" w:rsidRPr="00DD47DF">
        <w:t>s </w:t>
      </w:r>
      <w:r w:rsidRPr="00DD47DF">
        <w:t>návazným využitím vzdělávacích programů a školení podporovaných z ESF</w:t>
      </w:r>
      <w:r w:rsidR="00E779AA" w:rsidRPr="00DD47DF">
        <w:t xml:space="preserve"> </w:t>
      </w:r>
      <w:r w:rsidR="00B07314" w:rsidRPr="00DD47DF">
        <w:t>v jiných</w:t>
      </w:r>
      <w:r w:rsidR="00E779AA" w:rsidRPr="00DD47DF">
        <w:t xml:space="preserve"> operačních programech (zejména OPZ, OP VVV).</w:t>
      </w:r>
    </w:p>
    <w:p w14:paraId="32517211" w14:textId="77777777" w:rsidR="009D1769" w:rsidRPr="00DD47DF" w:rsidRDefault="00577711" w:rsidP="009D1769">
      <w:pPr>
        <w:pStyle w:val="Standardntext"/>
      </w:pPr>
      <w:r w:rsidRPr="00DD47DF">
        <w:t>Podpo</w:t>
      </w:r>
      <w:r w:rsidR="00B07314" w:rsidRPr="00DD47DF">
        <w:t>rováno</w:t>
      </w:r>
      <w:r w:rsidR="005017B4" w:rsidRPr="00DD47DF">
        <w:t xml:space="preserve"> </w:t>
      </w:r>
      <w:r w:rsidR="00B07314" w:rsidRPr="00DD47DF">
        <w:t xml:space="preserve">bude </w:t>
      </w:r>
      <w:r w:rsidR="00A4574C" w:rsidRPr="00DD47DF">
        <w:t xml:space="preserve">zejména </w:t>
      </w:r>
      <w:r w:rsidR="005017B4" w:rsidRPr="00DD47DF">
        <w:t xml:space="preserve">pořízení nových </w:t>
      </w:r>
      <w:r w:rsidR="00B07314" w:rsidRPr="00DD47DF">
        <w:t xml:space="preserve">nebo </w:t>
      </w:r>
      <w:r w:rsidR="005017B4" w:rsidRPr="00DD47DF">
        <w:t xml:space="preserve">rekonstrukce stávajících školicích center, modernizace </w:t>
      </w:r>
      <w:r w:rsidRPr="00DD47DF">
        <w:t xml:space="preserve">a úprava </w:t>
      </w:r>
      <w:r w:rsidR="005017B4" w:rsidRPr="00DD47DF">
        <w:t xml:space="preserve">prostor pro </w:t>
      </w:r>
      <w:r w:rsidR="00EF6DE3" w:rsidRPr="00DD47DF">
        <w:t xml:space="preserve">odborné </w:t>
      </w:r>
      <w:r w:rsidR="005017B4" w:rsidRPr="00DD47DF">
        <w:t>vzdělávání, pořízení vybavení školicích prostor včetně školicích pomůcek (hardware, sítě, stroje a zařízení), vzdělávacích programů (software, data), práv duševního vlastnictví (nepatentované know-how, operativní nebo patentové licence na know-how, patenty apod.), které jsou nezbytné k zahájení vzdělávací činnosti.</w:t>
      </w:r>
      <w:r w:rsidR="009D1769" w:rsidRPr="00DD47DF">
        <w:t xml:space="preserve"> Výstupem bude modernizovaná infrastruktura zajišťující podmínky pro </w:t>
      </w:r>
      <w:r w:rsidRPr="00DD47DF">
        <w:t xml:space="preserve">kvalitní </w:t>
      </w:r>
      <w:r w:rsidR="00B07314" w:rsidRPr="00DD47DF">
        <w:t xml:space="preserve">odborné </w:t>
      </w:r>
      <w:r w:rsidR="009D1769" w:rsidRPr="00DD47DF">
        <w:t xml:space="preserve">vzdělávání, </w:t>
      </w:r>
      <w:r w:rsidRPr="00DD47DF">
        <w:t>přispívající ke zvýšení inovativnosti a konkurenceschopnosti MSP. V OP PIK nebude podpořena modernizace vzdělávací infrastruktury sloužící k jiným účelům</w:t>
      </w:r>
      <w:r w:rsidR="00B07314" w:rsidRPr="00DD47DF">
        <w:t xml:space="preserve"> než k odbornému vzdělávání</w:t>
      </w:r>
      <w:r w:rsidR="00EF6DE3" w:rsidRPr="00DD47DF">
        <w:t xml:space="preserve"> pracovníků v malých a středních podnicích</w:t>
      </w:r>
      <w:r w:rsidR="00B305DA" w:rsidRPr="00DD47DF">
        <w:t>. Výsledky se promítnou do nárůstu kapacit</w:t>
      </w:r>
      <w:r w:rsidR="009D1769" w:rsidRPr="00DD47DF">
        <w:t xml:space="preserve"> t</w:t>
      </w:r>
      <w:r w:rsidR="00B305DA" w:rsidRPr="00DD47DF">
        <w:t>ěchto</w:t>
      </w:r>
      <w:r w:rsidR="009D1769" w:rsidRPr="00DD47DF">
        <w:t xml:space="preserve"> školicích a vzdělávacích středisek využitelných pro </w:t>
      </w:r>
      <w:r w:rsidR="007E5195" w:rsidRPr="00DD47DF">
        <w:t xml:space="preserve">zaměstnance v sektoru </w:t>
      </w:r>
      <w:r w:rsidR="009D1769" w:rsidRPr="00DD47DF">
        <w:t>MSP</w:t>
      </w:r>
      <w:r w:rsidRPr="00DD47DF">
        <w:t xml:space="preserve"> </w:t>
      </w:r>
      <w:r w:rsidR="00642E01" w:rsidRPr="00DD47DF">
        <w:t xml:space="preserve">a </w:t>
      </w:r>
      <w:r w:rsidR="002464E2" w:rsidRPr="00DD47DF">
        <w:t xml:space="preserve">také pro </w:t>
      </w:r>
      <w:r w:rsidR="00D858F6" w:rsidRPr="00DD47DF">
        <w:t xml:space="preserve">odborný výcvik, </w:t>
      </w:r>
      <w:r w:rsidR="002464E2" w:rsidRPr="00DD47DF">
        <w:t>odborné praxe a stáže studentů a žáků</w:t>
      </w:r>
      <w:r w:rsidR="009D1769" w:rsidRPr="00DD47DF">
        <w:t>.</w:t>
      </w:r>
      <w:r w:rsidR="007E5195" w:rsidRPr="00DD47DF">
        <w:t xml:space="preserve"> </w:t>
      </w:r>
    </w:p>
    <w:p w14:paraId="7991B7BC" w14:textId="77777777" w:rsidR="004963B9" w:rsidRPr="00DD47DF" w:rsidRDefault="004963B9" w:rsidP="004963B9">
      <w:pPr>
        <w:pStyle w:val="Standardntext"/>
      </w:pPr>
      <w:r w:rsidRPr="00DD47DF">
        <w:t xml:space="preserve">V souladu s článkem 98 (2) nařízení č. 1303/2013 bude v rámci tohoto specifického cíle umožněno na úrovni </w:t>
      </w:r>
      <w:r w:rsidR="00294529" w:rsidRPr="00DD47DF">
        <w:t xml:space="preserve">programu a </w:t>
      </w:r>
      <w:r w:rsidRPr="00DD47DF">
        <w:t>výzev pro předkládání projektů využít tzv. křížové financování</w:t>
      </w:r>
      <w:r w:rsidRPr="00DD47DF">
        <w:rPr>
          <w:rStyle w:val="Znakapoznpodarou"/>
        </w:rPr>
        <w:footnoteReference w:id="55"/>
      </w:r>
      <w:r w:rsidRPr="00DD47DF">
        <w:t>.</w:t>
      </w:r>
      <w:r w:rsidR="00BA4E72" w:rsidRPr="00DD47DF">
        <w:t xml:space="preserve"> </w:t>
      </w:r>
    </w:p>
    <w:p w14:paraId="6642A506" w14:textId="77777777" w:rsidR="004963B9" w:rsidRPr="00DD47DF" w:rsidRDefault="004963B9" w:rsidP="004963B9">
      <w:pPr>
        <w:pStyle w:val="Standardntext"/>
      </w:pPr>
      <w:r w:rsidRPr="00DD47DF">
        <w:lastRenderedPageBreak/>
        <w:t>S ohledem na administrativní zjednodušení pro příjemce bude v projektech zaměřených na rozvoj školicích středisek umožněno doplňkové křížové financování pro podporu aktivit, které svým zaměřením spadají již do ESF, avšak bezprostředně souvisejí s</w:t>
      </w:r>
      <w:r w:rsidR="00294529" w:rsidRPr="00DD47DF">
        <w:t xml:space="preserve"> projektem </w:t>
      </w:r>
      <w:r w:rsidRPr="00DD47DF">
        <w:t xml:space="preserve">školicího střediska </w:t>
      </w:r>
      <w:r w:rsidR="00294529" w:rsidRPr="00DD47DF">
        <w:t xml:space="preserve">podporovaného </w:t>
      </w:r>
      <w:r w:rsidRPr="00DD47DF">
        <w:t xml:space="preserve">z prostředků ERDF. </w:t>
      </w:r>
      <w:r w:rsidR="00294529" w:rsidRPr="00DD47DF">
        <w:t>P</w:t>
      </w:r>
      <w:r w:rsidRPr="00DD47DF">
        <w:t xml:space="preserve">říjemcům </w:t>
      </w:r>
      <w:r w:rsidR="00294529" w:rsidRPr="00DD47DF">
        <w:t xml:space="preserve">tím bude </w:t>
      </w:r>
      <w:r w:rsidRPr="00DD47DF">
        <w:t xml:space="preserve">umožněno zahrnout aktivity ERDF i ESF související s rozvojem školicího střediska </w:t>
      </w:r>
      <w:r w:rsidR="00B07314" w:rsidRPr="00DD47DF">
        <w:t xml:space="preserve">a jeho činnosti </w:t>
      </w:r>
      <w:r w:rsidRPr="00DD47DF">
        <w:t xml:space="preserve">do jednoho projektu. Pro monitorování výše prostředků vynaložených na křížové financování bude využit informační systém MS2014+. Řídicí orgán bude sledovat a evidovat používání křížového financování tak, aby výdaje do něj zahrnuté bylo možno </w:t>
      </w:r>
      <w:r w:rsidR="00294529" w:rsidRPr="00DD47DF">
        <w:t xml:space="preserve">přesně </w:t>
      </w:r>
      <w:r w:rsidRPr="00DD47DF">
        <w:t>identifikovat</w:t>
      </w:r>
      <w:r w:rsidR="00294529" w:rsidRPr="00DD47DF">
        <w:t xml:space="preserve"> a aby jejich výše nepřekročila 10 % prostředků na prioritní osu.</w:t>
      </w:r>
    </w:p>
    <w:p w14:paraId="25C1CF97" w14:textId="77777777" w:rsidR="00896EDF" w:rsidRPr="00DD47DF" w:rsidRDefault="00F262C8" w:rsidP="00015039">
      <w:pPr>
        <w:pStyle w:val="Standardntext"/>
      </w:pPr>
      <w:r w:rsidRPr="00DD47DF">
        <w:rPr>
          <w:b/>
        </w:rPr>
        <w:t xml:space="preserve">Hlavní cílová skupina: </w:t>
      </w:r>
      <w:r w:rsidRPr="00DD47DF">
        <w:t>Podnikatelské s</w:t>
      </w:r>
      <w:r w:rsidR="00622C4A" w:rsidRPr="00DD47DF">
        <w:t>ubjekty (malé a střední podniky).</w:t>
      </w:r>
    </w:p>
    <w:p w14:paraId="1745A9BA" w14:textId="13B95D67" w:rsidR="00015039" w:rsidRPr="00DD47DF" w:rsidRDefault="00F262C8" w:rsidP="00015039">
      <w:pPr>
        <w:pStyle w:val="Standardntext"/>
      </w:pPr>
      <w:r w:rsidRPr="00DD47DF">
        <w:rPr>
          <w:b/>
        </w:rPr>
        <w:t xml:space="preserve">Cílové území: </w:t>
      </w:r>
      <w:r w:rsidRPr="00DD47DF">
        <w:t>Území České republiky, mimo území hl. m. Prahy.</w:t>
      </w:r>
      <w:r w:rsidR="00015039" w:rsidRPr="00DD47DF">
        <w:t xml:space="preserve"> Z hlediska územní dimenze </w:t>
      </w:r>
      <w:r w:rsidR="00A46CD6" w:rsidRPr="00DD47DF">
        <w:t>bude tento specifický cíl zaměřen na urbánní území, kde se předpokládá zapojení do int</w:t>
      </w:r>
      <w:r w:rsidR="00622C4A" w:rsidRPr="00DD47DF">
        <w:t>egrovaného nástroje ITI</w:t>
      </w:r>
      <w:r w:rsidR="00015039" w:rsidRPr="00DD47DF">
        <w:t>.</w:t>
      </w:r>
    </w:p>
    <w:p w14:paraId="668CFE30" w14:textId="77777777" w:rsidR="00505F15" w:rsidRPr="00DD47DF" w:rsidRDefault="00505F15" w:rsidP="00757916">
      <w:pPr>
        <w:pStyle w:val="Standardntext"/>
      </w:pPr>
      <w:r w:rsidRPr="00DD47DF">
        <w:rPr>
          <w:b/>
        </w:rPr>
        <w:t xml:space="preserve">Typy příjemců: </w:t>
      </w:r>
      <w:r w:rsidRPr="00DD47DF">
        <w:t>Podnikatelské subjekty (malé a střední podniky).</w:t>
      </w:r>
    </w:p>
    <w:p w14:paraId="4A006B6D" w14:textId="77777777" w:rsidR="00F262C8" w:rsidRPr="00DD47DF" w:rsidRDefault="00BA6461" w:rsidP="00A25CBC">
      <w:pPr>
        <w:pStyle w:val="Nadpis5"/>
        <w:numPr>
          <w:ilvl w:val="4"/>
          <w:numId w:val="132"/>
        </w:numPr>
      </w:pPr>
      <w:r w:rsidRPr="00DD47DF">
        <w:t>Hlavní zásady pro výběr operací</w:t>
      </w:r>
    </w:p>
    <w:p w14:paraId="0D261555" w14:textId="77777777" w:rsidR="004E1B49" w:rsidRPr="00DD47DF" w:rsidRDefault="00FE3385" w:rsidP="0017524E">
      <w:pPr>
        <w:pStyle w:val="Standardntext"/>
      </w:pPr>
      <w:r w:rsidRPr="00DD47DF">
        <w:t>Společné obecné zásady pro výběr operací pro všechny investiční priority celého OP PIK jsou uvedeny v prioritní ose 1 v oddíle 2.A.6.2.</w:t>
      </w:r>
    </w:p>
    <w:p w14:paraId="090D2477" w14:textId="77777777" w:rsidR="00A438A6" w:rsidRPr="00DD47DF" w:rsidRDefault="00A438A6" w:rsidP="00A438A6">
      <w:pPr>
        <w:pStyle w:val="Standardntext"/>
      </w:pPr>
      <w:r w:rsidRPr="00DD47DF">
        <w:t xml:space="preserve">V rámci výběru a hodnocení projektů budou </w:t>
      </w:r>
      <w:r w:rsidR="00847B05" w:rsidRPr="00DD47DF">
        <w:t xml:space="preserve">v této investiční prioritě </w:t>
      </w:r>
      <w:r w:rsidRPr="00DD47DF">
        <w:t>posuzována především následující kritéria:</w:t>
      </w:r>
    </w:p>
    <w:p w14:paraId="583CA0C0" w14:textId="77777777" w:rsidR="00A438A6" w:rsidRPr="00DD47DF" w:rsidRDefault="00A438A6" w:rsidP="00D927A2">
      <w:pPr>
        <w:pStyle w:val="Standardntext"/>
        <w:numPr>
          <w:ilvl w:val="0"/>
          <w:numId w:val="43"/>
        </w:numPr>
      </w:pPr>
      <w:r w:rsidRPr="00DD47DF">
        <w:t xml:space="preserve">Kvalita a potřebnost projektu s ohledem na </w:t>
      </w:r>
      <w:r w:rsidR="004E1B49" w:rsidRPr="00DD47DF">
        <w:t>ekologické a sociální aspekty v případě projektů zaměřených na zvýšení využitelnosti stávající infrastruktury pro podnikání</w:t>
      </w:r>
      <w:r w:rsidRPr="00DD47DF">
        <w:t>.</w:t>
      </w:r>
      <w:r w:rsidR="004E1B49" w:rsidRPr="00DD47DF">
        <w:t xml:space="preserve"> U projektů zaměřených na zkvalitnění infrastruktury pro </w:t>
      </w:r>
      <w:r w:rsidR="00EF6DE3" w:rsidRPr="00DD47DF">
        <w:t>odborné vzdělávání pracovníků v malých a středních podnicích</w:t>
      </w:r>
      <w:r w:rsidR="004E1B49" w:rsidRPr="00DD47DF">
        <w:t xml:space="preserve"> bude hodnocena zejména využitelnost těchto vzdělávacích zařízení pro </w:t>
      </w:r>
      <w:r w:rsidR="00EF6DE3" w:rsidRPr="00DD47DF">
        <w:t>další odborné vzdělávání</w:t>
      </w:r>
      <w:r w:rsidR="004E1B49" w:rsidRPr="00DD47DF">
        <w:rPr>
          <w:color w:val="000000"/>
        </w:rPr>
        <w:t xml:space="preserve"> zaměstnanců i zaměstnavatelů, </w:t>
      </w:r>
      <w:r w:rsidR="004E1B49" w:rsidRPr="00DD47DF">
        <w:t>rozvoj znalostí a dovedností v oblasti odborného vzdělávání.</w:t>
      </w:r>
    </w:p>
    <w:p w14:paraId="28EFD672" w14:textId="77777777" w:rsidR="00A438A6" w:rsidRPr="00DD47DF" w:rsidRDefault="00A438A6" w:rsidP="00D927A2">
      <w:pPr>
        <w:pStyle w:val="Standardntext"/>
        <w:numPr>
          <w:ilvl w:val="0"/>
          <w:numId w:val="43"/>
        </w:numPr>
      </w:pPr>
      <w:r w:rsidRPr="00DD47DF">
        <w:t>Soulad projektu s</w:t>
      </w:r>
      <w:r w:rsidR="00BA4E72" w:rsidRPr="00DD47DF">
        <w:t xml:space="preserve"> </w:t>
      </w:r>
      <w:r w:rsidRPr="00DD47DF">
        <w:t xml:space="preserve">územní dimenzí a uplatněním integrovaných </w:t>
      </w:r>
      <w:r w:rsidR="009D1769" w:rsidRPr="00DD47DF">
        <w:t>nástrojů</w:t>
      </w:r>
      <w:r w:rsidRPr="00DD47DF">
        <w:t xml:space="preserve"> (ITI) v rámci této investiční priority</w:t>
      </w:r>
      <w:r w:rsidR="00C63CF5" w:rsidRPr="00DD47DF">
        <w:t xml:space="preserve"> (viz </w:t>
      </w:r>
      <w:r w:rsidR="00C63CF5" w:rsidRPr="00DD47DF">
        <w:rPr>
          <w:i/>
        </w:rPr>
        <w:t>Cílové území</w:t>
      </w:r>
      <w:r w:rsidR="00C63CF5" w:rsidRPr="00DD47DF">
        <w:t xml:space="preserve"> v oddíle 2.A.6.1 a dále oddíl 4)</w:t>
      </w:r>
      <w:r w:rsidRPr="00DD47DF">
        <w:t>.</w:t>
      </w:r>
    </w:p>
    <w:p w14:paraId="14028E16" w14:textId="77777777" w:rsidR="00C6139B" w:rsidRDefault="00C6139B" w:rsidP="00D927A2">
      <w:pPr>
        <w:pStyle w:val="Standardntext"/>
        <w:numPr>
          <w:ilvl w:val="0"/>
          <w:numId w:val="43"/>
        </w:numPr>
      </w:pPr>
      <w:r w:rsidRPr="00DD47DF">
        <w:t>Vliv projektů SC</w:t>
      </w:r>
      <w:r w:rsidR="00D74EA3" w:rsidRPr="00DD47DF">
        <w:t xml:space="preserve"> </w:t>
      </w:r>
      <w:r w:rsidR="00A61EA1" w:rsidRPr="00DD47DF">
        <w:t xml:space="preserve">2.3 na oblast půdy </w:t>
      </w:r>
      <w:r w:rsidRPr="00DD47DF">
        <w:t xml:space="preserve">bude </w:t>
      </w:r>
      <w:r w:rsidR="00A61EA1" w:rsidRPr="00DD47DF">
        <w:t>na projektové úrovni</w:t>
      </w:r>
      <w:r w:rsidR="00642E01" w:rsidRPr="00DD47DF">
        <w:t xml:space="preserve"> </w:t>
      </w:r>
      <w:r w:rsidR="00A61EA1" w:rsidRPr="00DD47DF">
        <w:t>sledován</w:t>
      </w:r>
      <w:r w:rsidRPr="00DD47DF">
        <w:t xml:space="preserve"> prostřednictvím indikátoru „</w:t>
      </w:r>
      <w:r w:rsidR="001F6899" w:rsidRPr="00DD47DF">
        <w:t>Rozšířené, zrekonstruované nebo nově vybudované kapacity bez záboru zemědělského půdního fondu</w:t>
      </w:r>
      <w:r w:rsidRPr="00DD47DF">
        <w:t>“</w:t>
      </w:r>
      <w:r w:rsidR="00C306CB" w:rsidRPr="00DD47DF">
        <w:t xml:space="preserve"> (4 66 01)</w:t>
      </w:r>
      <w:r w:rsidR="001F6899" w:rsidRPr="00DD47DF">
        <w:t>. Tento</w:t>
      </w:r>
      <w:r w:rsidRPr="00DD47DF">
        <w:t xml:space="preserve"> environmentální </w:t>
      </w:r>
      <w:r w:rsidR="001F6899" w:rsidRPr="00DD47DF">
        <w:t>indikátor bude dále agregován</w:t>
      </w:r>
      <w:r w:rsidRPr="00DD47DF">
        <w:t xml:space="preserve"> pro potřeby Dohody o partnerství.</w:t>
      </w:r>
    </w:p>
    <w:p w14:paraId="608B9765" w14:textId="257D6825" w:rsidR="00545BCC" w:rsidRPr="00DD47DF" w:rsidRDefault="00545BCC" w:rsidP="00545BCC">
      <w:pPr>
        <w:pStyle w:val="Standardntext"/>
        <w:numPr>
          <w:ilvl w:val="0"/>
          <w:numId w:val="43"/>
        </w:numPr>
      </w:pPr>
      <w:r w:rsidRPr="00545BCC">
        <w:t>V případě, že příjemcem podpory ve SC 2.3 bude municipalita, musí být v projektu jednoznačně prokázáno, že zrekonstruovaný objekt/brownfield bude využit/pronajímán malým a středním podnikům minimálně na dobu 10 let, které budou v daném objektu / na daném brownfieldu realizovat své podnikatelské záměry, a bude tak splněna podmínka modernizace objektu/brownfieldu pro následné ekonomické využití.</w:t>
      </w:r>
    </w:p>
    <w:p w14:paraId="41119E16" w14:textId="77777777" w:rsidR="009004A9" w:rsidRPr="00DD47DF" w:rsidRDefault="009004A9" w:rsidP="00D927A2">
      <w:pPr>
        <w:pStyle w:val="Standardntext"/>
        <w:numPr>
          <w:ilvl w:val="0"/>
          <w:numId w:val="43"/>
        </w:numPr>
      </w:pPr>
      <w:r w:rsidRPr="00DD47DF">
        <w:t>Komplexnost opatření formou doložení znaleckého posudku ceny objektu, který je předmětem daného projektu</w:t>
      </w:r>
      <w:r w:rsidR="0017344D" w:rsidRPr="00DD47DF">
        <w:t xml:space="preserve"> v SC 2.3 (blíže viz oddíl 8).</w:t>
      </w:r>
    </w:p>
    <w:p w14:paraId="5BEA7F64" w14:textId="77777777" w:rsidR="00320279" w:rsidRDefault="00320279" w:rsidP="00D927A2">
      <w:pPr>
        <w:pStyle w:val="Standardntext"/>
        <w:numPr>
          <w:ilvl w:val="0"/>
          <w:numId w:val="43"/>
        </w:numPr>
      </w:pPr>
      <w:r w:rsidRPr="00DD47DF">
        <w:t>Povinnost předložit energetický audit, nebo  studii deklarující snížení energetické náročnosti rekonstruovaného objektu</w:t>
      </w:r>
      <w:r w:rsidR="00D74EA3" w:rsidRPr="00DD47DF">
        <w:t xml:space="preserve"> v případě projektů </w:t>
      </w:r>
      <w:r w:rsidR="0017344D" w:rsidRPr="00DD47DF">
        <w:t>v</w:t>
      </w:r>
      <w:r w:rsidR="00577711" w:rsidRPr="00DD47DF">
        <w:t xml:space="preserve"> </w:t>
      </w:r>
      <w:r w:rsidR="00D74EA3" w:rsidRPr="00DD47DF">
        <w:t>SC 2.3</w:t>
      </w:r>
      <w:r w:rsidRPr="00DD47DF">
        <w:t>. Úroveň vykazovaných a požadovaných hodnot (stupeň energetické náročnosti) bude stanovena v rámci výběru dané operace.</w:t>
      </w:r>
    </w:p>
    <w:p w14:paraId="78A9EDFA" w14:textId="747EE175" w:rsidR="003E3110" w:rsidRDefault="003E3110" w:rsidP="00D927A2">
      <w:pPr>
        <w:pStyle w:val="Standardntext"/>
        <w:numPr>
          <w:ilvl w:val="0"/>
          <w:numId w:val="43"/>
        </w:numPr>
      </w:pPr>
      <w:r w:rsidRPr="00700E39">
        <w:lastRenderedPageBreak/>
        <w:t>V rámci projektů podpory cestovního ruchu nebudou podpořeny aktivity směřující k vybudování nebo revitalizaci golfových hřišť a areálů a samostatných veřejně přístupných aquaparků či koupališť.</w:t>
      </w:r>
    </w:p>
    <w:p w14:paraId="170AB19C" w14:textId="104C59F5" w:rsidR="003E3110" w:rsidRDefault="003E3110" w:rsidP="00D927A2">
      <w:pPr>
        <w:pStyle w:val="Standardntext"/>
        <w:numPr>
          <w:ilvl w:val="0"/>
          <w:numId w:val="43"/>
        </w:numPr>
      </w:pPr>
      <w:r w:rsidRPr="00700E39">
        <w:t>S ohledem na hlavní ukazatel – tvorba nových pracovních míst – budou při výběru zvýhodněny projekty vytvářející vyšší počty nových přímých celoročních přepočtených úvazků, tj. projekty vytvářející rozvojové póly lokalit.</w:t>
      </w:r>
    </w:p>
    <w:p w14:paraId="339750AB" w14:textId="4EFE7AF9" w:rsidR="00437534" w:rsidRPr="00DD47DF" w:rsidRDefault="00437534" w:rsidP="00D927A2">
      <w:pPr>
        <w:pStyle w:val="Standardntext"/>
        <w:numPr>
          <w:ilvl w:val="0"/>
          <w:numId w:val="43"/>
        </w:numPr>
      </w:pPr>
      <w:r w:rsidRPr="00700E39">
        <w:t>Podporovány nebudou developerské projekty, ani nová výstavba na „zelené louce“ vyžadující zábor zemědělského půdního fondu. V případě přístaveb a dostaveb stávajících objektů, které vyžadují zábor zemědělského půdního fondu, bude podpora poskytnuta jen při vyloučení negativních enviromentálních vlivů a v souladu s udržitelnou výstavbou budov formou doložení úspěšné certifikace procesu dle BREEAM nebo LEED v průběhu územního řízení a stavebního povolení a následně závazek realizace a úspěšné certifikace při realizaci kolaudaci staveb.</w:t>
      </w:r>
    </w:p>
    <w:p w14:paraId="4E261185" w14:textId="77777777" w:rsidR="00320279" w:rsidRDefault="00320279" w:rsidP="00D927A2">
      <w:pPr>
        <w:pStyle w:val="Standardntext"/>
        <w:numPr>
          <w:ilvl w:val="0"/>
          <w:numId w:val="43"/>
        </w:numPr>
      </w:pPr>
      <w:r w:rsidRPr="00DD47DF">
        <w:t>Při výběru budou</w:t>
      </w:r>
      <w:r w:rsidR="00D74EA3" w:rsidRPr="00DD47DF">
        <w:t xml:space="preserve"> v SC 2.4</w:t>
      </w:r>
      <w:r w:rsidRPr="00DD47DF">
        <w:t xml:space="preserve"> zvýhodněny projekty, jejichž součástí bude smlouva se </w:t>
      </w:r>
      <w:r w:rsidR="00642E01" w:rsidRPr="00DD47DF">
        <w:t>školou</w:t>
      </w:r>
      <w:r w:rsidRPr="00DD47DF">
        <w:t xml:space="preserve"> o možnosti využití školicího střediska i pro </w:t>
      </w:r>
      <w:r w:rsidR="00733A8A" w:rsidRPr="00DD47DF">
        <w:t xml:space="preserve">odborný výcvik, </w:t>
      </w:r>
      <w:r w:rsidRPr="00DD47DF">
        <w:t xml:space="preserve">odborné </w:t>
      </w:r>
      <w:r w:rsidR="002464E2" w:rsidRPr="00DD47DF">
        <w:t>praxe a stáže</w:t>
      </w:r>
      <w:r w:rsidRPr="00DD47DF">
        <w:t xml:space="preserve"> žáků a studentů.</w:t>
      </w:r>
    </w:p>
    <w:p w14:paraId="45002177" w14:textId="47FCC243" w:rsidR="003E2410" w:rsidRPr="00DD47DF" w:rsidRDefault="003E2410" w:rsidP="00D927A2">
      <w:pPr>
        <w:pStyle w:val="Standardntext"/>
        <w:numPr>
          <w:ilvl w:val="0"/>
          <w:numId w:val="43"/>
        </w:numPr>
      </w:pPr>
      <w:r w:rsidRPr="003E2410">
        <w:t>V případě podpory formou finančních nástrojů bude výběr operací a příjemců proveden ŘO podle výběrových kritérií schválených MV OP PIK, v souladu s výsledky předběžného posouzení FN. Výběr konečných příjemců bude provádět správce finančního nástroje.</w:t>
      </w:r>
    </w:p>
    <w:p w14:paraId="257AEE44" w14:textId="77777777" w:rsidR="00A438A6" w:rsidRPr="00DD47DF" w:rsidRDefault="00A438A6" w:rsidP="00D927A2">
      <w:pPr>
        <w:pStyle w:val="Standardntext"/>
        <w:numPr>
          <w:ilvl w:val="0"/>
          <w:numId w:val="43"/>
        </w:numPr>
      </w:pPr>
      <w:r w:rsidRPr="00DD47DF">
        <w:t xml:space="preserve">Soulad projektu s horizontálními principy, mezi něž patří udržitelný rozvoj, rovné příležitosti a ochrana před diskriminací. Projekt, který bude v rozporu s těmito principy, nebude v rámci OP PIK podpořen (blíže viz oddíl 11). </w:t>
      </w:r>
    </w:p>
    <w:p w14:paraId="78135D19" w14:textId="77777777" w:rsidR="009004A9" w:rsidRPr="00DD47DF" w:rsidRDefault="009004A9" w:rsidP="00D927A2">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19E78357" w14:textId="77777777" w:rsidR="00F262C8" w:rsidRPr="00DD47DF" w:rsidRDefault="00BA6461" w:rsidP="00A25CBC">
      <w:pPr>
        <w:pStyle w:val="Nadpis5"/>
        <w:numPr>
          <w:ilvl w:val="4"/>
          <w:numId w:val="132"/>
        </w:numPr>
        <w:rPr>
          <w:rFonts w:cs="Calibri"/>
        </w:rPr>
      </w:pPr>
      <w:r w:rsidRPr="00DD47DF">
        <w:t>Plánované využití finančních nástrojů (použije-li se)</w:t>
      </w:r>
    </w:p>
    <w:p w14:paraId="61A672CD" w14:textId="70F67C4A" w:rsidR="00F262C8" w:rsidRPr="00DD47DF" w:rsidRDefault="00CB0BAE" w:rsidP="00A46BFD">
      <w:pPr>
        <w:pStyle w:val="Standardntext"/>
      </w:pPr>
      <w:r w:rsidRPr="00700E39">
        <w:rPr>
          <w:lang w:val="x-none" w:eastAsia="x-none"/>
        </w:rPr>
        <w:t>Při provádění této investiční priority</w:t>
      </w:r>
      <w:r w:rsidRPr="00700E39">
        <w:rPr>
          <w:lang w:eastAsia="x-none"/>
        </w:rPr>
        <w:t xml:space="preserve"> v rámci specifického cíle 2.3</w:t>
      </w:r>
      <w:r w:rsidRPr="00700E39">
        <w:rPr>
          <w:lang w:val="x-none" w:eastAsia="x-none"/>
        </w:rPr>
        <w:t xml:space="preserve"> budou koneční příjemci podpořeni finančními nástroji. Detaily stanoví Řídící orgán OP PIK na základě předběžného posouzení finančních nástrojů OP PIK dle čl. 37 odst. 2 obecného nařízení, případně jeho revize podle čl. 37 odst. 2 písm. g) obecného nařízení. Předběžné posouzení finančních nástrojů musí být dokončeno dříve, než řídicí orgán rozhodne, že finanční nástroj obdrží příspěvek z programu.</w:t>
      </w:r>
      <w:r w:rsidRPr="00700E39">
        <w:rPr>
          <w:lang w:eastAsia="x-none"/>
        </w:rPr>
        <w:t xml:space="preserve"> V případě specifického cíle 2.4 bude nástrojem podpory dotace.</w:t>
      </w:r>
    </w:p>
    <w:p w14:paraId="498F0647" w14:textId="77777777" w:rsidR="00F262C8" w:rsidRPr="00DD47DF" w:rsidRDefault="00BA6461" w:rsidP="00A25CBC">
      <w:pPr>
        <w:pStyle w:val="Nadpis5"/>
        <w:numPr>
          <w:ilvl w:val="4"/>
          <w:numId w:val="132"/>
        </w:numPr>
      </w:pPr>
      <w:r w:rsidRPr="00DD47DF">
        <w:t>Plánované využití velkých projektů (použije-li se)</w:t>
      </w:r>
    </w:p>
    <w:p w14:paraId="0EF0A98A" w14:textId="77777777" w:rsidR="002A4D1D" w:rsidRPr="00DD47DF" w:rsidRDefault="002A4D1D" w:rsidP="002A4D1D">
      <w:pPr>
        <w:pStyle w:val="Standardntext"/>
      </w:pPr>
      <w:r w:rsidRPr="00DD47DF">
        <w:t xml:space="preserve">Velké projekty ve smyslu čl. </w:t>
      </w:r>
      <w:r w:rsidR="00C17C7C" w:rsidRPr="00DD47DF">
        <w:t>10</w:t>
      </w:r>
      <w:r w:rsidRPr="00DD47DF">
        <w:t>0 obecného nařízení nejsou plánovány.</w:t>
      </w:r>
    </w:p>
    <w:p w14:paraId="41A4BB25" w14:textId="77777777" w:rsidR="00F262C8" w:rsidRPr="00DD47DF" w:rsidRDefault="00BA6461" w:rsidP="00A25CBC">
      <w:pPr>
        <w:pStyle w:val="Nadpis5"/>
        <w:numPr>
          <w:ilvl w:val="4"/>
          <w:numId w:val="132"/>
        </w:numPr>
      </w:pPr>
      <w:r w:rsidRPr="00DD47DF">
        <w:lastRenderedPageBreak/>
        <w:t>Ukazatele výstupů podle investiční priority a případně podle kategorie regionů</w:t>
      </w:r>
    </w:p>
    <w:p w14:paraId="67AC5421" w14:textId="77777777" w:rsidR="00F262C8" w:rsidRPr="00DD47DF" w:rsidRDefault="00F262C8" w:rsidP="000558FE">
      <w:pPr>
        <w:pStyle w:val="Titulek"/>
        <w:keepNext/>
        <w:keepLines/>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5000" w:type="pct"/>
        <w:tblCellMar>
          <w:left w:w="57" w:type="dxa"/>
          <w:right w:w="57" w:type="dxa"/>
        </w:tblCellMar>
        <w:tblLook w:val="01E0" w:firstRow="1" w:lastRow="1" w:firstColumn="1" w:lastColumn="1" w:noHBand="0" w:noVBand="0"/>
      </w:tblPr>
      <w:tblGrid>
        <w:gridCol w:w="1158"/>
        <w:gridCol w:w="2311"/>
        <w:gridCol w:w="946"/>
        <w:gridCol w:w="666"/>
        <w:gridCol w:w="1043"/>
        <w:gridCol w:w="1158"/>
        <w:gridCol w:w="998"/>
        <w:gridCol w:w="1046"/>
      </w:tblGrid>
      <w:tr w:rsidR="00956C4F" w:rsidRPr="00DD47DF" w14:paraId="34AEA2E2" w14:textId="77777777" w:rsidTr="00251879">
        <w:trPr>
          <w:trHeight w:hRule="exact" w:val="1058"/>
        </w:trPr>
        <w:tc>
          <w:tcPr>
            <w:tcW w:w="621"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9246016" w14:textId="77777777" w:rsidR="001B2E5C" w:rsidRPr="00DD47DF" w:rsidRDefault="001B2E5C" w:rsidP="001B2E5C">
            <w:pPr>
              <w:pStyle w:val="Tabulka"/>
              <w:rPr>
                <w:rFonts w:cs="Calibri"/>
                <w:b/>
              </w:rPr>
            </w:pPr>
            <w:r w:rsidRPr="00DD47DF">
              <w:rPr>
                <w:rFonts w:cs="Calibri"/>
                <w:b/>
              </w:rPr>
              <w:t>ID</w:t>
            </w:r>
          </w:p>
        </w:tc>
        <w:tc>
          <w:tcPr>
            <w:tcW w:w="1239"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3870D9F" w14:textId="77777777" w:rsidR="001B2E5C" w:rsidRPr="00DD47DF" w:rsidRDefault="001B2E5C" w:rsidP="001B2E5C">
            <w:pPr>
              <w:pStyle w:val="Tabulka"/>
              <w:rPr>
                <w:rFonts w:cs="Calibri"/>
                <w:b/>
              </w:rPr>
            </w:pPr>
            <w:r w:rsidRPr="00DD47DF">
              <w:rPr>
                <w:rFonts w:cs="Calibri"/>
                <w:b/>
              </w:rPr>
              <w:t>Ukazatel</w:t>
            </w:r>
          </w:p>
        </w:tc>
        <w:tc>
          <w:tcPr>
            <w:tcW w:w="50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4F22809A" w14:textId="77777777" w:rsidR="001B2E5C" w:rsidRPr="00DD47DF" w:rsidRDefault="001B2E5C" w:rsidP="001B2E5C">
            <w:pPr>
              <w:pStyle w:val="Tabulka"/>
              <w:rPr>
                <w:rFonts w:cs="Calibri"/>
                <w:b/>
              </w:rPr>
            </w:pPr>
            <w:r w:rsidRPr="00DD47DF">
              <w:rPr>
                <w:rFonts w:cs="Calibri"/>
                <w:b/>
              </w:rPr>
              <w:t>Měrná jednotka</w:t>
            </w:r>
          </w:p>
        </w:tc>
        <w:tc>
          <w:tcPr>
            <w:tcW w:w="35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79AC66BD" w14:textId="77777777" w:rsidR="001B2E5C" w:rsidRPr="00DD47DF" w:rsidRDefault="001B2E5C" w:rsidP="001B2E5C">
            <w:pPr>
              <w:pStyle w:val="Tabulka"/>
              <w:rPr>
                <w:rFonts w:cs="Calibri"/>
                <w:b/>
              </w:rPr>
            </w:pPr>
            <w:r w:rsidRPr="00DD47DF">
              <w:rPr>
                <w:rFonts w:cs="Calibri"/>
                <w:b/>
              </w:rPr>
              <w:t>Fond</w:t>
            </w:r>
          </w:p>
        </w:tc>
        <w:tc>
          <w:tcPr>
            <w:tcW w:w="559"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5EE55D9" w14:textId="77777777" w:rsidR="001B2E5C" w:rsidRPr="00DD47DF" w:rsidRDefault="001B2E5C" w:rsidP="001B2E5C">
            <w:pPr>
              <w:pStyle w:val="Tabulka"/>
              <w:rPr>
                <w:rFonts w:cs="Calibri"/>
                <w:b/>
              </w:rPr>
            </w:pPr>
            <w:r w:rsidRPr="00DD47DF">
              <w:rPr>
                <w:rFonts w:cs="Calibri"/>
                <w:b/>
              </w:rPr>
              <w:t>Kategorie regionu</w:t>
            </w:r>
          </w:p>
        </w:tc>
        <w:tc>
          <w:tcPr>
            <w:tcW w:w="621"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36042F9" w14:textId="77777777" w:rsidR="001B2E5C" w:rsidRPr="00DD47DF" w:rsidRDefault="001B2E5C" w:rsidP="00D57106">
            <w:pPr>
              <w:pStyle w:val="Tabulka"/>
              <w:rPr>
                <w:rFonts w:cs="Calibri"/>
                <w:b/>
              </w:rPr>
            </w:pPr>
            <w:r w:rsidRPr="00DD47DF">
              <w:rPr>
                <w:rFonts w:cs="Calibri"/>
                <w:b/>
              </w:rPr>
              <w:t>Cílová hodnota</w:t>
            </w:r>
            <w:r w:rsidR="00D57106" w:rsidRPr="00DD47DF">
              <w:rPr>
                <w:rFonts w:cs="Calibri"/>
                <w:b/>
              </w:rPr>
              <w:t xml:space="preserve"> </w:t>
            </w:r>
            <w:r w:rsidRPr="00DD47DF">
              <w:rPr>
                <w:rFonts w:cs="Calibri"/>
                <w:b/>
              </w:rPr>
              <w:t>(2023)</w:t>
            </w:r>
          </w:p>
        </w:tc>
        <w:tc>
          <w:tcPr>
            <w:tcW w:w="535"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1EF5F578" w14:textId="77777777" w:rsidR="001B2E5C" w:rsidRPr="00DD47DF" w:rsidRDefault="001B2E5C" w:rsidP="001B2E5C">
            <w:pPr>
              <w:pStyle w:val="Tabulka"/>
              <w:rPr>
                <w:rFonts w:cs="Calibri"/>
                <w:b/>
              </w:rPr>
            </w:pPr>
            <w:r w:rsidRPr="00DD47DF">
              <w:rPr>
                <w:rFonts w:cs="Calibri"/>
                <w:b/>
              </w:rPr>
              <w:t>Zdroj údajů</w:t>
            </w:r>
          </w:p>
        </w:tc>
        <w:tc>
          <w:tcPr>
            <w:tcW w:w="561"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CD6BA1C" w14:textId="77777777" w:rsidR="001B2E5C" w:rsidRPr="00DD47DF" w:rsidRDefault="001B2E5C" w:rsidP="001B2E5C">
            <w:pPr>
              <w:pStyle w:val="Tabulka"/>
              <w:rPr>
                <w:rFonts w:cs="Calibri"/>
                <w:b/>
              </w:rPr>
            </w:pPr>
            <w:r w:rsidRPr="00DD47DF">
              <w:rPr>
                <w:rFonts w:cs="Calibri"/>
                <w:b/>
              </w:rPr>
              <w:t>Četnost podávání zpráv</w:t>
            </w:r>
          </w:p>
        </w:tc>
      </w:tr>
      <w:tr w:rsidR="00956C4F" w:rsidRPr="00DD47DF" w14:paraId="27660EEA" w14:textId="77777777" w:rsidTr="00251879">
        <w:trPr>
          <w:trHeight w:val="510"/>
        </w:trPr>
        <w:tc>
          <w:tcPr>
            <w:tcW w:w="621" w:type="pct"/>
            <w:tcBorders>
              <w:top w:val="single" w:sz="4" w:space="0" w:color="000000"/>
              <w:left w:val="single" w:sz="4" w:space="0" w:color="000000"/>
              <w:bottom w:val="single" w:sz="4" w:space="0" w:color="000000"/>
              <w:right w:val="single" w:sz="4" w:space="0" w:color="000000"/>
            </w:tcBorders>
            <w:vAlign w:val="center"/>
          </w:tcPr>
          <w:p w14:paraId="2AAB825B" w14:textId="57E2EA6B" w:rsidR="007A5135" w:rsidRPr="00DD47DF" w:rsidRDefault="00C75691" w:rsidP="0065467A">
            <w:pPr>
              <w:pStyle w:val="Tabulka"/>
              <w:rPr>
                <w:rFonts w:cs="Calibri"/>
              </w:rPr>
            </w:pPr>
            <w:r w:rsidRPr="00DD47DF">
              <w:rPr>
                <w:rFonts w:cs="Calibri"/>
              </w:rPr>
              <w:t xml:space="preserve">CO </w:t>
            </w:r>
            <w:r w:rsidR="00927ADD" w:rsidRPr="00DD47DF">
              <w:rPr>
                <w:rFonts w:cs="Calibri"/>
              </w:rPr>
              <w:t>0</w:t>
            </w:r>
            <w:r w:rsidR="007A5135" w:rsidRPr="00DD47DF">
              <w:rPr>
                <w:rFonts w:cs="Calibri"/>
              </w:rPr>
              <w:t>1</w:t>
            </w:r>
          </w:p>
        </w:tc>
        <w:tc>
          <w:tcPr>
            <w:tcW w:w="1239" w:type="pct"/>
            <w:tcBorders>
              <w:top w:val="single" w:sz="4" w:space="0" w:color="000000"/>
              <w:left w:val="single" w:sz="4" w:space="0" w:color="000000"/>
              <w:bottom w:val="single" w:sz="4" w:space="0" w:color="000000"/>
              <w:right w:val="single" w:sz="4" w:space="0" w:color="000000"/>
            </w:tcBorders>
            <w:vAlign w:val="center"/>
          </w:tcPr>
          <w:p w14:paraId="10B4B720" w14:textId="77777777" w:rsidR="007A5135" w:rsidRPr="00DD47DF" w:rsidRDefault="007D6298" w:rsidP="0065467A">
            <w:pPr>
              <w:pStyle w:val="Tabulka"/>
              <w:jc w:val="left"/>
              <w:rPr>
                <w:rFonts w:cs="Calibri"/>
              </w:rPr>
            </w:pPr>
            <w:r w:rsidRPr="00DD47DF">
              <w:rPr>
                <w:rFonts w:cs="Calibri"/>
              </w:rPr>
              <w:t>Počet podniků pobírajících podporu</w:t>
            </w:r>
          </w:p>
        </w:tc>
        <w:tc>
          <w:tcPr>
            <w:tcW w:w="507" w:type="pct"/>
            <w:tcBorders>
              <w:top w:val="single" w:sz="4" w:space="0" w:color="000000"/>
              <w:left w:val="single" w:sz="4" w:space="0" w:color="000000"/>
              <w:bottom w:val="single" w:sz="4" w:space="0" w:color="000000"/>
              <w:right w:val="single" w:sz="4" w:space="0" w:color="000000"/>
            </w:tcBorders>
            <w:vAlign w:val="center"/>
          </w:tcPr>
          <w:p w14:paraId="7FE206D6" w14:textId="77777777" w:rsidR="007A5135" w:rsidRPr="00DD47DF" w:rsidRDefault="007A5135" w:rsidP="0065467A">
            <w:pPr>
              <w:pStyle w:val="Tabulka"/>
              <w:rPr>
                <w:rFonts w:cs="Calibri"/>
              </w:rPr>
            </w:pPr>
            <w:r w:rsidRPr="00DD47DF">
              <w:rPr>
                <w:rFonts w:cs="Calibri"/>
              </w:rPr>
              <w:t>podniky</w:t>
            </w:r>
          </w:p>
        </w:tc>
        <w:tc>
          <w:tcPr>
            <w:tcW w:w="357" w:type="pct"/>
            <w:tcBorders>
              <w:top w:val="single" w:sz="4" w:space="0" w:color="000000"/>
              <w:left w:val="single" w:sz="4" w:space="0" w:color="000000"/>
              <w:bottom w:val="single" w:sz="4" w:space="0" w:color="000000"/>
              <w:right w:val="single" w:sz="4" w:space="0" w:color="000000"/>
            </w:tcBorders>
            <w:vAlign w:val="center"/>
          </w:tcPr>
          <w:p w14:paraId="1D2D3322" w14:textId="77777777" w:rsidR="007A5135" w:rsidRPr="00DD47DF" w:rsidRDefault="002B3F69" w:rsidP="0065467A">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6A0F6EB3" w14:textId="77777777" w:rsidR="007A5135" w:rsidRPr="00DD47DF" w:rsidRDefault="007A5135" w:rsidP="0065467A">
            <w:pPr>
              <w:pStyle w:val="Tabulka"/>
              <w:rPr>
                <w:rFonts w:cs="Calibri"/>
              </w:rPr>
            </w:pPr>
            <w:r w:rsidRPr="00DD47DF">
              <w:rPr>
                <w:rFonts w:cs="Calibri"/>
              </w:rPr>
              <w:t>Méně rozvinuté regiony</w:t>
            </w:r>
          </w:p>
        </w:tc>
        <w:tc>
          <w:tcPr>
            <w:tcW w:w="621" w:type="pct"/>
            <w:tcBorders>
              <w:top w:val="single" w:sz="4" w:space="0" w:color="000000"/>
              <w:left w:val="single" w:sz="4" w:space="0" w:color="000000"/>
              <w:bottom w:val="single" w:sz="4" w:space="0" w:color="000000"/>
              <w:right w:val="single" w:sz="4" w:space="0" w:color="000000"/>
            </w:tcBorders>
            <w:vAlign w:val="center"/>
          </w:tcPr>
          <w:p w14:paraId="6D16B093" w14:textId="3B0B1DD7" w:rsidR="007A5135" w:rsidRPr="00DD47DF" w:rsidRDefault="00CB0BAE" w:rsidP="0065467A">
            <w:pPr>
              <w:pStyle w:val="Tabulka"/>
              <w:rPr>
                <w:rFonts w:cs="Calibri"/>
              </w:rPr>
            </w:pPr>
            <w:r w:rsidRPr="00700E39">
              <w:rPr>
                <w:rFonts w:cs="Calibri"/>
              </w:rPr>
              <w:t>707</w:t>
            </w:r>
          </w:p>
        </w:tc>
        <w:tc>
          <w:tcPr>
            <w:tcW w:w="535" w:type="pct"/>
            <w:tcBorders>
              <w:top w:val="single" w:sz="4" w:space="0" w:color="000000"/>
              <w:left w:val="single" w:sz="4" w:space="0" w:color="000000"/>
              <w:bottom w:val="single" w:sz="4" w:space="0" w:color="000000"/>
              <w:right w:val="single" w:sz="4" w:space="0" w:color="000000"/>
            </w:tcBorders>
            <w:vAlign w:val="center"/>
          </w:tcPr>
          <w:p w14:paraId="1A80F8A8" w14:textId="77777777" w:rsidR="007A5135" w:rsidRPr="00DD47DF" w:rsidRDefault="00FC7054" w:rsidP="0065467A">
            <w:pPr>
              <w:pStyle w:val="Tabulka"/>
              <w:rPr>
                <w:rFonts w:cs="Calibri"/>
              </w:rPr>
            </w:pPr>
            <w:r>
              <w:rPr>
                <w:rFonts w:cs="Calibri"/>
              </w:rPr>
              <w:t>MS2014+</w:t>
            </w:r>
          </w:p>
        </w:tc>
        <w:tc>
          <w:tcPr>
            <w:tcW w:w="561" w:type="pct"/>
            <w:tcBorders>
              <w:top w:val="single" w:sz="4" w:space="0" w:color="000000"/>
              <w:left w:val="single" w:sz="4" w:space="0" w:color="000000"/>
              <w:bottom w:val="single" w:sz="4" w:space="0" w:color="000000"/>
              <w:right w:val="single" w:sz="4" w:space="0" w:color="000000"/>
            </w:tcBorders>
            <w:vAlign w:val="center"/>
          </w:tcPr>
          <w:p w14:paraId="60D0053E" w14:textId="77777777" w:rsidR="007A5135" w:rsidRPr="00DD47DF" w:rsidRDefault="00FC7054" w:rsidP="00AB615E">
            <w:pPr>
              <w:pStyle w:val="Tabulka"/>
              <w:rPr>
                <w:rFonts w:cs="Calibri"/>
              </w:rPr>
            </w:pPr>
            <w:r>
              <w:rPr>
                <w:rFonts w:cs="Calibri"/>
              </w:rPr>
              <w:t>průběžně</w:t>
            </w:r>
          </w:p>
        </w:tc>
      </w:tr>
      <w:tr w:rsidR="00956C4F" w:rsidRPr="00DD47DF" w14:paraId="7E1CB933" w14:textId="77777777" w:rsidTr="00251879">
        <w:trPr>
          <w:trHeight w:val="510"/>
        </w:trPr>
        <w:tc>
          <w:tcPr>
            <w:tcW w:w="621" w:type="pct"/>
            <w:tcBorders>
              <w:top w:val="single" w:sz="4" w:space="0" w:color="000000"/>
              <w:left w:val="single" w:sz="4" w:space="0" w:color="000000"/>
              <w:bottom w:val="single" w:sz="4" w:space="0" w:color="000000"/>
              <w:right w:val="single" w:sz="4" w:space="0" w:color="000000"/>
            </w:tcBorders>
            <w:vAlign w:val="center"/>
          </w:tcPr>
          <w:p w14:paraId="1156F65C" w14:textId="3747F352" w:rsidR="007A5135" w:rsidRPr="00DD47DF" w:rsidRDefault="00C75691" w:rsidP="0065467A">
            <w:pPr>
              <w:pStyle w:val="Tabulka"/>
              <w:rPr>
                <w:rFonts w:cs="Calibri"/>
              </w:rPr>
            </w:pPr>
            <w:r w:rsidRPr="00DD47DF">
              <w:rPr>
                <w:rFonts w:cs="Calibri"/>
              </w:rPr>
              <w:t xml:space="preserve">CO </w:t>
            </w:r>
            <w:r w:rsidR="00927ADD" w:rsidRPr="00DD47DF">
              <w:rPr>
                <w:rFonts w:cs="Calibri"/>
              </w:rPr>
              <w:t>0</w:t>
            </w:r>
            <w:r w:rsidR="007A5135" w:rsidRPr="00DD47DF">
              <w:rPr>
                <w:rFonts w:cs="Calibri"/>
              </w:rPr>
              <w:t>2</w:t>
            </w:r>
          </w:p>
        </w:tc>
        <w:tc>
          <w:tcPr>
            <w:tcW w:w="1239" w:type="pct"/>
            <w:tcBorders>
              <w:top w:val="single" w:sz="4" w:space="0" w:color="000000"/>
              <w:left w:val="single" w:sz="4" w:space="0" w:color="000000"/>
              <w:bottom w:val="single" w:sz="4" w:space="0" w:color="000000"/>
              <w:right w:val="single" w:sz="4" w:space="0" w:color="000000"/>
            </w:tcBorders>
            <w:vAlign w:val="center"/>
          </w:tcPr>
          <w:p w14:paraId="5035E89C" w14:textId="77777777" w:rsidR="007A5135" w:rsidRPr="00DD47DF" w:rsidRDefault="007A5135" w:rsidP="0065467A">
            <w:pPr>
              <w:pStyle w:val="Tabulka"/>
              <w:jc w:val="left"/>
              <w:rPr>
                <w:rFonts w:cs="Calibri"/>
              </w:rPr>
            </w:pPr>
            <w:r w:rsidRPr="00DD47DF">
              <w:rPr>
                <w:rFonts w:cs="Calibri"/>
              </w:rPr>
              <w:t>Počet podniků pobírajících granty</w:t>
            </w:r>
          </w:p>
        </w:tc>
        <w:tc>
          <w:tcPr>
            <w:tcW w:w="507" w:type="pct"/>
            <w:tcBorders>
              <w:top w:val="single" w:sz="4" w:space="0" w:color="000000"/>
              <w:left w:val="single" w:sz="4" w:space="0" w:color="000000"/>
              <w:bottom w:val="single" w:sz="4" w:space="0" w:color="000000"/>
              <w:right w:val="single" w:sz="4" w:space="0" w:color="000000"/>
            </w:tcBorders>
            <w:vAlign w:val="center"/>
          </w:tcPr>
          <w:p w14:paraId="3F29838F" w14:textId="77777777" w:rsidR="007A5135" w:rsidRPr="00DD47DF" w:rsidRDefault="007A5135" w:rsidP="0065467A">
            <w:pPr>
              <w:pStyle w:val="Tabulka"/>
              <w:rPr>
                <w:rFonts w:cs="Calibri"/>
              </w:rPr>
            </w:pPr>
            <w:r w:rsidRPr="00DD47DF">
              <w:rPr>
                <w:rFonts w:cs="Calibri"/>
              </w:rPr>
              <w:t>podniky</w:t>
            </w:r>
          </w:p>
        </w:tc>
        <w:tc>
          <w:tcPr>
            <w:tcW w:w="357" w:type="pct"/>
            <w:tcBorders>
              <w:top w:val="single" w:sz="4" w:space="0" w:color="000000"/>
              <w:left w:val="single" w:sz="4" w:space="0" w:color="000000"/>
              <w:bottom w:val="single" w:sz="4" w:space="0" w:color="000000"/>
              <w:right w:val="single" w:sz="4" w:space="0" w:color="000000"/>
            </w:tcBorders>
            <w:vAlign w:val="center"/>
          </w:tcPr>
          <w:p w14:paraId="36A8EB74" w14:textId="77777777" w:rsidR="007A5135" w:rsidRPr="00DD47DF" w:rsidRDefault="002B3F69" w:rsidP="008165DC">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095D8734" w14:textId="77777777" w:rsidR="007A5135" w:rsidRPr="00DD47DF" w:rsidRDefault="007A5135" w:rsidP="0065467A">
            <w:pPr>
              <w:pStyle w:val="Tabulka"/>
              <w:rPr>
                <w:rFonts w:cs="Calibri"/>
              </w:rPr>
            </w:pPr>
            <w:r w:rsidRPr="00DD47DF">
              <w:rPr>
                <w:rFonts w:cs="Calibri"/>
              </w:rPr>
              <w:t>Méně rozvinuté regiony</w:t>
            </w:r>
          </w:p>
        </w:tc>
        <w:tc>
          <w:tcPr>
            <w:tcW w:w="621" w:type="pct"/>
            <w:tcBorders>
              <w:top w:val="single" w:sz="4" w:space="0" w:color="000000"/>
              <w:left w:val="single" w:sz="4" w:space="0" w:color="000000"/>
              <w:bottom w:val="single" w:sz="4" w:space="0" w:color="000000"/>
              <w:right w:val="single" w:sz="4" w:space="0" w:color="000000"/>
            </w:tcBorders>
            <w:vAlign w:val="center"/>
          </w:tcPr>
          <w:p w14:paraId="641882FF" w14:textId="34849DCB" w:rsidR="007A5135" w:rsidRPr="00DD47DF" w:rsidRDefault="00CB0BAE" w:rsidP="0065467A">
            <w:pPr>
              <w:pStyle w:val="Tabulka"/>
              <w:rPr>
                <w:rFonts w:cs="Calibri"/>
              </w:rPr>
            </w:pPr>
            <w:r w:rsidRPr="00700E39">
              <w:rPr>
                <w:rFonts w:cs="Calibri"/>
              </w:rPr>
              <w:t>672</w:t>
            </w:r>
          </w:p>
        </w:tc>
        <w:tc>
          <w:tcPr>
            <w:tcW w:w="535" w:type="pct"/>
            <w:tcBorders>
              <w:top w:val="single" w:sz="4" w:space="0" w:color="000000"/>
              <w:left w:val="single" w:sz="4" w:space="0" w:color="000000"/>
              <w:bottom w:val="single" w:sz="4" w:space="0" w:color="000000"/>
              <w:right w:val="single" w:sz="4" w:space="0" w:color="000000"/>
            </w:tcBorders>
            <w:vAlign w:val="center"/>
          </w:tcPr>
          <w:p w14:paraId="1B6657D1" w14:textId="77777777" w:rsidR="007A5135" w:rsidRPr="00DD47DF" w:rsidRDefault="00FC7054" w:rsidP="007A5135">
            <w:pPr>
              <w:pStyle w:val="Tabulka"/>
              <w:rPr>
                <w:rFonts w:cs="Calibri"/>
              </w:rPr>
            </w:pPr>
            <w:r>
              <w:rPr>
                <w:rFonts w:cs="Calibri"/>
              </w:rPr>
              <w:t>MS2014+</w:t>
            </w:r>
          </w:p>
        </w:tc>
        <w:tc>
          <w:tcPr>
            <w:tcW w:w="561" w:type="pct"/>
            <w:tcBorders>
              <w:top w:val="single" w:sz="4" w:space="0" w:color="000000"/>
              <w:left w:val="single" w:sz="4" w:space="0" w:color="000000"/>
              <w:bottom w:val="single" w:sz="4" w:space="0" w:color="000000"/>
              <w:right w:val="single" w:sz="4" w:space="0" w:color="000000"/>
            </w:tcBorders>
            <w:vAlign w:val="center"/>
          </w:tcPr>
          <w:p w14:paraId="4043A4F9" w14:textId="77777777" w:rsidR="007A5135" w:rsidRPr="00DD47DF" w:rsidRDefault="00FC7054" w:rsidP="00AB615E">
            <w:pPr>
              <w:pStyle w:val="Tabulka"/>
              <w:rPr>
                <w:rFonts w:cs="Calibri"/>
              </w:rPr>
            </w:pPr>
            <w:r>
              <w:rPr>
                <w:rFonts w:cs="Calibri"/>
              </w:rPr>
              <w:t>průběžně</w:t>
            </w:r>
          </w:p>
        </w:tc>
      </w:tr>
      <w:tr w:rsidR="007274C3" w:rsidRPr="00DD47DF" w14:paraId="4B4060BC" w14:textId="77777777" w:rsidTr="00251879">
        <w:trPr>
          <w:trHeight w:val="510"/>
        </w:trPr>
        <w:tc>
          <w:tcPr>
            <w:tcW w:w="621" w:type="pct"/>
            <w:tcBorders>
              <w:top w:val="single" w:sz="4" w:space="0" w:color="000000"/>
              <w:left w:val="single" w:sz="4" w:space="0" w:color="000000"/>
              <w:bottom w:val="single" w:sz="4" w:space="0" w:color="000000"/>
              <w:right w:val="single" w:sz="4" w:space="0" w:color="000000"/>
            </w:tcBorders>
            <w:vAlign w:val="center"/>
          </w:tcPr>
          <w:p w14:paraId="07DCA61D" w14:textId="4CB653D0" w:rsidR="007274C3" w:rsidRPr="00DD47DF" w:rsidRDefault="007274C3" w:rsidP="007274C3">
            <w:pPr>
              <w:pStyle w:val="Tabulka"/>
              <w:rPr>
                <w:rFonts w:cs="Calibri"/>
              </w:rPr>
            </w:pPr>
            <w:r w:rsidRPr="00DD47DF">
              <w:rPr>
                <w:rFonts w:cs="Calibri"/>
              </w:rPr>
              <w:t>CO 03</w:t>
            </w:r>
          </w:p>
        </w:tc>
        <w:tc>
          <w:tcPr>
            <w:tcW w:w="1239" w:type="pct"/>
            <w:tcBorders>
              <w:top w:val="single" w:sz="4" w:space="0" w:color="000000"/>
              <w:left w:val="single" w:sz="4" w:space="0" w:color="000000"/>
              <w:bottom w:val="single" w:sz="4" w:space="0" w:color="000000"/>
              <w:right w:val="single" w:sz="4" w:space="0" w:color="000000"/>
            </w:tcBorders>
            <w:vAlign w:val="center"/>
          </w:tcPr>
          <w:p w14:paraId="36DD6134" w14:textId="09BA1E8B" w:rsidR="007274C3" w:rsidRPr="00892451" w:rsidRDefault="007274C3" w:rsidP="007274C3">
            <w:pPr>
              <w:pStyle w:val="Tabulka"/>
              <w:jc w:val="left"/>
              <w:rPr>
                <w:rFonts w:cs="Calibri"/>
              </w:rPr>
            </w:pPr>
            <w:r w:rsidRPr="00DD47DF">
              <w:rPr>
                <w:rFonts w:cs="Calibri"/>
              </w:rPr>
              <w:t>Počet podniků p</w:t>
            </w:r>
            <w:r>
              <w:rPr>
                <w:rFonts w:cs="Calibri"/>
              </w:rPr>
              <w:t>obírajících jinou finanční podporu</w:t>
            </w:r>
            <w:r w:rsidRPr="00DD47DF">
              <w:rPr>
                <w:rFonts w:cs="Calibri"/>
              </w:rPr>
              <w:t xml:space="preserve"> než granty</w:t>
            </w:r>
          </w:p>
        </w:tc>
        <w:tc>
          <w:tcPr>
            <w:tcW w:w="507" w:type="pct"/>
            <w:tcBorders>
              <w:top w:val="single" w:sz="4" w:space="0" w:color="000000"/>
              <w:left w:val="single" w:sz="4" w:space="0" w:color="000000"/>
              <w:bottom w:val="single" w:sz="4" w:space="0" w:color="000000"/>
              <w:right w:val="single" w:sz="4" w:space="0" w:color="000000"/>
            </w:tcBorders>
            <w:vAlign w:val="center"/>
          </w:tcPr>
          <w:p w14:paraId="65E6EA58" w14:textId="44327504" w:rsidR="007274C3" w:rsidRPr="00DD47DF" w:rsidRDefault="007274C3" w:rsidP="007274C3">
            <w:pPr>
              <w:pStyle w:val="Tabulka"/>
              <w:rPr>
                <w:rFonts w:cs="Calibri"/>
              </w:rPr>
            </w:pPr>
            <w:r w:rsidRPr="00DD47DF">
              <w:rPr>
                <w:rFonts w:cs="Calibri"/>
              </w:rPr>
              <w:t>podniky</w:t>
            </w:r>
          </w:p>
        </w:tc>
        <w:tc>
          <w:tcPr>
            <w:tcW w:w="357" w:type="pct"/>
            <w:tcBorders>
              <w:top w:val="single" w:sz="4" w:space="0" w:color="000000"/>
              <w:left w:val="single" w:sz="4" w:space="0" w:color="000000"/>
              <w:bottom w:val="single" w:sz="4" w:space="0" w:color="000000"/>
              <w:right w:val="single" w:sz="4" w:space="0" w:color="000000"/>
            </w:tcBorders>
            <w:vAlign w:val="center"/>
          </w:tcPr>
          <w:p w14:paraId="66B925BB" w14:textId="5EBFEEF8" w:rsidR="007274C3" w:rsidRPr="00DD47DF" w:rsidRDefault="007274C3" w:rsidP="007274C3">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67E9691F" w14:textId="043F9C1B" w:rsidR="007274C3" w:rsidRPr="00DD47DF" w:rsidRDefault="007274C3" w:rsidP="007274C3">
            <w:pPr>
              <w:pStyle w:val="Tabulka"/>
              <w:rPr>
                <w:rFonts w:cs="Calibri"/>
              </w:rPr>
            </w:pPr>
            <w:r w:rsidRPr="00DD47DF">
              <w:rPr>
                <w:rFonts w:cs="Calibri"/>
              </w:rPr>
              <w:t>Méně rozvinuté regiony</w:t>
            </w: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72C393" w14:textId="45CB3227" w:rsidR="007274C3" w:rsidRPr="00DD47DF" w:rsidRDefault="00CB0BAE" w:rsidP="007274C3">
            <w:pPr>
              <w:pStyle w:val="Tabulka"/>
              <w:rPr>
                <w:rFonts w:cs="Calibri"/>
              </w:rPr>
            </w:pPr>
            <w:r>
              <w:rPr>
                <w:rFonts w:cs="Calibri"/>
              </w:rPr>
              <w:t>35</w:t>
            </w:r>
          </w:p>
        </w:tc>
        <w:tc>
          <w:tcPr>
            <w:tcW w:w="535" w:type="pct"/>
            <w:tcBorders>
              <w:top w:val="single" w:sz="4" w:space="0" w:color="000000"/>
              <w:left w:val="single" w:sz="4" w:space="0" w:color="000000"/>
              <w:bottom w:val="single" w:sz="4" w:space="0" w:color="000000"/>
              <w:right w:val="single" w:sz="4" w:space="0" w:color="000000"/>
            </w:tcBorders>
            <w:vAlign w:val="center"/>
          </w:tcPr>
          <w:p w14:paraId="4DC594CD" w14:textId="1A6E5AAC" w:rsidR="007274C3" w:rsidRDefault="007274C3" w:rsidP="007274C3">
            <w:pPr>
              <w:pStyle w:val="Tabulka"/>
              <w:rPr>
                <w:rFonts w:cs="Calibri"/>
              </w:rPr>
            </w:pPr>
            <w:r>
              <w:rPr>
                <w:rFonts w:cs="Calibri"/>
              </w:rPr>
              <w:t>Ž/P</w:t>
            </w:r>
          </w:p>
        </w:tc>
        <w:tc>
          <w:tcPr>
            <w:tcW w:w="561" w:type="pct"/>
            <w:tcBorders>
              <w:top w:val="single" w:sz="4" w:space="0" w:color="000000"/>
              <w:left w:val="single" w:sz="4" w:space="0" w:color="000000"/>
              <w:bottom w:val="single" w:sz="4" w:space="0" w:color="000000"/>
              <w:right w:val="single" w:sz="4" w:space="0" w:color="000000"/>
            </w:tcBorders>
            <w:vAlign w:val="center"/>
          </w:tcPr>
          <w:p w14:paraId="2FEA515E" w14:textId="169931BC" w:rsidR="007274C3" w:rsidRDefault="007274C3" w:rsidP="007274C3">
            <w:pPr>
              <w:pStyle w:val="Tabulka"/>
              <w:rPr>
                <w:rFonts w:cs="Calibri"/>
              </w:rPr>
            </w:pPr>
            <w:r>
              <w:rPr>
                <w:rFonts w:cs="Calibri"/>
              </w:rPr>
              <w:t>průběžně</w:t>
            </w:r>
          </w:p>
        </w:tc>
      </w:tr>
      <w:tr w:rsidR="007274C3" w:rsidRPr="00DD47DF" w14:paraId="3525694E" w14:textId="77777777" w:rsidTr="00251879">
        <w:trPr>
          <w:trHeight w:val="510"/>
        </w:trPr>
        <w:tc>
          <w:tcPr>
            <w:tcW w:w="621" w:type="pct"/>
            <w:tcBorders>
              <w:top w:val="single" w:sz="4" w:space="0" w:color="000000"/>
              <w:left w:val="single" w:sz="4" w:space="0" w:color="000000"/>
              <w:bottom w:val="single" w:sz="4" w:space="0" w:color="000000"/>
              <w:right w:val="single" w:sz="4" w:space="0" w:color="000000"/>
            </w:tcBorders>
            <w:vAlign w:val="center"/>
          </w:tcPr>
          <w:p w14:paraId="2EF9C414" w14:textId="5E4E7292" w:rsidR="007274C3" w:rsidRPr="00DD47DF" w:rsidRDefault="007274C3" w:rsidP="007274C3">
            <w:pPr>
              <w:pStyle w:val="Tabulka"/>
              <w:rPr>
                <w:rFonts w:cs="Calibri"/>
              </w:rPr>
            </w:pPr>
            <w:r w:rsidRPr="00DD47DF">
              <w:rPr>
                <w:rFonts w:cs="Calibri"/>
              </w:rPr>
              <w:t>CO 06</w:t>
            </w:r>
          </w:p>
        </w:tc>
        <w:tc>
          <w:tcPr>
            <w:tcW w:w="1239" w:type="pct"/>
            <w:tcBorders>
              <w:top w:val="single" w:sz="4" w:space="0" w:color="000000"/>
              <w:left w:val="single" w:sz="4" w:space="0" w:color="000000"/>
              <w:bottom w:val="single" w:sz="4" w:space="0" w:color="000000"/>
              <w:right w:val="single" w:sz="4" w:space="0" w:color="000000"/>
            </w:tcBorders>
            <w:vAlign w:val="center"/>
          </w:tcPr>
          <w:p w14:paraId="3EE3F221" w14:textId="77777777" w:rsidR="007274C3" w:rsidRPr="00DD47DF" w:rsidRDefault="007274C3" w:rsidP="007274C3">
            <w:pPr>
              <w:pStyle w:val="Tabulka"/>
              <w:jc w:val="left"/>
              <w:rPr>
                <w:rFonts w:cs="Calibri"/>
              </w:rPr>
            </w:pPr>
            <w:r w:rsidRPr="00892451">
              <w:rPr>
                <w:rFonts w:cs="Calibri"/>
              </w:rPr>
              <w:t>Soukromé investice odpovídající veřejné podpoře podniků (granty)</w:t>
            </w:r>
          </w:p>
        </w:tc>
        <w:tc>
          <w:tcPr>
            <w:tcW w:w="507" w:type="pct"/>
            <w:tcBorders>
              <w:top w:val="single" w:sz="4" w:space="0" w:color="000000"/>
              <w:left w:val="single" w:sz="4" w:space="0" w:color="000000"/>
              <w:bottom w:val="single" w:sz="4" w:space="0" w:color="000000"/>
              <w:right w:val="single" w:sz="4" w:space="0" w:color="000000"/>
            </w:tcBorders>
            <w:vAlign w:val="center"/>
          </w:tcPr>
          <w:p w14:paraId="49CCC50A" w14:textId="77777777" w:rsidR="007274C3" w:rsidRPr="00DD47DF" w:rsidRDefault="007274C3" w:rsidP="007274C3">
            <w:pPr>
              <w:pStyle w:val="Tabulka"/>
              <w:rPr>
                <w:rFonts w:cs="Calibri"/>
              </w:rPr>
            </w:pPr>
            <w:r w:rsidRPr="00DD47DF">
              <w:rPr>
                <w:rFonts w:cs="Calibri"/>
              </w:rPr>
              <w:t>EUR</w:t>
            </w:r>
          </w:p>
        </w:tc>
        <w:tc>
          <w:tcPr>
            <w:tcW w:w="357" w:type="pct"/>
            <w:tcBorders>
              <w:top w:val="single" w:sz="4" w:space="0" w:color="000000"/>
              <w:left w:val="single" w:sz="4" w:space="0" w:color="000000"/>
              <w:bottom w:val="single" w:sz="4" w:space="0" w:color="000000"/>
              <w:right w:val="single" w:sz="4" w:space="0" w:color="000000"/>
            </w:tcBorders>
            <w:vAlign w:val="center"/>
          </w:tcPr>
          <w:p w14:paraId="4FAFDD6F" w14:textId="77777777" w:rsidR="007274C3" w:rsidRPr="00DD47DF" w:rsidRDefault="007274C3" w:rsidP="007274C3">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28CECC22" w14:textId="77777777" w:rsidR="007274C3" w:rsidRPr="00DD47DF" w:rsidRDefault="007274C3" w:rsidP="007274C3">
            <w:pPr>
              <w:pStyle w:val="Tabulka"/>
              <w:rPr>
                <w:rFonts w:cs="Calibri"/>
              </w:rPr>
            </w:pPr>
            <w:r w:rsidRPr="00DD47DF">
              <w:rPr>
                <w:rFonts w:cs="Calibri"/>
              </w:rPr>
              <w:t>Méně rozvinuté regiony</w:t>
            </w:r>
          </w:p>
        </w:tc>
        <w:tc>
          <w:tcPr>
            <w:tcW w:w="621" w:type="pct"/>
            <w:tcBorders>
              <w:top w:val="single" w:sz="4" w:space="0" w:color="000000"/>
              <w:left w:val="single" w:sz="4" w:space="0" w:color="000000"/>
              <w:bottom w:val="single" w:sz="4" w:space="0" w:color="000000"/>
              <w:right w:val="single" w:sz="4" w:space="0" w:color="000000"/>
            </w:tcBorders>
            <w:vAlign w:val="center"/>
          </w:tcPr>
          <w:p w14:paraId="207A01E8" w14:textId="5EA642AC" w:rsidR="007274C3" w:rsidRPr="00DD47DF" w:rsidRDefault="00CB0BAE" w:rsidP="007274C3">
            <w:pPr>
              <w:pStyle w:val="Tabulka"/>
              <w:rPr>
                <w:rFonts w:cs="Calibri"/>
              </w:rPr>
            </w:pPr>
            <w:r w:rsidRPr="00700E39">
              <w:rPr>
                <w:rFonts w:cs="Calibri"/>
              </w:rPr>
              <w:t>307 000 000</w:t>
            </w:r>
          </w:p>
        </w:tc>
        <w:tc>
          <w:tcPr>
            <w:tcW w:w="535" w:type="pct"/>
            <w:tcBorders>
              <w:top w:val="single" w:sz="4" w:space="0" w:color="000000"/>
              <w:left w:val="single" w:sz="4" w:space="0" w:color="000000"/>
              <w:bottom w:val="single" w:sz="4" w:space="0" w:color="000000"/>
              <w:right w:val="single" w:sz="4" w:space="0" w:color="000000"/>
            </w:tcBorders>
            <w:vAlign w:val="center"/>
          </w:tcPr>
          <w:p w14:paraId="03A7D4B0" w14:textId="77777777" w:rsidR="007274C3" w:rsidRPr="00DD47DF" w:rsidRDefault="007274C3" w:rsidP="007274C3">
            <w:pPr>
              <w:pStyle w:val="Tabulka"/>
              <w:rPr>
                <w:rFonts w:cs="Calibri"/>
              </w:rPr>
            </w:pPr>
            <w:r>
              <w:rPr>
                <w:rFonts w:cs="Calibri"/>
              </w:rPr>
              <w:t>MS2014+</w:t>
            </w:r>
          </w:p>
        </w:tc>
        <w:tc>
          <w:tcPr>
            <w:tcW w:w="561" w:type="pct"/>
            <w:tcBorders>
              <w:top w:val="single" w:sz="4" w:space="0" w:color="000000"/>
              <w:left w:val="single" w:sz="4" w:space="0" w:color="000000"/>
              <w:bottom w:val="single" w:sz="4" w:space="0" w:color="000000"/>
              <w:right w:val="single" w:sz="4" w:space="0" w:color="000000"/>
            </w:tcBorders>
            <w:vAlign w:val="center"/>
          </w:tcPr>
          <w:p w14:paraId="58970847" w14:textId="77777777" w:rsidR="007274C3" w:rsidRPr="00DD47DF" w:rsidRDefault="007274C3" w:rsidP="007274C3">
            <w:pPr>
              <w:pStyle w:val="Tabulka"/>
              <w:rPr>
                <w:rFonts w:cs="Calibri"/>
              </w:rPr>
            </w:pPr>
            <w:r>
              <w:rPr>
                <w:rFonts w:cs="Calibri"/>
              </w:rPr>
              <w:t>průběžně</w:t>
            </w:r>
          </w:p>
        </w:tc>
      </w:tr>
      <w:tr w:rsidR="007274C3" w:rsidRPr="00DD47DF" w14:paraId="1FBB93FA" w14:textId="77777777" w:rsidTr="00251879">
        <w:trPr>
          <w:trHeight w:val="510"/>
        </w:trPr>
        <w:tc>
          <w:tcPr>
            <w:tcW w:w="621" w:type="pct"/>
            <w:tcBorders>
              <w:top w:val="single" w:sz="4" w:space="0" w:color="000000"/>
              <w:left w:val="single" w:sz="4" w:space="0" w:color="000000"/>
              <w:bottom w:val="single" w:sz="4" w:space="0" w:color="000000"/>
              <w:right w:val="single" w:sz="4" w:space="0" w:color="000000"/>
            </w:tcBorders>
            <w:vAlign w:val="center"/>
          </w:tcPr>
          <w:p w14:paraId="3163A423" w14:textId="6884335A" w:rsidR="007274C3" w:rsidRPr="00DD47DF" w:rsidRDefault="007274C3" w:rsidP="007274C3">
            <w:pPr>
              <w:pStyle w:val="Tabulka"/>
              <w:rPr>
                <w:rFonts w:cs="Calibri"/>
              </w:rPr>
            </w:pPr>
            <w:r w:rsidRPr="00DD47DF">
              <w:rPr>
                <w:rFonts w:cs="Calibri"/>
              </w:rPr>
              <w:t>CO 07</w:t>
            </w:r>
          </w:p>
        </w:tc>
        <w:tc>
          <w:tcPr>
            <w:tcW w:w="1239" w:type="pct"/>
            <w:tcBorders>
              <w:top w:val="single" w:sz="4" w:space="0" w:color="000000"/>
              <w:left w:val="single" w:sz="4" w:space="0" w:color="000000"/>
              <w:bottom w:val="single" w:sz="4" w:space="0" w:color="000000"/>
              <w:right w:val="single" w:sz="4" w:space="0" w:color="000000"/>
            </w:tcBorders>
            <w:vAlign w:val="center"/>
          </w:tcPr>
          <w:p w14:paraId="569CA4D6" w14:textId="32B2E9C0" w:rsidR="007274C3" w:rsidRPr="00892451" w:rsidRDefault="007274C3" w:rsidP="007274C3">
            <w:pPr>
              <w:pStyle w:val="Tabulka"/>
              <w:jc w:val="left"/>
              <w:rPr>
                <w:rFonts w:cs="Calibri"/>
              </w:rPr>
            </w:pPr>
            <w:r w:rsidRPr="006D0B6D">
              <w:rPr>
                <w:rFonts w:cs="Calibri"/>
              </w:rPr>
              <w:t>Soukromé investice odpovídající veřejné podpoře podniků (jiné než granty)</w:t>
            </w:r>
          </w:p>
        </w:tc>
        <w:tc>
          <w:tcPr>
            <w:tcW w:w="507" w:type="pct"/>
            <w:tcBorders>
              <w:top w:val="single" w:sz="4" w:space="0" w:color="000000"/>
              <w:left w:val="single" w:sz="4" w:space="0" w:color="000000"/>
              <w:bottom w:val="single" w:sz="4" w:space="0" w:color="000000"/>
              <w:right w:val="single" w:sz="4" w:space="0" w:color="000000"/>
            </w:tcBorders>
            <w:vAlign w:val="center"/>
          </w:tcPr>
          <w:p w14:paraId="526C8294" w14:textId="14BE2D5D" w:rsidR="007274C3" w:rsidRPr="00DD47DF" w:rsidRDefault="007274C3" w:rsidP="007274C3">
            <w:pPr>
              <w:pStyle w:val="Tabulka"/>
              <w:rPr>
                <w:rFonts w:cs="Calibri"/>
              </w:rPr>
            </w:pPr>
            <w:r w:rsidRPr="00DD47DF">
              <w:rPr>
                <w:rFonts w:cs="Calibri"/>
              </w:rPr>
              <w:t>EUR</w:t>
            </w:r>
          </w:p>
        </w:tc>
        <w:tc>
          <w:tcPr>
            <w:tcW w:w="357" w:type="pct"/>
            <w:tcBorders>
              <w:top w:val="single" w:sz="4" w:space="0" w:color="000000"/>
              <w:left w:val="single" w:sz="4" w:space="0" w:color="000000"/>
              <w:bottom w:val="single" w:sz="4" w:space="0" w:color="000000"/>
              <w:right w:val="single" w:sz="4" w:space="0" w:color="000000"/>
            </w:tcBorders>
            <w:vAlign w:val="center"/>
          </w:tcPr>
          <w:p w14:paraId="27DA43A1" w14:textId="5EDF0E9E" w:rsidR="007274C3" w:rsidRPr="00DD47DF" w:rsidRDefault="007274C3" w:rsidP="007274C3">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7B61457C" w14:textId="2E40A854" w:rsidR="007274C3" w:rsidRPr="00DD47DF" w:rsidRDefault="007274C3" w:rsidP="007274C3">
            <w:pPr>
              <w:pStyle w:val="Tabulka"/>
              <w:rPr>
                <w:rFonts w:cs="Calibri"/>
              </w:rPr>
            </w:pPr>
            <w:r w:rsidRPr="00DD47DF">
              <w:rPr>
                <w:rFonts w:cs="Calibri"/>
              </w:rPr>
              <w:t>Méně rozvinuté regiony</w:t>
            </w:r>
          </w:p>
        </w:tc>
        <w:tc>
          <w:tcPr>
            <w:tcW w:w="621" w:type="pct"/>
            <w:tcBorders>
              <w:top w:val="single" w:sz="4" w:space="0" w:color="000000"/>
              <w:left w:val="single" w:sz="4" w:space="0" w:color="000000"/>
              <w:bottom w:val="single" w:sz="4" w:space="0" w:color="000000"/>
              <w:right w:val="single" w:sz="4" w:space="0" w:color="000000"/>
            </w:tcBorders>
            <w:vAlign w:val="center"/>
          </w:tcPr>
          <w:p w14:paraId="5DB3A99F" w14:textId="5F46D12B" w:rsidR="007274C3" w:rsidRPr="00DD47DF" w:rsidRDefault="00CB0BAE" w:rsidP="007274C3">
            <w:pPr>
              <w:pStyle w:val="Tabulka"/>
              <w:rPr>
                <w:rFonts w:cs="Calibri"/>
              </w:rPr>
            </w:pPr>
            <w:r w:rsidRPr="00700E39">
              <w:rPr>
                <w:rFonts w:cs="Calibri"/>
              </w:rPr>
              <w:t>11 500 000</w:t>
            </w:r>
          </w:p>
        </w:tc>
        <w:tc>
          <w:tcPr>
            <w:tcW w:w="535" w:type="pct"/>
            <w:tcBorders>
              <w:top w:val="single" w:sz="4" w:space="0" w:color="000000"/>
              <w:left w:val="single" w:sz="4" w:space="0" w:color="000000"/>
              <w:bottom w:val="single" w:sz="4" w:space="0" w:color="000000"/>
              <w:right w:val="single" w:sz="4" w:space="0" w:color="000000"/>
            </w:tcBorders>
            <w:vAlign w:val="center"/>
          </w:tcPr>
          <w:p w14:paraId="507F111A" w14:textId="1CDE4297" w:rsidR="007274C3" w:rsidRDefault="007274C3" w:rsidP="007274C3">
            <w:pPr>
              <w:pStyle w:val="Tabulka"/>
              <w:rPr>
                <w:rFonts w:cs="Calibri"/>
              </w:rPr>
            </w:pPr>
            <w:r>
              <w:rPr>
                <w:rFonts w:cs="Calibri"/>
              </w:rPr>
              <w:t>Ž/P</w:t>
            </w:r>
          </w:p>
        </w:tc>
        <w:tc>
          <w:tcPr>
            <w:tcW w:w="561" w:type="pct"/>
            <w:tcBorders>
              <w:top w:val="single" w:sz="4" w:space="0" w:color="000000"/>
              <w:left w:val="single" w:sz="4" w:space="0" w:color="000000"/>
              <w:bottom w:val="single" w:sz="4" w:space="0" w:color="000000"/>
              <w:right w:val="single" w:sz="4" w:space="0" w:color="000000"/>
            </w:tcBorders>
            <w:vAlign w:val="center"/>
          </w:tcPr>
          <w:p w14:paraId="35BFF234" w14:textId="15AD53CE" w:rsidR="007274C3" w:rsidRDefault="007274C3" w:rsidP="007274C3">
            <w:pPr>
              <w:pStyle w:val="Tabulka"/>
              <w:rPr>
                <w:rFonts w:cs="Calibri"/>
              </w:rPr>
            </w:pPr>
            <w:r>
              <w:rPr>
                <w:rFonts w:cs="Calibri"/>
              </w:rPr>
              <w:t>průběžně</w:t>
            </w:r>
          </w:p>
        </w:tc>
      </w:tr>
      <w:tr w:rsidR="007274C3" w:rsidRPr="00DD47DF" w14:paraId="526AC888" w14:textId="77777777" w:rsidTr="00251879">
        <w:trPr>
          <w:trHeight w:val="510"/>
        </w:trPr>
        <w:tc>
          <w:tcPr>
            <w:tcW w:w="621" w:type="pct"/>
            <w:tcBorders>
              <w:top w:val="single" w:sz="4" w:space="0" w:color="000000"/>
              <w:left w:val="single" w:sz="4" w:space="0" w:color="000000"/>
              <w:bottom w:val="single" w:sz="4" w:space="0" w:color="000000"/>
              <w:right w:val="single" w:sz="4" w:space="0" w:color="000000"/>
            </w:tcBorders>
            <w:vAlign w:val="center"/>
          </w:tcPr>
          <w:p w14:paraId="7745A32F" w14:textId="7281B380" w:rsidR="007274C3" w:rsidRPr="00DD47DF" w:rsidDel="00C75691" w:rsidRDefault="007274C3" w:rsidP="007274C3">
            <w:pPr>
              <w:pStyle w:val="Tabulka"/>
              <w:rPr>
                <w:rFonts w:cs="Calibri"/>
              </w:rPr>
            </w:pPr>
            <w:r>
              <w:rPr>
                <w:rFonts w:cs="Calibri"/>
              </w:rPr>
              <w:t>CO 22</w:t>
            </w:r>
          </w:p>
        </w:tc>
        <w:tc>
          <w:tcPr>
            <w:tcW w:w="1239" w:type="pct"/>
            <w:tcBorders>
              <w:top w:val="single" w:sz="4" w:space="0" w:color="000000"/>
              <w:left w:val="single" w:sz="4" w:space="0" w:color="000000"/>
              <w:bottom w:val="single" w:sz="4" w:space="0" w:color="000000"/>
              <w:right w:val="single" w:sz="4" w:space="0" w:color="000000"/>
            </w:tcBorders>
            <w:vAlign w:val="center"/>
          </w:tcPr>
          <w:p w14:paraId="459237B6" w14:textId="281823DC" w:rsidR="007274C3" w:rsidRPr="00DD47DF" w:rsidRDefault="007274C3" w:rsidP="007274C3">
            <w:pPr>
              <w:pStyle w:val="Tabulka"/>
              <w:jc w:val="left"/>
              <w:rPr>
                <w:rFonts w:cs="Calibri"/>
              </w:rPr>
            </w:pPr>
            <w:r w:rsidRPr="00A46C56">
              <w:rPr>
                <w:rFonts w:cs="Calibri"/>
              </w:rPr>
              <w:t>Celková plocha rekultivovaného území</w:t>
            </w:r>
          </w:p>
        </w:tc>
        <w:tc>
          <w:tcPr>
            <w:tcW w:w="507" w:type="pct"/>
            <w:tcBorders>
              <w:top w:val="single" w:sz="4" w:space="0" w:color="000000"/>
              <w:left w:val="single" w:sz="4" w:space="0" w:color="000000"/>
              <w:bottom w:val="single" w:sz="4" w:space="0" w:color="000000"/>
              <w:right w:val="single" w:sz="4" w:space="0" w:color="000000"/>
            </w:tcBorders>
            <w:vAlign w:val="center"/>
          </w:tcPr>
          <w:p w14:paraId="157021DA" w14:textId="4A00E643" w:rsidR="007274C3" w:rsidRPr="00DD47DF" w:rsidRDefault="007274C3" w:rsidP="007274C3">
            <w:pPr>
              <w:pStyle w:val="Tabulka"/>
              <w:rPr>
                <w:rFonts w:cs="Calibri"/>
              </w:rPr>
            </w:pPr>
            <w:r>
              <w:rPr>
                <w:rFonts w:cs="Calibri"/>
                <w:bCs/>
              </w:rPr>
              <w:t>ha</w:t>
            </w:r>
          </w:p>
        </w:tc>
        <w:tc>
          <w:tcPr>
            <w:tcW w:w="357" w:type="pct"/>
            <w:tcBorders>
              <w:top w:val="single" w:sz="4" w:space="0" w:color="000000"/>
              <w:left w:val="single" w:sz="4" w:space="0" w:color="000000"/>
              <w:bottom w:val="single" w:sz="4" w:space="0" w:color="000000"/>
              <w:right w:val="single" w:sz="4" w:space="0" w:color="000000"/>
            </w:tcBorders>
            <w:vAlign w:val="center"/>
          </w:tcPr>
          <w:p w14:paraId="09CF6EC8" w14:textId="77777777" w:rsidR="007274C3" w:rsidRPr="00DD47DF" w:rsidRDefault="007274C3" w:rsidP="007274C3">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75D9A62D" w14:textId="77777777" w:rsidR="007274C3" w:rsidRPr="00DD47DF" w:rsidRDefault="007274C3" w:rsidP="007274C3">
            <w:pPr>
              <w:pStyle w:val="Tabulka"/>
              <w:rPr>
                <w:rFonts w:cs="Calibri"/>
              </w:rPr>
            </w:pPr>
            <w:r w:rsidRPr="00DD47DF">
              <w:rPr>
                <w:rFonts w:cs="Calibri"/>
              </w:rPr>
              <w:t>Méně rozvinuté regiony</w:t>
            </w:r>
          </w:p>
        </w:tc>
        <w:tc>
          <w:tcPr>
            <w:tcW w:w="621" w:type="pct"/>
            <w:tcBorders>
              <w:top w:val="single" w:sz="4" w:space="0" w:color="000000"/>
              <w:left w:val="single" w:sz="4" w:space="0" w:color="000000"/>
              <w:bottom w:val="single" w:sz="4" w:space="0" w:color="000000"/>
              <w:right w:val="single" w:sz="4" w:space="0" w:color="000000"/>
            </w:tcBorders>
            <w:vAlign w:val="center"/>
          </w:tcPr>
          <w:p w14:paraId="39C8FD0A" w14:textId="4B907AAB" w:rsidR="007274C3" w:rsidRPr="00DD47DF" w:rsidRDefault="007274C3" w:rsidP="007274C3">
            <w:pPr>
              <w:pStyle w:val="Tabulka"/>
              <w:rPr>
                <w:rFonts w:cs="Calibri"/>
              </w:rPr>
            </w:pPr>
            <w:r>
              <w:rPr>
                <w:rFonts w:cs="Calibri"/>
              </w:rPr>
              <w:t>1</w:t>
            </w:r>
            <w:r w:rsidRPr="00DD47DF">
              <w:rPr>
                <w:rFonts w:cs="Calibri"/>
              </w:rPr>
              <w:t>50</w:t>
            </w:r>
          </w:p>
        </w:tc>
        <w:tc>
          <w:tcPr>
            <w:tcW w:w="535" w:type="pct"/>
            <w:tcBorders>
              <w:top w:val="single" w:sz="4" w:space="0" w:color="000000"/>
              <w:left w:val="single" w:sz="4" w:space="0" w:color="000000"/>
              <w:bottom w:val="single" w:sz="4" w:space="0" w:color="000000"/>
              <w:right w:val="single" w:sz="4" w:space="0" w:color="000000"/>
            </w:tcBorders>
            <w:vAlign w:val="center"/>
          </w:tcPr>
          <w:p w14:paraId="6EA049AA" w14:textId="14141D34" w:rsidR="007274C3" w:rsidRPr="00DD47DF" w:rsidRDefault="007274C3" w:rsidP="007274C3">
            <w:pPr>
              <w:pStyle w:val="Tabulka"/>
              <w:rPr>
                <w:rFonts w:cs="Calibri"/>
              </w:rPr>
            </w:pPr>
            <w:r>
              <w:rPr>
                <w:rFonts w:cs="Calibri"/>
              </w:rPr>
              <w:t>ŘO</w:t>
            </w:r>
          </w:p>
        </w:tc>
        <w:tc>
          <w:tcPr>
            <w:tcW w:w="561" w:type="pct"/>
            <w:tcBorders>
              <w:top w:val="single" w:sz="4" w:space="0" w:color="000000"/>
              <w:left w:val="single" w:sz="4" w:space="0" w:color="000000"/>
              <w:bottom w:val="single" w:sz="4" w:space="0" w:color="000000"/>
              <w:right w:val="single" w:sz="4" w:space="0" w:color="000000"/>
            </w:tcBorders>
            <w:vAlign w:val="center"/>
          </w:tcPr>
          <w:p w14:paraId="1636E137" w14:textId="77777777" w:rsidR="007274C3" w:rsidRPr="00DD47DF" w:rsidRDefault="007274C3" w:rsidP="007274C3">
            <w:pPr>
              <w:pStyle w:val="Tabulka"/>
              <w:rPr>
                <w:rFonts w:cs="Calibri"/>
              </w:rPr>
            </w:pPr>
            <w:r>
              <w:rPr>
                <w:rFonts w:cs="Calibri"/>
              </w:rPr>
              <w:t>průběžně</w:t>
            </w:r>
          </w:p>
        </w:tc>
      </w:tr>
      <w:tr w:rsidR="007274C3" w:rsidRPr="00DD47DF" w14:paraId="665BF13F" w14:textId="77777777" w:rsidTr="00251879">
        <w:trPr>
          <w:trHeight w:val="510"/>
        </w:trPr>
        <w:tc>
          <w:tcPr>
            <w:tcW w:w="621" w:type="pct"/>
            <w:tcBorders>
              <w:top w:val="single" w:sz="4" w:space="0" w:color="000000"/>
              <w:left w:val="single" w:sz="4" w:space="0" w:color="000000"/>
              <w:bottom w:val="single" w:sz="4" w:space="0" w:color="000000"/>
              <w:right w:val="single" w:sz="4" w:space="0" w:color="000000"/>
            </w:tcBorders>
            <w:vAlign w:val="center"/>
          </w:tcPr>
          <w:p w14:paraId="659BE32B" w14:textId="77777777" w:rsidR="007274C3" w:rsidRPr="00DD47DF" w:rsidRDefault="007274C3" w:rsidP="007274C3">
            <w:pPr>
              <w:pStyle w:val="Tabulka"/>
              <w:rPr>
                <w:rFonts w:cs="Calibri"/>
              </w:rPr>
            </w:pPr>
            <w:r w:rsidRPr="00DD47DF">
              <w:rPr>
                <w:rFonts w:cs="Calibri"/>
              </w:rPr>
              <w:t>50002</w:t>
            </w:r>
          </w:p>
        </w:tc>
        <w:tc>
          <w:tcPr>
            <w:tcW w:w="1239" w:type="pct"/>
            <w:tcBorders>
              <w:top w:val="single" w:sz="4" w:space="0" w:color="000000"/>
              <w:left w:val="single" w:sz="4" w:space="0" w:color="000000"/>
              <w:bottom w:val="single" w:sz="4" w:space="0" w:color="000000"/>
              <w:right w:val="single" w:sz="4" w:space="0" w:color="000000"/>
            </w:tcBorders>
            <w:vAlign w:val="center"/>
          </w:tcPr>
          <w:p w14:paraId="2866D9B1" w14:textId="77777777" w:rsidR="007274C3" w:rsidRPr="00DD47DF" w:rsidRDefault="007274C3" w:rsidP="007274C3">
            <w:pPr>
              <w:pStyle w:val="Tabulka"/>
              <w:jc w:val="left"/>
              <w:rPr>
                <w:rFonts w:cs="Calibri"/>
              </w:rPr>
            </w:pPr>
            <w:r w:rsidRPr="00DD47DF">
              <w:rPr>
                <w:rFonts w:cs="Calibri"/>
              </w:rPr>
              <w:t>Nové kapacity pro školení a odborné vzdělávání MSP</w:t>
            </w:r>
          </w:p>
        </w:tc>
        <w:tc>
          <w:tcPr>
            <w:tcW w:w="507" w:type="pct"/>
            <w:tcBorders>
              <w:top w:val="single" w:sz="4" w:space="0" w:color="000000"/>
              <w:left w:val="single" w:sz="4" w:space="0" w:color="000000"/>
              <w:bottom w:val="single" w:sz="4" w:space="0" w:color="000000"/>
              <w:right w:val="single" w:sz="4" w:space="0" w:color="000000"/>
            </w:tcBorders>
            <w:vAlign w:val="center"/>
          </w:tcPr>
          <w:p w14:paraId="0CBA1274" w14:textId="77777777" w:rsidR="007274C3" w:rsidRPr="00DD47DF" w:rsidRDefault="007274C3" w:rsidP="007274C3">
            <w:pPr>
              <w:pStyle w:val="Tabulka"/>
              <w:rPr>
                <w:rFonts w:cs="Calibri"/>
                <w:bCs/>
              </w:rPr>
            </w:pPr>
            <w:r w:rsidRPr="00DD47DF">
              <w:rPr>
                <w:rFonts w:cs="Calibri"/>
                <w:bCs/>
              </w:rPr>
              <w:t>osoby</w:t>
            </w:r>
          </w:p>
        </w:tc>
        <w:tc>
          <w:tcPr>
            <w:tcW w:w="357" w:type="pct"/>
            <w:tcBorders>
              <w:top w:val="single" w:sz="4" w:space="0" w:color="000000"/>
              <w:left w:val="single" w:sz="4" w:space="0" w:color="000000"/>
              <w:bottom w:val="single" w:sz="4" w:space="0" w:color="000000"/>
              <w:right w:val="single" w:sz="4" w:space="0" w:color="000000"/>
            </w:tcBorders>
            <w:vAlign w:val="center"/>
          </w:tcPr>
          <w:p w14:paraId="596293A0" w14:textId="77777777" w:rsidR="007274C3" w:rsidRPr="00DD47DF" w:rsidRDefault="007274C3" w:rsidP="007274C3">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35C656C3" w14:textId="77777777" w:rsidR="007274C3" w:rsidRPr="00DD47DF" w:rsidRDefault="007274C3" w:rsidP="007274C3">
            <w:pPr>
              <w:pStyle w:val="Tabulka"/>
              <w:rPr>
                <w:rFonts w:cs="Calibri"/>
              </w:rPr>
            </w:pPr>
            <w:r w:rsidRPr="00DD47DF">
              <w:rPr>
                <w:rFonts w:cs="Calibri"/>
              </w:rPr>
              <w:t>Méně rozvinuté regiony</w:t>
            </w:r>
          </w:p>
        </w:tc>
        <w:tc>
          <w:tcPr>
            <w:tcW w:w="621" w:type="pct"/>
            <w:tcBorders>
              <w:top w:val="single" w:sz="4" w:space="0" w:color="000000"/>
              <w:left w:val="single" w:sz="4" w:space="0" w:color="000000"/>
              <w:bottom w:val="single" w:sz="4" w:space="0" w:color="000000"/>
              <w:right w:val="single" w:sz="4" w:space="0" w:color="000000"/>
            </w:tcBorders>
            <w:vAlign w:val="center"/>
          </w:tcPr>
          <w:p w14:paraId="14FB576D" w14:textId="35BC6C06" w:rsidR="007274C3" w:rsidRPr="00DD47DF" w:rsidRDefault="007274C3" w:rsidP="007274C3">
            <w:pPr>
              <w:pStyle w:val="Tabulka"/>
              <w:rPr>
                <w:rFonts w:cs="Calibri"/>
              </w:rPr>
            </w:pPr>
            <w:r>
              <w:rPr>
                <w:rFonts w:cs="Calibri"/>
              </w:rPr>
              <w:t>7 884</w:t>
            </w:r>
          </w:p>
        </w:tc>
        <w:tc>
          <w:tcPr>
            <w:tcW w:w="535" w:type="pct"/>
            <w:tcBorders>
              <w:top w:val="single" w:sz="4" w:space="0" w:color="000000"/>
              <w:left w:val="single" w:sz="4" w:space="0" w:color="000000"/>
              <w:bottom w:val="single" w:sz="4" w:space="0" w:color="000000"/>
              <w:right w:val="single" w:sz="4" w:space="0" w:color="000000"/>
            </w:tcBorders>
            <w:vAlign w:val="center"/>
          </w:tcPr>
          <w:p w14:paraId="0955A93F" w14:textId="77777777" w:rsidR="007274C3" w:rsidRPr="00DD47DF" w:rsidRDefault="007274C3" w:rsidP="007274C3">
            <w:pPr>
              <w:pStyle w:val="Tabulka"/>
              <w:rPr>
                <w:rFonts w:cs="Calibri"/>
              </w:rPr>
            </w:pPr>
            <w:r w:rsidRPr="00DD47DF">
              <w:rPr>
                <w:rFonts w:cs="Calibri"/>
              </w:rPr>
              <w:t>Ž/P</w:t>
            </w:r>
          </w:p>
        </w:tc>
        <w:tc>
          <w:tcPr>
            <w:tcW w:w="561" w:type="pct"/>
            <w:tcBorders>
              <w:top w:val="single" w:sz="4" w:space="0" w:color="000000"/>
              <w:left w:val="single" w:sz="4" w:space="0" w:color="000000"/>
              <w:bottom w:val="single" w:sz="4" w:space="0" w:color="000000"/>
              <w:right w:val="single" w:sz="4" w:space="0" w:color="000000"/>
            </w:tcBorders>
            <w:vAlign w:val="center"/>
          </w:tcPr>
          <w:p w14:paraId="364A95A7" w14:textId="77777777" w:rsidR="007274C3" w:rsidRPr="00DD47DF" w:rsidRDefault="007274C3" w:rsidP="007274C3">
            <w:pPr>
              <w:pStyle w:val="Tabulka"/>
              <w:rPr>
                <w:rFonts w:cs="Calibri"/>
              </w:rPr>
            </w:pPr>
            <w:r>
              <w:rPr>
                <w:rFonts w:cs="Calibri"/>
              </w:rPr>
              <w:t>průběžně</w:t>
            </w:r>
          </w:p>
        </w:tc>
      </w:tr>
      <w:tr w:rsidR="00251879" w:rsidRPr="00DD47DF" w14:paraId="1601404B" w14:textId="77777777" w:rsidTr="00251879">
        <w:trPr>
          <w:trHeight w:val="510"/>
        </w:trPr>
        <w:tc>
          <w:tcPr>
            <w:tcW w:w="621" w:type="pct"/>
            <w:tcBorders>
              <w:top w:val="single" w:sz="4" w:space="0" w:color="000000"/>
              <w:left w:val="single" w:sz="4" w:space="0" w:color="000000"/>
              <w:bottom w:val="single" w:sz="4" w:space="0" w:color="000000"/>
              <w:right w:val="single" w:sz="4" w:space="0" w:color="000000"/>
            </w:tcBorders>
            <w:vAlign w:val="center"/>
          </w:tcPr>
          <w:p w14:paraId="75169BF6" w14:textId="180F2D7B" w:rsidR="00251879" w:rsidRPr="00DD47DF" w:rsidRDefault="00251879" w:rsidP="00251879">
            <w:pPr>
              <w:pStyle w:val="Tabulka"/>
              <w:rPr>
                <w:rFonts w:cs="Calibri"/>
              </w:rPr>
            </w:pPr>
            <w:r w:rsidRPr="00700E39">
              <w:rPr>
                <w:rFonts w:cs="Calibri"/>
              </w:rPr>
              <w:t>CO 08</w:t>
            </w:r>
          </w:p>
        </w:tc>
        <w:tc>
          <w:tcPr>
            <w:tcW w:w="1239" w:type="pct"/>
            <w:tcBorders>
              <w:top w:val="single" w:sz="4" w:space="0" w:color="000000"/>
              <w:left w:val="single" w:sz="4" w:space="0" w:color="000000"/>
              <w:bottom w:val="single" w:sz="4" w:space="0" w:color="000000"/>
              <w:right w:val="single" w:sz="4" w:space="0" w:color="000000"/>
            </w:tcBorders>
            <w:vAlign w:val="center"/>
          </w:tcPr>
          <w:p w14:paraId="7F6A2CB7" w14:textId="1950746B" w:rsidR="00251879" w:rsidRPr="00DD47DF" w:rsidRDefault="00251879" w:rsidP="00251879">
            <w:pPr>
              <w:pStyle w:val="Tabulka"/>
              <w:jc w:val="left"/>
              <w:rPr>
                <w:rFonts w:cs="Calibri"/>
              </w:rPr>
            </w:pPr>
            <w:r w:rsidRPr="00700E39">
              <w:rPr>
                <w:rFonts w:cs="Calibri"/>
              </w:rPr>
              <w:t>Zvýšení zaměstnanosti v podporovaných podnicích</w:t>
            </w:r>
          </w:p>
        </w:tc>
        <w:tc>
          <w:tcPr>
            <w:tcW w:w="507" w:type="pct"/>
            <w:tcBorders>
              <w:top w:val="single" w:sz="4" w:space="0" w:color="000000"/>
              <w:left w:val="single" w:sz="4" w:space="0" w:color="000000"/>
              <w:bottom w:val="single" w:sz="4" w:space="0" w:color="000000"/>
              <w:right w:val="single" w:sz="4" w:space="0" w:color="000000"/>
            </w:tcBorders>
            <w:vAlign w:val="center"/>
          </w:tcPr>
          <w:p w14:paraId="27426E87" w14:textId="3E8EF135" w:rsidR="00251879" w:rsidRPr="00DD47DF" w:rsidRDefault="00251879" w:rsidP="00251879">
            <w:pPr>
              <w:pStyle w:val="Tabulka"/>
              <w:rPr>
                <w:rFonts w:cs="Calibri"/>
                <w:bCs/>
              </w:rPr>
            </w:pPr>
            <w:r w:rsidRPr="00700E39">
              <w:rPr>
                <w:rFonts w:cs="Calibri"/>
              </w:rPr>
              <w:t>FTE</w:t>
            </w:r>
          </w:p>
        </w:tc>
        <w:tc>
          <w:tcPr>
            <w:tcW w:w="357" w:type="pct"/>
            <w:tcBorders>
              <w:top w:val="single" w:sz="4" w:space="0" w:color="000000"/>
              <w:left w:val="single" w:sz="4" w:space="0" w:color="000000"/>
              <w:bottom w:val="single" w:sz="4" w:space="0" w:color="000000"/>
              <w:right w:val="single" w:sz="4" w:space="0" w:color="000000"/>
            </w:tcBorders>
            <w:vAlign w:val="center"/>
          </w:tcPr>
          <w:p w14:paraId="3A97093C" w14:textId="0CC84AE9" w:rsidR="00251879" w:rsidRPr="00DD47DF" w:rsidRDefault="00251879" w:rsidP="00251879">
            <w:pPr>
              <w:pStyle w:val="Tabulka"/>
              <w:rPr>
                <w:rFonts w:cs="Calibri"/>
              </w:rPr>
            </w:pPr>
            <w:r w:rsidRPr="00700E39">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4F4A149E" w14:textId="7AEE7926" w:rsidR="00251879" w:rsidRPr="00DD47DF" w:rsidRDefault="00251879" w:rsidP="00251879">
            <w:pPr>
              <w:pStyle w:val="Tabulka"/>
              <w:rPr>
                <w:rFonts w:cs="Calibri"/>
              </w:rPr>
            </w:pPr>
            <w:r w:rsidRPr="00700E39">
              <w:rPr>
                <w:rFonts w:cs="Calibri"/>
              </w:rPr>
              <w:t>Méně rozvinuté regiony</w:t>
            </w:r>
          </w:p>
        </w:tc>
        <w:tc>
          <w:tcPr>
            <w:tcW w:w="621" w:type="pct"/>
            <w:tcBorders>
              <w:top w:val="single" w:sz="4" w:space="0" w:color="000000"/>
              <w:left w:val="single" w:sz="4" w:space="0" w:color="000000"/>
              <w:bottom w:val="single" w:sz="4" w:space="0" w:color="000000"/>
              <w:right w:val="single" w:sz="4" w:space="0" w:color="000000"/>
            </w:tcBorders>
            <w:vAlign w:val="center"/>
          </w:tcPr>
          <w:p w14:paraId="6805D8B9" w14:textId="29AAA2F6" w:rsidR="00251879" w:rsidRDefault="00251879" w:rsidP="00251879">
            <w:pPr>
              <w:pStyle w:val="Tabulka"/>
              <w:rPr>
                <w:rFonts w:cs="Calibri"/>
              </w:rPr>
            </w:pPr>
            <w:r w:rsidRPr="00700E39">
              <w:rPr>
                <w:rFonts w:cs="Calibri"/>
              </w:rPr>
              <w:t>400</w:t>
            </w:r>
          </w:p>
        </w:tc>
        <w:tc>
          <w:tcPr>
            <w:tcW w:w="535" w:type="pct"/>
            <w:tcBorders>
              <w:top w:val="single" w:sz="4" w:space="0" w:color="000000"/>
              <w:left w:val="single" w:sz="4" w:space="0" w:color="000000"/>
              <w:bottom w:val="single" w:sz="4" w:space="0" w:color="000000"/>
              <w:right w:val="single" w:sz="4" w:space="0" w:color="000000"/>
            </w:tcBorders>
            <w:vAlign w:val="center"/>
          </w:tcPr>
          <w:p w14:paraId="43581D8E" w14:textId="123A9076" w:rsidR="00251879" w:rsidRPr="00DD47DF" w:rsidRDefault="00251879" w:rsidP="00251879">
            <w:pPr>
              <w:pStyle w:val="Tabulka"/>
              <w:rPr>
                <w:rFonts w:cs="Calibri"/>
              </w:rPr>
            </w:pPr>
            <w:r w:rsidRPr="00700E39">
              <w:rPr>
                <w:rFonts w:cs="Calibri"/>
              </w:rPr>
              <w:t>Ž/P</w:t>
            </w:r>
          </w:p>
        </w:tc>
        <w:tc>
          <w:tcPr>
            <w:tcW w:w="561" w:type="pct"/>
            <w:tcBorders>
              <w:top w:val="single" w:sz="4" w:space="0" w:color="000000"/>
              <w:left w:val="single" w:sz="4" w:space="0" w:color="000000"/>
              <w:bottom w:val="single" w:sz="4" w:space="0" w:color="000000"/>
              <w:right w:val="single" w:sz="4" w:space="0" w:color="000000"/>
            </w:tcBorders>
            <w:vAlign w:val="center"/>
          </w:tcPr>
          <w:p w14:paraId="26729D17" w14:textId="6BC4B137" w:rsidR="00251879" w:rsidRDefault="00251879" w:rsidP="00251879">
            <w:pPr>
              <w:pStyle w:val="Tabulka"/>
              <w:rPr>
                <w:rFonts w:cs="Calibri"/>
              </w:rPr>
            </w:pPr>
            <w:r w:rsidRPr="00700E39">
              <w:rPr>
                <w:rFonts w:cs="Calibri"/>
              </w:rPr>
              <w:t>průběžně</w:t>
            </w:r>
          </w:p>
        </w:tc>
      </w:tr>
    </w:tbl>
    <w:p w14:paraId="7042E5F6" w14:textId="77777777" w:rsidR="00346C12" w:rsidRPr="00DD47DF" w:rsidRDefault="00AC6E26" w:rsidP="00AC36CB">
      <w:pPr>
        <w:pStyle w:val="kapitola2A0"/>
        <w:numPr>
          <w:ilvl w:val="2"/>
          <w:numId w:val="133"/>
        </w:numPr>
      </w:pPr>
      <w:bookmarkStart w:id="55" w:name="_Toc520445270"/>
      <w:r w:rsidRPr="00DD47DF">
        <w:t>Sociální inovace, nadnárodní spolupráce a přínos k tematickým cílům 1 až 7</w:t>
      </w:r>
      <w:bookmarkEnd w:id="55"/>
      <w:r w:rsidR="00346C12" w:rsidRPr="00DD47DF">
        <w:t xml:space="preserve"> </w:t>
      </w:r>
    </w:p>
    <w:p w14:paraId="517CF3AB" w14:textId="77777777" w:rsidR="004126CC" w:rsidRPr="00DD47DF" w:rsidRDefault="008A5FCE" w:rsidP="008A5FCE">
      <w:pPr>
        <w:pStyle w:val="Standardntext"/>
        <w:sectPr w:rsidR="004126CC" w:rsidRPr="00DD47DF" w:rsidSect="00A86EB3">
          <w:headerReference w:type="default" r:id="rId33"/>
          <w:footerReference w:type="default" r:id="rId34"/>
          <w:pgSz w:w="11906" w:h="16838"/>
          <w:pgMar w:top="1418" w:right="1276" w:bottom="1276" w:left="1418" w:header="709" w:footer="709" w:gutter="0"/>
          <w:cols w:space="708"/>
          <w:docGrid w:linePitch="272"/>
        </w:sectPr>
      </w:pPr>
      <w:r w:rsidRPr="00DD47DF">
        <w:t>Není relevantní pro OP PIK.</w:t>
      </w:r>
    </w:p>
    <w:p w14:paraId="419CD724" w14:textId="77777777" w:rsidR="00346C12" w:rsidRPr="00DD47DF" w:rsidRDefault="00AC6E26" w:rsidP="00441D67">
      <w:pPr>
        <w:pStyle w:val="kapitola2A0"/>
        <w:numPr>
          <w:ilvl w:val="2"/>
          <w:numId w:val="133"/>
        </w:numPr>
      </w:pPr>
      <w:bookmarkStart w:id="56" w:name="_Toc520445271"/>
      <w:r w:rsidRPr="00DD47DF">
        <w:lastRenderedPageBreak/>
        <w:t>Výkonnostní rámec</w:t>
      </w:r>
      <w:bookmarkEnd w:id="56"/>
    </w:p>
    <w:p w14:paraId="38F648C2" w14:textId="77777777" w:rsidR="00505E76" w:rsidRPr="00DD47DF" w:rsidRDefault="00505E76" w:rsidP="00B5004C">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6</w:t>
      </w:r>
      <w:r w:rsidR="002756E7" w:rsidRPr="00DD47DF">
        <w:rPr>
          <w:noProof/>
        </w:rPr>
        <w:fldChar w:fldCharType="end"/>
      </w:r>
      <w:r w:rsidRPr="00DD47DF">
        <w:t xml:space="preserve">: </w:t>
      </w:r>
      <w:r w:rsidR="00AC6E26" w:rsidRPr="00DD47DF">
        <w:t>Výkonnostní rámec prioritní osy</w:t>
      </w:r>
      <w:r w:rsidRPr="00DD47DF">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933"/>
        <w:gridCol w:w="1689"/>
        <w:gridCol w:w="799"/>
        <w:gridCol w:w="1495"/>
        <w:gridCol w:w="1210"/>
        <w:gridCol w:w="767"/>
        <w:gridCol w:w="1145"/>
        <w:gridCol w:w="1263"/>
        <w:gridCol w:w="1307"/>
        <w:gridCol w:w="997"/>
        <w:gridCol w:w="2653"/>
      </w:tblGrid>
      <w:tr w:rsidR="000E6E04" w:rsidRPr="00DD47DF" w14:paraId="225430CF" w14:textId="77777777" w:rsidTr="00700B4C">
        <w:tc>
          <w:tcPr>
            <w:tcW w:w="345" w:type="pct"/>
            <w:shd w:val="clear" w:color="auto" w:fill="B8CCE4"/>
            <w:vAlign w:val="center"/>
          </w:tcPr>
          <w:p w14:paraId="5B521BA8" w14:textId="77777777" w:rsidR="000E6E04" w:rsidRPr="00DD47DF" w:rsidRDefault="000E6E04" w:rsidP="00700B4C">
            <w:pPr>
              <w:pStyle w:val="Tabulka"/>
              <w:keepNext/>
              <w:keepLines/>
              <w:rPr>
                <w:rFonts w:cs="Calibri"/>
                <w:b/>
              </w:rPr>
            </w:pPr>
            <w:r w:rsidRPr="00DD47DF">
              <w:rPr>
                <w:rFonts w:cs="Calibri"/>
                <w:b/>
              </w:rPr>
              <w:t>Prioritní osa</w:t>
            </w:r>
          </w:p>
        </w:tc>
        <w:tc>
          <w:tcPr>
            <w:tcW w:w="620" w:type="pct"/>
            <w:shd w:val="clear" w:color="auto" w:fill="B8CCE4"/>
            <w:vAlign w:val="center"/>
          </w:tcPr>
          <w:p w14:paraId="77FBEC6C" w14:textId="77777777" w:rsidR="000E6E04" w:rsidRPr="00DD47DF" w:rsidRDefault="000E6E04" w:rsidP="00700B4C">
            <w:pPr>
              <w:pStyle w:val="Tabulka"/>
              <w:keepNext/>
              <w:keepLines/>
              <w:rPr>
                <w:rFonts w:cs="Calibri"/>
                <w:b/>
              </w:rPr>
            </w:pPr>
            <w:r w:rsidRPr="00DD47DF">
              <w:rPr>
                <w:rFonts w:cs="Calibri"/>
                <w:b/>
              </w:rPr>
              <w:t>Typ ukazatele</w:t>
            </w:r>
          </w:p>
          <w:p w14:paraId="16A9D6C2" w14:textId="77777777" w:rsidR="000E6E04" w:rsidRPr="00DD47DF" w:rsidRDefault="000E6E04" w:rsidP="00700B4C">
            <w:pPr>
              <w:pStyle w:val="Tabulka"/>
              <w:keepNext/>
              <w:keepLines/>
              <w:rPr>
                <w:rFonts w:cs="Calibri"/>
                <w:b/>
              </w:rPr>
            </w:pPr>
            <w:r w:rsidRPr="00DD47DF">
              <w:rPr>
                <w:rFonts w:cs="Calibri"/>
                <w:b/>
              </w:rPr>
              <w:t>(klíčový krok provádění, finanční výstup nebo popřípadě ukazatel výsledků)</w:t>
            </w:r>
          </w:p>
        </w:tc>
        <w:tc>
          <w:tcPr>
            <w:tcW w:w="199" w:type="pct"/>
            <w:shd w:val="clear" w:color="auto" w:fill="B8CCE4"/>
            <w:vAlign w:val="center"/>
          </w:tcPr>
          <w:p w14:paraId="0CA09D22" w14:textId="77777777" w:rsidR="000E6E04" w:rsidRPr="00DD47DF" w:rsidRDefault="000E6E04" w:rsidP="00700B4C">
            <w:pPr>
              <w:pStyle w:val="Tabulka"/>
              <w:keepNext/>
              <w:keepLines/>
              <w:rPr>
                <w:rFonts w:cs="Calibri"/>
                <w:b/>
              </w:rPr>
            </w:pPr>
            <w:r w:rsidRPr="00DD47DF">
              <w:rPr>
                <w:rFonts w:cs="Calibri"/>
                <w:b/>
              </w:rPr>
              <w:t>ID</w:t>
            </w:r>
          </w:p>
        </w:tc>
        <w:tc>
          <w:tcPr>
            <w:tcW w:w="547" w:type="pct"/>
            <w:shd w:val="clear" w:color="auto" w:fill="B8CCE4"/>
            <w:tcMar>
              <w:top w:w="0" w:type="dxa"/>
              <w:left w:w="108" w:type="dxa"/>
              <w:bottom w:w="0" w:type="dxa"/>
              <w:right w:w="108" w:type="dxa"/>
            </w:tcMar>
            <w:vAlign w:val="center"/>
          </w:tcPr>
          <w:p w14:paraId="08B8CDDD" w14:textId="77777777" w:rsidR="000E6E04" w:rsidRPr="00DD47DF" w:rsidRDefault="000E6E04" w:rsidP="00700B4C">
            <w:pPr>
              <w:pStyle w:val="Tabulka"/>
              <w:keepNext/>
              <w:keepLines/>
              <w:rPr>
                <w:rFonts w:cs="Calibri"/>
                <w:b/>
              </w:rPr>
            </w:pPr>
            <w:r w:rsidRPr="00DD47DF">
              <w:rPr>
                <w:rFonts w:cs="Calibri"/>
                <w:b/>
              </w:rPr>
              <w:t>Ukazatel nebo klíčový krok provádění</w:t>
            </w:r>
          </w:p>
        </w:tc>
        <w:tc>
          <w:tcPr>
            <w:tcW w:w="447" w:type="pct"/>
            <w:shd w:val="clear" w:color="auto" w:fill="B8CCE4"/>
            <w:tcMar>
              <w:top w:w="0" w:type="dxa"/>
              <w:left w:w="108" w:type="dxa"/>
              <w:bottom w:w="0" w:type="dxa"/>
              <w:right w:w="108" w:type="dxa"/>
            </w:tcMar>
            <w:vAlign w:val="center"/>
          </w:tcPr>
          <w:p w14:paraId="34BE46B7" w14:textId="77777777" w:rsidR="000E6E04" w:rsidRPr="00DD47DF" w:rsidRDefault="000E6E04" w:rsidP="00700B4C">
            <w:pPr>
              <w:pStyle w:val="Tabulka"/>
              <w:keepNext/>
              <w:keepLines/>
              <w:rPr>
                <w:rFonts w:cs="Calibri"/>
                <w:b/>
              </w:rPr>
            </w:pPr>
            <w:r w:rsidRPr="00DD47DF">
              <w:rPr>
                <w:rFonts w:cs="Calibri"/>
                <w:b/>
              </w:rPr>
              <w:t>Měrná jednotka (použije-li se)</w:t>
            </w:r>
          </w:p>
        </w:tc>
        <w:tc>
          <w:tcPr>
            <w:tcW w:w="269" w:type="pct"/>
            <w:shd w:val="clear" w:color="auto" w:fill="B8CCE4"/>
            <w:tcMar>
              <w:top w:w="0" w:type="dxa"/>
              <w:left w:w="108" w:type="dxa"/>
              <w:bottom w:w="0" w:type="dxa"/>
              <w:right w:w="108" w:type="dxa"/>
            </w:tcMar>
            <w:vAlign w:val="center"/>
          </w:tcPr>
          <w:p w14:paraId="02ABB380" w14:textId="77777777" w:rsidR="000E6E04" w:rsidRPr="00DD47DF" w:rsidRDefault="000E6E04" w:rsidP="00700B4C">
            <w:pPr>
              <w:pStyle w:val="Tabulka"/>
              <w:keepNext/>
              <w:keepLines/>
              <w:rPr>
                <w:rFonts w:cs="Calibri"/>
                <w:b/>
              </w:rPr>
            </w:pPr>
            <w:r w:rsidRPr="00DD47DF">
              <w:rPr>
                <w:rFonts w:cs="Calibri"/>
                <w:b/>
              </w:rPr>
              <w:t>Fond</w:t>
            </w:r>
          </w:p>
        </w:tc>
        <w:tc>
          <w:tcPr>
            <w:tcW w:w="402" w:type="pct"/>
            <w:shd w:val="clear" w:color="auto" w:fill="B8CCE4"/>
            <w:tcMar>
              <w:top w:w="0" w:type="dxa"/>
              <w:left w:w="108" w:type="dxa"/>
              <w:bottom w:w="0" w:type="dxa"/>
              <w:right w:w="108" w:type="dxa"/>
            </w:tcMar>
            <w:vAlign w:val="center"/>
          </w:tcPr>
          <w:p w14:paraId="1011E0E3" w14:textId="77777777" w:rsidR="000E6E04" w:rsidRPr="00DD47DF" w:rsidRDefault="000E6E04" w:rsidP="00700B4C">
            <w:pPr>
              <w:pStyle w:val="Tabulka"/>
              <w:keepNext/>
              <w:keepLines/>
              <w:rPr>
                <w:rFonts w:cs="Calibri"/>
                <w:b/>
              </w:rPr>
            </w:pPr>
            <w:r w:rsidRPr="00DD47DF">
              <w:rPr>
                <w:rFonts w:cs="Calibri"/>
                <w:b/>
              </w:rPr>
              <w:t>Kategorie regionů</w:t>
            </w:r>
          </w:p>
        </w:tc>
        <w:tc>
          <w:tcPr>
            <w:tcW w:w="488" w:type="pct"/>
            <w:shd w:val="clear" w:color="auto" w:fill="B8CCE4"/>
            <w:vAlign w:val="center"/>
          </w:tcPr>
          <w:p w14:paraId="18ED1E77" w14:textId="77777777" w:rsidR="000E6E04" w:rsidRPr="00DD47DF" w:rsidRDefault="000E6E04" w:rsidP="00700B4C">
            <w:pPr>
              <w:pStyle w:val="Tabulka"/>
              <w:keepNext/>
              <w:keepLines/>
              <w:rPr>
                <w:rFonts w:cs="Calibri"/>
                <w:b/>
              </w:rPr>
            </w:pPr>
            <w:r w:rsidRPr="00DD47DF">
              <w:rPr>
                <w:rFonts w:cs="Calibri"/>
                <w:b/>
              </w:rPr>
              <w:t>Milník pro rok 2018</w:t>
            </w:r>
          </w:p>
        </w:tc>
        <w:tc>
          <w:tcPr>
            <w:tcW w:w="481" w:type="pct"/>
            <w:shd w:val="clear" w:color="auto" w:fill="B8CCE4"/>
            <w:tcMar>
              <w:top w:w="0" w:type="dxa"/>
              <w:left w:w="108" w:type="dxa"/>
              <w:bottom w:w="0" w:type="dxa"/>
              <w:right w:w="108" w:type="dxa"/>
            </w:tcMar>
            <w:vAlign w:val="center"/>
          </w:tcPr>
          <w:p w14:paraId="5BB675F9" w14:textId="77777777" w:rsidR="000E6E04" w:rsidRPr="00DD47DF" w:rsidRDefault="000E6E04" w:rsidP="00700B4C">
            <w:pPr>
              <w:pStyle w:val="Tabulka"/>
              <w:keepNext/>
              <w:keepLines/>
              <w:rPr>
                <w:rFonts w:cs="Calibri"/>
                <w:b/>
              </w:rPr>
            </w:pPr>
            <w:r w:rsidRPr="00DD47DF">
              <w:rPr>
                <w:rFonts w:cs="Calibri"/>
                <w:b/>
              </w:rPr>
              <w:t>Konečný cíl (2023)</w:t>
            </w:r>
          </w:p>
        </w:tc>
        <w:tc>
          <w:tcPr>
            <w:tcW w:w="249" w:type="pct"/>
            <w:shd w:val="clear" w:color="auto" w:fill="B8CCE4"/>
            <w:vAlign w:val="center"/>
          </w:tcPr>
          <w:p w14:paraId="01D8BAE3" w14:textId="77777777" w:rsidR="000E6E04" w:rsidRPr="00DD47DF" w:rsidRDefault="000E6E04" w:rsidP="00700B4C">
            <w:pPr>
              <w:pStyle w:val="Tabulka"/>
              <w:keepNext/>
              <w:keepLines/>
              <w:rPr>
                <w:rFonts w:cs="Calibri"/>
                <w:b/>
              </w:rPr>
            </w:pPr>
            <w:r w:rsidRPr="00DD47DF">
              <w:rPr>
                <w:rFonts w:cs="Calibri"/>
                <w:b/>
              </w:rPr>
              <w:t>Zdroj dat</w:t>
            </w:r>
          </w:p>
        </w:tc>
        <w:tc>
          <w:tcPr>
            <w:tcW w:w="953" w:type="pct"/>
            <w:shd w:val="clear" w:color="auto" w:fill="B8CCE4"/>
            <w:vAlign w:val="center"/>
          </w:tcPr>
          <w:p w14:paraId="72863961" w14:textId="77777777" w:rsidR="000E6E04" w:rsidRPr="00DD47DF" w:rsidRDefault="000E6E04" w:rsidP="00700B4C">
            <w:pPr>
              <w:pStyle w:val="Tabulka"/>
              <w:keepNext/>
              <w:keepLines/>
              <w:rPr>
                <w:rFonts w:cs="Calibri"/>
                <w:b/>
              </w:rPr>
            </w:pPr>
            <w:r w:rsidRPr="00DD47DF">
              <w:rPr>
                <w:rFonts w:cs="Calibri"/>
                <w:b/>
              </w:rPr>
              <w:t>Popřípadě vysvětlení relevantnosti ukazatele</w:t>
            </w:r>
          </w:p>
        </w:tc>
      </w:tr>
      <w:tr w:rsidR="000E6E04" w:rsidRPr="00DD47DF" w14:paraId="053118A9" w14:textId="77777777" w:rsidTr="00700B4C">
        <w:trPr>
          <w:trHeight w:val="670"/>
        </w:trPr>
        <w:tc>
          <w:tcPr>
            <w:tcW w:w="345" w:type="pct"/>
            <w:vAlign w:val="center"/>
          </w:tcPr>
          <w:p w14:paraId="12E13544" w14:textId="77777777" w:rsidR="000E6E04" w:rsidRPr="00DD47DF" w:rsidRDefault="000E6E04" w:rsidP="00700B4C">
            <w:pPr>
              <w:pStyle w:val="Tabulka"/>
              <w:rPr>
                <w:rFonts w:cs="Calibri"/>
              </w:rPr>
            </w:pPr>
            <w:r w:rsidRPr="00DD47DF">
              <w:rPr>
                <w:rFonts w:cs="Calibri"/>
              </w:rPr>
              <w:t>PO 2</w:t>
            </w:r>
          </w:p>
        </w:tc>
        <w:tc>
          <w:tcPr>
            <w:tcW w:w="620" w:type="pct"/>
            <w:vAlign w:val="center"/>
          </w:tcPr>
          <w:p w14:paraId="64C530CA" w14:textId="77777777" w:rsidR="000E6E04" w:rsidRPr="00DD47DF" w:rsidRDefault="000E6E04" w:rsidP="00700B4C">
            <w:pPr>
              <w:pStyle w:val="Tabulka"/>
              <w:rPr>
                <w:rFonts w:cs="Calibri"/>
              </w:rPr>
            </w:pPr>
            <w:r w:rsidRPr="00DD47DF">
              <w:rPr>
                <w:rFonts w:cs="Calibri"/>
              </w:rPr>
              <w:t>finanční</w:t>
            </w:r>
          </w:p>
        </w:tc>
        <w:tc>
          <w:tcPr>
            <w:tcW w:w="199" w:type="pct"/>
            <w:vAlign w:val="center"/>
          </w:tcPr>
          <w:p w14:paraId="7BEDB355" w14:textId="77777777" w:rsidR="000E6E04" w:rsidRPr="00DD47DF" w:rsidRDefault="000E6E04" w:rsidP="00700B4C">
            <w:pPr>
              <w:pStyle w:val="Tabulka"/>
              <w:rPr>
                <w:rFonts w:cs="Calibri"/>
              </w:rPr>
            </w:pPr>
            <w:r w:rsidRPr="00DD47DF">
              <w:rPr>
                <w:rFonts w:cs="Calibri"/>
              </w:rPr>
              <w:t>FINMT</w:t>
            </w:r>
          </w:p>
        </w:tc>
        <w:tc>
          <w:tcPr>
            <w:tcW w:w="547" w:type="pct"/>
            <w:shd w:val="clear" w:color="auto" w:fill="auto"/>
            <w:tcMar>
              <w:top w:w="0" w:type="dxa"/>
              <w:left w:w="108" w:type="dxa"/>
              <w:bottom w:w="0" w:type="dxa"/>
              <w:right w:w="108" w:type="dxa"/>
            </w:tcMar>
            <w:vAlign w:val="center"/>
          </w:tcPr>
          <w:p w14:paraId="6905D10B" w14:textId="77777777" w:rsidR="000E6E04" w:rsidRPr="00DD47DF" w:rsidRDefault="000E6E04" w:rsidP="00700B4C">
            <w:pPr>
              <w:pStyle w:val="Tabulka"/>
              <w:rPr>
                <w:rFonts w:cs="Calibri"/>
              </w:rPr>
            </w:pPr>
            <w:r w:rsidRPr="00DD47DF">
              <w:rPr>
                <w:rFonts w:cs="Calibri"/>
              </w:rPr>
              <w:t>Celkové způsobilé certifikované finanční prostředky</w:t>
            </w:r>
          </w:p>
        </w:tc>
        <w:tc>
          <w:tcPr>
            <w:tcW w:w="447" w:type="pct"/>
            <w:shd w:val="clear" w:color="auto" w:fill="auto"/>
            <w:tcMar>
              <w:top w:w="0" w:type="dxa"/>
              <w:left w:w="108" w:type="dxa"/>
              <w:bottom w:w="0" w:type="dxa"/>
              <w:right w:w="108" w:type="dxa"/>
            </w:tcMar>
            <w:vAlign w:val="center"/>
          </w:tcPr>
          <w:p w14:paraId="1F3174EE" w14:textId="77777777" w:rsidR="000E6E04" w:rsidRPr="00DD47DF" w:rsidRDefault="000E6E04" w:rsidP="00700B4C">
            <w:pPr>
              <w:pStyle w:val="Tabulka"/>
              <w:rPr>
                <w:rFonts w:cs="Calibri"/>
              </w:rPr>
            </w:pPr>
            <w:r w:rsidRPr="00DD47DF">
              <w:rPr>
                <w:rFonts w:cs="Calibri"/>
              </w:rPr>
              <w:t>EUR</w:t>
            </w:r>
          </w:p>
        </w:tc>
        <w:tc>
          <w:tcPr>
            <w:tcW w:w="269" w:type="pct"/>
            <w:shd w:val="clear" w:color="auto" w:fill="auto"/>
            <w:tcMar>
              <w:top w:w="0" w:type="dxa"/>
              <w:left w:w="108" w:type="dxa"/>
              <w:bottom w:w="0" w:type="dxa"/>
              <w:right w:w="108" w:type="dxa"/>
            </w:tcMar>
            <w:vAlign w:val="center"/>
          </w:tcPr>
          <w:p w14:paraId="475F9172" w14:textId="77777777" w:rsidR="000E6E04" w:rsidRPr="00DD47DF" w:rsidRDefault="000E6E04" w:rsidP="00700B4C">
            <w:pPr>
              <w:pStyle w:val="Tabulka"/>
              <w:rPr>
                <w:rFonts w:cs="Calibri"/>
              </w:rPr>
            </w:pPr>
            <w:r w:rsidRPr="00DD47DF">
              <w:rPr>
                <w:rFonts w:cs="Calibri"/>
              </w:rPr>
              <w:t>EFRR</w:t>
            </w:r>
          </w:p>
        </w:tc>
        <w:tc>
          <w:tcPr>
            <w:tcW w:w="402" w:type="pct"/>
            <w:shd w:val="clear" w:color="auto" w:fill="auto"/>
            <w:tcMar>
              <w:top w:w="0" w:type="dxa"/>
              <w:left w:w="108" w:type="dxa"/>
              <w:bottom w:w="0" w:type="dxa"/>
              <w:right w:w="108" w:type="dxa"/>
            </w:tcMar>
            <w:vAlign w:val="center"/>
          </w:tcPr>
          <w:p w14:paraId="385BAB17" w14:textId="77777777" w:rsidR="000E6E04" w:rsidRPr="00DD47DF" w:rsidRDefault="000E6E04" w:rsidP="00700B4C">
            <w:pPr>
              <w:pStyle w:val="Tabulka"/>
              <w:rPr>
                <w:rFonts w:cs="Calibri"/>
              </w:rPr>
            </w:pPr>
            <w:r w:rsidRPr="00DD47DF">
              <w:rPr>
                <w:rFonts w:cs="Calibri"/>
              </w:rPr>
              <w:t>Méně rozvinuté regiony</w:t>
            </w:r>
          </w:p>
        </w:tc>
        <w:tc>
          <w:tcPr>
            <w:tcW w:w="488" w:type="pct"/>
            <w:vAlign w:val="center"/>
          </w:tcPr>
          <w:p w14:paraId="2FBF61AE" w14:textId="77777777" w:rsidR="000E6E04" w:rsidRPr="00DD47DF" w:rsidRDefault="000E6E04" w:rsidP="00700B4C">
            <w:pPr>
              <w:pStyle w:val="Tabulka"/>
              <w:rPr>
                <w:rFonts w:cs="Calibri"/>
              </w:rPr>
            </w:pPr>
            <w:r w:rsidRPr="00DD47DF">
              <w:rPr>
                <w:rFonts w:cs="Calibri"/>
              </w:rPr>
              <w:t>26</w:t>
            </w:r>
            <w:r w:rsidR="00CC653D" w:rsidRPr="00DD47DF">
              <w:rPr>
                <w:rFonts w:cs="Calibri"/>
              </w:rPr>
              <w:t>8</w:t>
            </w:r>
            <w:r w:rsidRPr="00DD47DF">
              <w:rPr>
                <w:rFonts w:cs="Calibri"/>
              </w:rPr>
              <w:t> 400 000</w:t>
            </w:r>
          </w:p>
        </w:tc>
        <w:tc>
          <w:tcPr>
            <w:tcW w:w="481" w:type="pct"/>
            <w:shd w:val="clear" w:color="auto" w:fill="auto"/>
            <w:tcMar>
              <w:top w:w="0" w:type="dxa"/>
              <w:left w:w="108" w:type="dxa"/>
              <w:bottom w:w="0" w:type="dxa"/>
              <w:right w:w="108" w:type="dxa"/>
            </w:tcMar>
            <w:vAlign w:val="center"/>
          </w:tcPr>
          <w:p w14:paraId="5C131F42" w14:textId="62771119" w:rsidR="000E6E04" w:rsidRPr="00DD47DF" w:rsidRDefault="002C6227" w:rsidP="00700B4C">
            <w:pPr>
              <w:pStyle w:val="Tabulka"/>
              <w:rPr>
                <w:rFonts w:cs="Calibri"/>
              </w:rPr>
            </w:pPr>
            <w:r w:rsidRPr="00700E39">
              <w:t>1 893 030 864</w:t>
            </w:r>
          </w:p>
        </w:tc>
        <w:tc>
          <w:tcPr>
            <w:tcW w:w="249" w:type="pct"/>
            <w:vAlign w:val="center"/>
          </w:tcPr>
          <w:p w14:paraId="64A31904" w14:textId="77777777" w:rsidR="000E6E04" w:rsidRPr="00DD47DF" w:rsidRDefault="000E6E04" w:rsidP="00700B4C">
            <w:pPr>
              <w:pStyle w:val="Tabulka"/>
              <w:rPr>
                <w:rFonts w:cs="Calibri"/>
              </w:rPr>
            </w:pPr>
            <w:r w:rsidRPr="00DD47DF">
              <w:rPr>
                <w:rFonts w:cs="Calibri"/>
              </w:rPr>
              <w:t>ŘO</w:t>
            </w:r>
          </w:p>
        </w:tc>
        <w:tc>
          <w:tcPr>
            <w:tcW w:w="953" w:type="pct"/>
            <w:vAlign w:val="center"/>
          </w:tcPr>
          <w:p w14:paraId="600399D3" w14:textId="77777777" w:rsidR="000E6E04" w:rsidRPr="00DD47DF" w:rsidRDefault="000E6E04" w:rsidP="00700B4C">
            <w:pPr>
              <w:pStyle w:val="Tabulka"/>
              <w:rPr>
                <w:rFonts w:cs="Calibri"/>
              </w:rPr>
            </w:pPr>
            <w:r w:rsidRPr="00DD47DF">
              <w:rPr>
                <w:rFonts w:cs="Calibri"/>
              </w:rPr>
              <w:t>Objem celkových způsobilých výdajů zaslaných do účetního systému certifikačního orgánu a certifikovaných certifikačním orgánem.</w:t>
            </w:r>
          </w:p>
        </w:tc>
      </w:tr>
      <w:tr w:rsidR="000E6E04" w:rsidRPr="00DD47DF" w14:paraId="09FD685C" w14:textId="77777777" w:rsidTr="00700B4C">
        <w:tc>
          <w:tcPr>
            <w:tcW w:w="345" w:type="pct"/>
            <w:vAlign w:val="center"/>
          </w:tcPr>
          <w:p w14:paraId="478BB92D" w14:textId="77777777" w:rsidR="000E6E04" w:rsidRPr="00DD47DF" w:rsidRDefault="000E6E04" w:rsidP="00700B4C">
            <w:pPr>
              <w:pStyle w:val="Tabulka"/>
              <w:rPr>
                <w:rFonts w:cs="Calibri"/>
              </w:rPr>
            </w:pPr>
            <w:r w:rsidRPr="00DD47DF">
              <w:rPr>
                <w:rFonts w:cs="Calibri"/>
              </w:rPr>
              <w:t>PO 2</w:t>
            </w:r>
          </w:p>
        </w:tc>
        <w:tc>
          <w:tcPr>
            <w:tcW w:w="620" w:type="pct"/>
            <w:vAlign w:val="center"/>
          </w:tcPr>
          <w:p w14:paraId="564BCC83" w14:textId="77777777" w:rsidR="000E6E04" w:rsidRPr="00DD47DF" w:rsidRDefault="000E6E04" w:rsidP="00700B4C">
            <w:pPr>
              <w:pStyle w:val="Tabulka"/>
              <w:rPr>
                <w:rFonts w:cs="Calibri"/>
              </w:rPr>
            </w:pPr>
            <w:r w:rsidRPr="00DD47DF">
              <w:rPr>
                <w:rFonts w:cs="Calibri"/>
              </w:rPr>
              <w:t>výstupový</w:t>
            </w:r>
          </w:p>
        </w:tc>
        <w:tc>
          <w:tcPr>
            <w:tcW w:w="199" w:type="pct"/>
            <w:vAlign w:val="center"/>
          </w:tcPr>
          <w:p w14:paraId="34F19D46" w14:textId="1A7B1470" w:rsidR="000E6E04" w:rsidRPr="00DD47DF" w:rsidRDefault="000E6E04" w:rsidP="00700B4C">
            <w:pPr>
              <w:pStyle w:val="Tabulka"/>
              <w:rPr>
                <w:rFonts w:cs="Calibri"/>
              </w:rPr>
            </w:pPr>
            <w:r w:rsidRPr="00DD47DF">
              <w:rPr>
                <w:rFonts w:cs="Calibri"/>
              </w:rPr>
              <w:t>CO 01</w:t>
            </w:r>
          </w:p>
        </w:tc>
        <w:tc>
          <w:tcPr>
            <w:tcW w:w="547" w:type="pct"/>
            <w:shd w:val="clear" w:color="auto" w:fill="auto"/>
            <w:tcMar>
              <w:top w:w="0" w:type="dxa"/>
              <w:left w:w="108" w:type="dxa"/>
              <w:bottom w:w="0" w:type="dxa"/>
              <w:right w:w="108" w:type="dxa"/>
            </w:tcMar>
            <w:vAlign w:val="center"/>
          </w:tcPr>
          <w:p w14:paraId="342B5E8C" w14:textId="77777777" w:rsidR="000E6E04" w:rsidRPr="00DD47DF" w:rsidRDefault="000E6E04" w:rsidP="00700B4C">
            <w:pPr>
              <w:pStyle w:val="Tabulka"/>
              <w:rPr>
                <w:rFonts w:cs="Calibri"/>
              </w:rPr>
            </w:pPr>
            <w:r w:rsidRPr="00DD47DF">
              <w:rPr>
                <w:rFonts w:cs="Calibri"/>
              </w:rPr>
              <w:t>Počet podniků pobírajících podporu</w:t>
            </w:r>
          </w:p>
        </w:tc>
        <w:tc>
          <w:tcPr>
            <w:tcW w:w="447" w:type="pct"/>
            <w:shd w:val="clear" w:color="auto" w:fill="auto"/>
            <w:tcMar>
              <w:top w:w="0" w:type="dxa"/>
              <w:left w:w="108" w:type="dxa"/>
              <w:bottom w:w="0" w:type="dxa"/>
              <w:right w:w="108" w:type="dxa"/>
            </w:tcMar>
            <w:vAlign w:val="center"/>
          </w:tcPr>
          <w:p w14:paraId="7ED6EBB6" w14:textId="77777777" w:rsidR="000E6E04" w:rsidRPr="00DD47DF" w:rsidRDefault="000E6E04" w:rsidP="00700B4C">
            <w:pPr>
              <w:pStyle w:val="Tabulka"/>
              <w:rPr>
                <w:rFonts w:cs="Calibri"/>
              </w:rPr>
            </w:pPr>
            <w:r w:rsidRPr="00DD47DF">
              <w:rPr>
                <w:rFonts w:cs="Calibri"/>
              </w:rPr>
              <w:t>Podniky</w:t>
            </w:r>
          </w:p>
        </w:tc>
        <w:tc>
          <w:tcPr>
            <w:tcW w:w="269" w:type="pct"/>
            <w:shd w:val="clear" w:color="auto" w:fill="auto"/>
            <w:tcMar>
              <w:top w:w="0" w:type="dxa"/>
              <w:left w:w="108" w:type="dxa"/>
              <w:bottom w:w="0" w:type="dxa"/>
              <w:right w:w="108" w:type="dxa"/>
            </w:tcMar>
            <w:vAlign w:val="center"/>
          </w:tcPr>
          <w:p w14:paraId="161D9091" w14:textId="77777777" w:rsidR="000E6E04" w:rsidRPr="00DD47DF" w:rsidRDefault="000E6E04" w:rsidP="00700B4C">
            <w:pPr>
              <w:pStyle w:val="Tabulka"/>
              <w:rPr>
                <w:rFonts w:cs="Calibri"/>
              </w:rPr>
            </w:pPr>
            <w:r w:rsidRPr="00DD47DF">
              <w:rPr>
                <w:rFonts w:cs="Calibri"/>
              </w:rPr>
              <w:t>EFRR</w:t>
            </w:r>
          </w:p>
        </w:tc>
        <w:tc>
          <w:tcPr>
            <w:tcW w:w="402" w:type="pct"/>
            <w:shd w:val="clear" w:color="auto" w:fill="auto"/>
            <w:tcMar>
              <w:top w:w="0" w:type="dxa"/>
              <w:left w:w="108" w:type="dxa"/>
              <w:bottom w:w="0" w:type="dxa"/>
              <w:right w:w="108" w:type="dxa"/>
            </w:tcMar>
            <w:vAlign w:val="center"/>
          </w:tcPr>
          <w:p w14:paraId="073FD070" w14:textId="77777777" w:rsidR="000E6E04" w:rsidRPr="00DD47DF" w:rsidRDefault="000E6E04" w:rsidP="00700B4C">
            <w:pPr>
              <w:pStyle w:val="Tabulka"/>
              <w:rPr>
                <w:rFonts w:cs="Calibri"/>
              </w:rPr>
            </w:pPr>
            <w:r w:rsidRPr="00DD47DF">
              <w:rPr>
                <w:rFonts w:cs="Calibri"/>
              </w:rPr>
              <w:t>Méně rozvinuté regiony</w:t>
            </w:r>
          </w:p>
        </w:tc>
        <w:tc>
          <w:tcPr>
            <w:tcW w:w="488" w:type="pct"/>
            <w:vAlign w:val="center"/>
          </w:tcPr>
          <w:p w14:paraId="362C1049" w14:textId="77777777" w:rsidR="000E6E04" w:rsidRPr="00DD47DF" w:rsidRDefault="000E6E04" w:rsidP="00700B4C">
            <w:pPr>
              <w:pStyle w:val="Tabulka"/>
              <w:rPr>
                <w:rFonts w:cs="Calibri"/>
              </w:rPr>
            </w:pPr>
            <w:r w:rsidRPr="00DD47DF">
              <w:rPr>
                <w:rFonts w:cs="Calibri"/>
              </w:rPr>
              <w:t>1 350</w:t>
            </w:r>
          </w:p>
        </w:tc>
        <w:tc>
          <w:tcPr>
            <w:tcW w:w="481" w:type="pct"/>
            <w:shd w:val="clear" w:color="auto" w:fill="auto"/>
            <w:tcMar>
              <w:top w:w="0" w:type="dxa"/>
              <w:left w:w="108" w:type="dxa"/>
              <w:bottom w:w="0" w:type="dxa"/>
              <w:right w:w="108" w:type="dxa"/>
            </w:tcMar>
            <w:vAlign w:val="center"/>
          </w:tcPr>
          <w:p w14:paraId="537991D1" w14:textId="5FD413E0" w:rsidR="000E6E04" w:rsidRPr="00DD47DF" w:rsidRDefault="003B050D" w:rsidP="000A0ABC">
            <w:pPr>
              <w:pStyle w:val="Tabulka"/>
              <w:rPr>
                <w:rFonts w:cs="Calibri"/>
              </w:rPr>
            </w:pPr>
            <w:r>
              <w:rPr>
                <w:rFonts w:cs="Calibri"/>
              </w:rPr>
              <w:t>4 051</w:t>
            </w:r>
          </w:p>
        </w:tc>
        <w:tc>
          <w:tcPr>
            <w:tcW w:w="249" w:type="pct"/>
            <w:vAlign w:val="center"/>
          </w:tcPr>
          <w:p w14:paraId="79DBDBD5" w14:textId="77777777" w:rsidR="000E6E04" w:rsidRPr="00DD47DF" w:rsidRDefault="00FC7054" w:rsidP="00700B4C">
            <w:pPr>
              <w:pStyle w:val="Tabulka"/>
              <w:rPr>
                <w:rFonts w:cs="Calibri"/>
              </w:rPr>
            </w:pPr>
            <w:r>
              <w:rPr>
                <w:rFonts w:cs="Calibri"/>
              </w:rPr>
              <w:t>MS2014+</w:t>
            </w:r>
          </w:p>
        </w:tc>
        <w:tc>
          <w:tcPr>
            <w:tcW w:w="953" w:type="pct"/>
            <w:vAlign w:val="center"/>
          </w:tcPr>
          <w:p w14:paraId="028D8394" w14:textId="5B8BD795" w:rsidR="000E6E04" w:rsidRPr="00DD47DF" w:rsidRDefault="000E6E04" w:rsidP="00700B4C">
            <w:pPr>
              <w:pStyle w:val="Tabulka"/>
              <w:rPr>
                <w:rFonts w:cs="Calibri"/>
              </w:rPr>
            </w:pPr>
            <w:r w:rsidRPr="00DD47DF">
              <w:rPr>
                <w:rFonts w:cs="Calibri"/>
              </w:rPr>
              <w:t xml:space="preserve">Indikátor sleduje počet podpořených firem a pokrývá finančně nejobjemnější část intervence v rámci prioritní osy 2. </w:t>
            </w:r>
            <w:r w:rsidR="00FE762D" w:rsidRPr="00FE762D">
              <w:rPr>
                <w:rFonts w:cs="Calibri"/>
              </w:rPr>
              <w:t>Vykazování skutečně dosažených hodnot se provádí v souladu s prováděcím nařízením (EU) č. 215/2014, v platném znění.</w:t>
            </w:r>
          </w:p>
        </w:tc>
      </w:tr>
    </w:tbl>
    <w:p w14:paraId="59994F9D" w14:textId="77777777" w:rsidR="000E6E04" w:rsidRPr="00DD47DF" w:rsidRDefault="000E6E04" w:rsidP="000E6E04">
      <w:pPr>
        <w:pStyle w:val="Titulek"/>
      </w:pPr>
      <w:r w:rsidRPr="00DD47DF">
        <w:t>Další kvalitativní informace o stanovení výkonnostního rámce</w:t>
      </w:r>
    </w:p>
    <w:p w14:paraId="699021B9" w14:textId="77777777" w:rsidR="000E6E04" w:rsidRPr="00DD47DF" w:rsidRDefault="000E6E04" w:rsidP="000E6E04">
      <w:pPr>
        <w:pStyle w:val="Standardntext"/>
      </w:pPr>
      <w:r w:rsidRPr="00DD47DF">
        <w:lastRenderedPageBreak/>
        <w:t>Pro OP PIK byly stanoveny hodnoty milníků pro rok 2018 a 2023 (finanční ukazatele a „certifikované finanční prostředky“, ukazatele výstupů).</w:t>
      </w:r>
    </w:p>
    <w:p w14:paraId="596AB61C" w14:textId="77777777" w:rsidR="000E6E04" w:rsidRPr="00DD47DF" w:rsidRDefault="000E6E04" w:rsidP="000E6E04">
      <w:pPr>
        <w:pStyle w:val="Standardntext"/>
      </w:pPr>
      <w:r w:rsidRPr="00DD47DF">
        <w:t xml:space="preserve">Při kvantifikaci milníků </w:t>
      </w:r>
      <w:r w:rsidRPr="00DD47DF">
        <w:rPr>
          <w:b/>
          <w:bCs/>
        </w:rPr>
        <w:t>pro rok 2018</w:t>
      </w:r>
      <w:r w:rsidRPr="00DD47DF">
        <w:t xml:space="preserve"> byly zohledněny dále uvedené klíčové předpoklady:</w:t>
      </w:r>
    </w:p>
    <w:p w14:paraId="6DD92C55" w14:textId="77777777" w:rsidR="000E6E04" w:rsidRPr="00DD47DF" w:rsidRDefault="000E6E04" w:rsidP="00DA3512">
      <w:pPr>
        <w:pStyle w:val="Standardntext"/>
        <w:numPr>
          <w:ilvl w:val="0"/>
          <w:numId w:val="84"/>
        </w:numPr>
        <w:rPr>
          <w:strike/>
        </w:rPr>
      </w:pPr>
      <w:r w:rsidRPr="00DD47DF">
        <w:t>Zohledněn je aktuální finanční plán OP PIK;</w:t>
      </w:r>
    </w:p>
    <w:p w14:paraId="3F86A2C1" w14:textId="77777777" w:rsidR="000E6E04" w:rsidRPr="00DD47DF" w:rsidRDefault="000E6E04" w:rsidP="00DA3512">
      <w:pPr>
        <w:pStyle w:val="Standardntext"/>
        <w:numPr>
          <w:ilvl w:val="0"/>
          <w:numId w:val="84"/>
        </w:numPr>
      </w:pPr>
      <w:r w:rsidRPr="00DD47DF">
        <w:t>Při stanovení milníku bylo v maximální možné míře vycházeno ze zkušeností s OPPI;</w:t>
      </w:r>
    </w:p>
    <w:p w14:paraId="2B1E92EB" w14:textId="77777777" w:rsidR="000E6E04" w:rsidRPr="00DD47DF" w:rsidRDefault="000E6E04" w:rsidP="00DA3512">
      <w:pPr>
        <w:pStyle w:val="Standardntext"/>
        <w:numPr>
          <w:ilvl w:val="0"/>
          <w:numId w:val="84"/>
        </w:numPr>
      </w:pPr>
      <w:r w:rsidRPr="00DD47DF">
        <w:t>První výzvy budou vyhlášeny pravděpodobně nejdříve až ve 2. čtvrtletí 2015, není ovšem zřejmé (ve vazbě na připravovaný indikativní plán výzev), zda budou v tomto období vyhlášeny výzvy již ve všech prioritních osách a specifických cílech. Od nich se bude odvíjet příjem žádostí, hodnocení projektů a následně zahájení realizace prvních podpořených projektů, tj. pravděpodobně až ve 3. čtvrtletí 2015;</w:t>
      </w:r>
    </w:p>
    <w:p w14:paraId="4EF6FBD1" w14:textId="77777777" w:rsidR="000E6E04" w:rsidRPr="00DD47DF" w:rsidRDefault="000E6E04" w:rsidP="00DA3512">
      <w:pPr>
        <w:pStyle w:val="Standardntext"/>
        <w:numPr>
          <w:ilvl w:val="0"/>
          <w:numId w:val="84"/>
        </w:numPr>
      </w:pPr>
      <w:r w:rsidRPr="00DD47DF">
        <w:t xml:space="preserve">Při možném předpokladu, že projekty budou dvouleté, to znamená, že první z nich ukončí realizaci nejdříve koncem roku 2017 a finanční prostředky tak budou předkládány k certifikaci až v průběhu roku 2018 (u delších projektů však až počátkem roku 2019); </w:t>
      </w:r>
    </w:p>
    <w:p w14:paraId="74274E79" w14:textId="77777777" w:rsidR="000E6E04" w:rsidRPr="00DD47DF" w:rsidRDefault="000E6E04" w:rsidP="00DA3512">
      <w:pPr>
        <w:pStyle w:val="Standardntext"/>
        <w:numPr>
          <w:ilvl w:val="0"/>
          <w:numId w:val="84"/>
        </w:numPr>
      </w:pPr>
      <w:r w:rsidRPr="00DD47DF">
        <w:t>Ukazatelé výstupů stanovené ve výkonnostním rámci odpovídají více než 50 % finančního přídělu na prioritu (v souladu se čl. 5 Prováděcího nařízení komise (EU) č. 215/2014);</w:t>
      </w:r>
    </w:p>
    <w:p w14:paraId="22FA7816" w14:textId="77777777" w:rsidR="000E6E04" w:rsidRPr="00DD47DF" w:rsidRDefault="000E6E04" w:rsidP="00DA3512">
      <w:pPr>
        <w:pStyle w:val="Standardntext"/>
        <w:numPr>
          <w:ilvl w:val="0"/>
          <w:numId w:val="84"/>
        </w:numPr>
      </w:pPr>
      <w:r w:rsidRPr="00DD47DF">
        <w:t>Není započítána výkonnostní rezerva stanovená ŘO OP PIK na roky 2014 a 2015;</w:t>
      </w:r>
    </w:p>
    <w:p w14:paraId="7DDDAED8" w14:textId="77777777" w:rsidR="000E6E04" w:rsidRPr="00DD47DF" w:rsidRDefault="000E6E04" w:rsidP="00DA3512">
      <w:pPr>
        <w:pStyle w:val="Standardntext"/>
        <w:numPr>
          <w:ilvl w:val="0"/>
          <w:numId w:val="84"/>
        </w:numPr>
      </w:pPr>
      <w:r w:rsidRPr="00DD47DF">
        <w:t>Pravidlo n+3, na základě kterého je nutné vzít v úvahu, že na konci roku 2018 by měla být vyčerpána alokace let 2014, 2015;</w:t>
      </w:r>
    </w:p>
    <w:p w14:paraId="3C897FEB" w14:textId="77777777" w:rsidR="000E6E04" w:rsidRPr="00DD47DF" w:rsidRDefault="000E6E04" w:rsidP="00DA3512">
      <w:pPr>
        <w:pStyle w:val="Standardntext"/>
        <w:numPr>
          <w:ilvl w:val="0"/>
          <w:numId w:val="84"/>
        </w:numPr>
      </w:pPr>
      <w:r w:rsidRPr="00DD47DF">
        <w:t>Nové typy aktivit v této prioritní ose OP PIK,</w:t>
      </w:r>
    </w:p>
    <w:p w14:paraId="01FD2022" w14:textId="77777777" w:rsidR="000E6E04" w:rsidRPr="00DD47DF" w:rsidRDefault="000E6E04" w:rsidP="00DA3512">
      <w:pPr>
        <w:pStyle w:val="Standardntext"/>
        <w:numPr>
          <w:ilvl w:val="0"/>
          <w:numId w:val="84"/>
        </w:numPr>
      </w:pPr>
      <w:r w:rsidRPr="00DD47DF">
        <w:t>Využití finančních nástrojů v SC 2.1, rizikovým je v tomto případě např. časový rámec pro přípravu projektu, lze tak předpokládat pomalejší rozjezd aktivit.</w:t>
      </w:r>
    </w:p>
    <w:p w14:paraId="66C66FF2" w14:textId="77777777" w:rsidR="000E6E04" w:rsidRPr="00DD47DF" w:rsidRDefault="000E6E04" w:rsidP="00DA3512">
      <w:pPr>
        <w:pStyle w:val="Standardntext"/>
        <w:numPr>
          <w:ilvl w:val="0"/>
          <w:numId w:val="84"/>
        </w:numPr>
      </w:pPr>
      <w:r w:rsidRPr="00DD47DF">
        <w:t>Výše alokace na jednotlivé aktivity SC včetně předpokládané výše veřejné podpory.</w:t>
      </w:r>
    </w:p>
    <w:p w14:paraId="65C18E93" w14:textId="77777777" w:rsidR="000E6E04" w:rsidRPr="00DD47DF" w:rsidRDefault="000E6E04" w:rsidP="00DA3512">
      <w:pPr>
        <w:pStyle w:val="Standardntext"/>
        <w:numPr>
          <w:ilvl w:val="0"/>
          <w:numId w:val="84"/>
        </w:numPr>
      </w:pPr>
      <w:r w:rsidRPr="00DD47DF">
        <w:t>Předpokládaná realizace kratších typů projektů (cca 1 rok) v některých aktivitách.</w:t>
      </w:r>
    </w:p>
    <w:p w14:paraId="4D879151" w14:textId="77777777" w:rsidR="000E6E04" w:rsidRPr="00DD47DF" w:rsidRDefault="000E6E04" w:rsidP="00466CFC">
      <w:pPr>
        <w:pStyle w:val="Standardntext"/>
        <w:ind w:left="720"/>
      </w:pPr>
    </w:p>
    <w:p w14:paraId="64DEAA30" w14:textId="77777777" w:rsidR="000E6E04" w:rsidRPr="00DD47DF" w:rsidRDefault="000E6E04" w:rsidP="00DA3512">
      <w:pPr>
        <w:pStyle w:val="Standardntext"/>
        <w:numPr>
          <w:ilvl w:val="0"/>
          <w:numId w:val="84"/>
        </w:numPr>
      </w:pPr>
      <w:r w:rsidRPr="00DD47DF">
        <w:rPr>
          <w:i/>
        </w:rPr>
        <w:t>Milník</w:t>
      </w:r>
      <w:r w:rsidRPr="00DD47DF">
        <w:rPr>
          <w:i/>
          <w:vertAlign w:val="superscript"/>
        </w:rPr>
        <w:t>2018 P2</w:t>
      </w:r>
      <w:r w:rsidRPr="00DD47DF">
        <w:rPr>
          <w:i/>
        </w:rPr>
        <w:t>= (celkové způsobilé výdaje na PO 2 v roce 2014 + celkové způsobilé výdaje na PO 2 v roce 2015) – (10% finančních prostředků ERDF na PO 2 + podíl výkonnostní rezervy za roky 2014 a 2015 na PO 2)</w:t>
      </w:r>
    </w:p>
    <w:p w14:paraId="4D33E481" w14:textId="77777777" w:rsidR="000E6E04" w:rsidRPr="00DD47DF" w:rsidRDefault="000E6E04" w:rsidP="000E6E04">
      <w:pPr>
        <w:pStyle w:val="Standardntext"/>
      </w:pPr>
      <w:r w:rsidRPr="00DD47DF">
        <w:t xml:space="preserve">Při kvantifikaci milníků </w:t>
      </w:r>
      <w:r w:rsidRPr="00DD47DF">
        <w:rPr>
          <w:b/>
          <w:bCs/>
        </w:rPr>
        <w:t>pro rok 2023</w:t>
      </w:r>
      <w:r w:rsidRPr="00DD47DF">
        <w:t xml:space="preserve"> byly zohledněny ještě dále uvedené klíčové předpoklady:</w:t>
      </w:r>
    </w:p>
    <w:p w14:paraId="5AD2065F" w14:textId="77777777" w:rsidR="000E6E04" w:rsidRPr="00DD47DF" w:rsidRDefault="000E6E04" w:rsidP="00DA3512">
      <w:pPr>
        <w:pStyle w:val="Standardntext"/>
        <w:numPr>
          <w:ilvl w:val="0"/>
          <w:numId w:val="85"/>
        </w:numPr>
      </w:pPr>
      <w:r w:rsidRPr="00DD47DF">
        <w:lastRenderedPageBreak/>
        <w:t>Klíčovým předpokladem je naplnění stanovených cílů programu v jednotlivých prioritních osách (finanční i věcné plnění);</w:t>
      </w:r>
    </w:p>
    <w:p w14:paraId="464B5EBA" w14:textId="77777777" w:rsidR="000E6E04" w:rsidRPr="00DD47DF" w:rsidRDefault="000E6E04" w:rsidP="00DA3512">
      <w:pPr>
        <w:pStyle w:val="Standardntext"/>
        <w:numPr>
          <w:ilvl w:val="0"/>
          <w:numId w:val="85"/>
        </w:numPr>
      </w:pPr>
      <w:r w:rsidRPr="00DD47DF">
        <w:t xml:space="preserve">Započítána je již i výkonnostní rezerva. </w:t>
      </w:r>
    </w:p>
    <w:p w14:paraId="547DD4D8" w14:textId="77777777" w:rsidR="000E6E04" w:rsidRPr="00DD47DF" w:rsidRDefault="000E6E04" w:rsidP="000E6E04">
      <w:pPr>
        <w:jc w:val="both"/>
      </w:pPr>
      <w:r w:rsidRPr="00DD47DF">
        <w:rPr>
          <w:sz w:val="24"/>
          <w:szCs w:val="24"/>
        </w:rPr>
        <w:t>Vzhledem k výše uvedenému lze proto reálně očekávat stále ještě relativně nízkou míru plnění jednotlivých milníků, a to i ke konci roku 2018. Právě z tohoto důvodu byl při kvantifikaci milníků zvolen ke konci roku 2018 spíše konzervativnější způsob výpočtu hodnoty dotčeného milníku. Naplňování milníků vzhledem k předpokládanému časovému skluzu v rozběhu implementace nového OP PIK, bude komplikovanější (zejména právě v první fázi), a bude si vyžadovat i speciální přístupy, jako např. urychlování prvních výzev a jejich naplňování, větší vysvětlovací seminární či jiné aktivity ze strany Řídícího orgánu vůči potenciálním příjemcům, atd. Téma výkonnostní rezervy a milníků je dále rozpracováno v Nepovinné příloze č. 3.</w:t>
      </w:r>
    </w:p>
    <w:p w14:paraId="7A5B430C" w14:textId="77777777" w:rsidR="004126CC" w:rsidRPr="00DD47DF" w:rsidRDefault="004126CC" w:rsidP="000E6E04">
      <w:pPr>
        <w:pStyle w:val="kapitola2A0"/>
        <w:numPr>
          <w:ilvl w:val="0"/>
          <w:numId w:val="0"/>
        </w:numPr>
        <w:sectPr w:rsidR="004126CC" w:rsidRPr="00DD47DF" w:rsidSect="004126CC">
          <w:headerReference w:type="default" r:id="rId35"/>
          <w:footerReference w:type="default" r:id="rId36"/>
          <w:pgSz w:w="16838" w:h="11906" w:orient="landscape" w:code="9"/>
          <w:pgMar w:top="1418" w:right="1418" w:bottom="1276" w:left="1276" w:header="709" w:footer="709" w:gutter="0"/>
          <w:cols w:space="708"/>
          <w:docGrid w:linePitch="272"/>
        </w:sectPr>
      </w:pPr>
    </w:p>
    <w:p w14:paraId="1A2828BC" w14:textId="77777777" w:rsidR="000E3FBB" w:rsidRPr="00DD47DF" w:rsidRDefault="000E3FBB" w:rsidP="00441D67">
      <w:pPr>
        <w:pStyle w:val="kapitola2A0"/>
        <w:numPr>
          <w:ilvl w:val="2"/>
          <w:numId w:val="133"/>
        </w:numPr>
      </w:pPr>
      <w:bookmarkStart w:id="57" w:name="_Toc520445272"/>
      <w:r w:rsidRPr="00DD47DF">
        <w:lastRenderedPageBreak/>
        <w:t xml:space="preserve">Kategorie </w:t>
      </w:r>
      <w:r w:rsidR="00F2469F" w:rsidRPr="00DD47DF">
        <w:t>zásahů</w:t>
      </w:r>
      <w:bookmarkEnd w:id="57"/>
    </w:p>
    <w:p w14:paraId="11AF7410" w14:textId="77D6EBDF" w:rsidR="00505E76" w:rsidRPr="00DD47DF" w:rsidRDefault="00505E76" w:rsidP="00D45051">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7</w:t>
      </w:r>
      <w:r w:rsidR="002756E7" w:rsidRPr="00DD47DF">
        <w:rPr>
          <w:noProof/>
        </w:rPr>
        <w:fldChar w:fldCharType="end"/>
      </w:r>
      <w:r w:rsidRPr="00DD47DF">
        <w:t xml:space="preserve"> - </w:t>
      </w:r>
      <w:r w:rsidR="00CE361F">
        <w:t>10</w:t>
      </w:r>
      <w:r w:rsidRPr="00DD47DF">
        <w:t xml:space="preserve">: Kategorie </w:t>
      </w:r>
      <w:r w:rsidR="00F2469F" w:rsidRPr="00DD47DF">
        <w:t>zásahů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4"/>
        <w:gridCol w:w="1707"/>
        <w:gridCol w:w="561"/>
        <w:gridCol w:w="1771"/>
        <w:gridCol w:w="639"/>
        <w:gridCol w:w="1692"/>
        <w:gridCol w:w="576"/>
        <w:gridCol w:w="1756"/>
      </w:tblGrid>
      <w:tr w:rsidR="000B2315" w:rsidRPr="00DD47DF" w14:paraId="24C253B9" w14:textId="77777777">
        <w:tc>
          <w:tcPr>
            <w:tcW w:w="9326" w:type="dxa"/>
            <w:gridSpan w:val="8"/>
            <w:shd w:val="clear" w:color="auto" w:fill="B8CCE4"/>
            <w:vAlign w:val="center"/>
          </w:tcPr>
          <w:p w14:paraId="13045365" w14:textId="77777777" w:rsidR="009F18F5" w:rsidRPr="00DD47DF" w:rsidRDefault="009F18F5" w:rsidP="009F18F5">
            <w:pPr>
              <w:pStyle w:val="Tabulka"/>
              <w:keepNext/>
              <w:keepLines/>
              <w:rPr>
                <w:rFonts w:cs="Calibri"/>
                <w:b/>
              </w:rPr>
            </w:pPr>
            <w:r w:rsidRPr="00DD47DF">
              <w:rPr>
                <w:rFonts w:cs="Calibri"/>
                <w:b/>
              </w:rPr>
              <w:t xml:space="preserve">Fond: </w:t>
            </w:r>
            <w:r w:rsidRPr="00DD47DF">
              <w:rPr>
                <w:rFonts w:cs="Calibri"/>
              </w:rPr>
              <w:t>EFRR</w:t>
            </w:r>
          </w:p>
          <w:p w14:paraId="28000B68" w14:textId="77777777" w:rsidR="000B2315" w:rsidRPr="00DD47DF" w:rsidRDefault="009F18F5" w:rsidP="009F18F5">
            <w:pPr>
              <w:pStyle w:val="Tabulka"/>
              <w:keepNext/>
              <w:keepLines/>
              <w:rPr>
                <w:rFonts w:cs="Calibri"/>
                <w:i/>
              </w:rPr>
            </w:pPr>
            <w:r w:rsidRPr="00DD47DF">
              <w:rPr>
                <w:rFonts w:cs="Calibri"/>
                <w:b/>
              </w:rPr>
              <w:t xml:space="preserve">Kategorie regionů: </w:t>
            </w:r>
            <w:r w:rsidRPr="00DD47DF">
              <w:rPr>
                <w:rFonts w:cs="Calibri"/>
              </w:rPr>
              <w:t>Méně rozvinuté regiony</w:t>
            </w:r>
          </w:p>
        </w:tc>
      </w:tr>
      <w:tr w:rsidR="000B2315" w:rsidRPr="00DD47DF" w14:paraId="6243AB52" w14:textId="77777777">
        <w:tc>
          <w:tcPr>
            <w:tcW w:w="2331" w:type="dxa"/>
            <w:gridSpan w:val="2"/>
            <w:shd w:val="clear" w:color="auto" w:fill="B8CCE4"/>
            <w:vAlign w:val="center"/>
          </w:tcPr>
          <w:p w14:paraId="4E12A9DC" w14:textId="77777777" w:rsidR="000B2315" w:rsidRPr="00DD47DF" w:rsidRDefault="000B2315" w:rsidP="00450475">
            <w:pPr>
              <w:pStyle w:val="Tabulka"/>
              <w:keepNext/>
              <w:keepLines/>
              <w:rPr>
                <w:rFonts w:cs="Calibri"/>
              </w:rPr>
            </w:pPr>
            <w:r w:rsidRPr="00DD47DF">
              <w:rPr>
                <w:rFonts w:cs="Calibri"/>
              </w:rPr>
              <w:t>Tabulka č. 7:</w:t>
            </w:r>
          </w:p>
          <w:p w14:paraId="3D0B4BF7" w14:textId="77777777" w:rsidR="000B2315" w:rsidRPr="00DD47DF" w:rsidRDefault="000B2315" w:rsidP="00450475">
            <w:pPr>
              <w:pStyle w:val="Tabulka"/>
              <w:keepNext/>
              <w:keepLines/>
              <w:rPr>
                <w:rFonts w:cs="Calibri"/>
              </w:rPr>
            </w:pPr>
            <w:r w:rsidRPr="00DD47DF">
              <w:rPr>
                <w:rFonts w:cs="Calibri"/>
              </w:rPr>
              <w:t>Dimenze 1</w:t>
            </w:r>
          </w:p>
          <w:p w14:paraId="756E23E9" w14:textId="77777777" w:rsidR="000B2315" w:rsidRPr="00DD47DF" w:rsidRDefault="000B2315" w:rsidP="00450475">
            <w:pPr>
              <w:pStyle w:val="Tabulka"/>
              <w:keepNext/>
              <w:keepLines/>
              <w:rPr>
                <w:rFonts w:cs="Calibri"/>
              </w:rPr>
            </w:pPr>
            <w:r w:rsidRPr="00DD47DF">
              <w:rPr>
                <w:rFonts w:cs="Calibri"/>
              </w:rPr>
              <w:t>Oblast zásahu</w:t>
            </w:r>
          </w:p>
        </w:tc>
        <w:tc>
          <w:tcPr>
            <w:tcW w:w="2332" w:type="dxa"/>
            <w:gridSpan w:val="2"/>
            <w:shd w:val="clear" w:color="auto" w:fill="B8CCE4"/>
            <w:vAlign w:val="center"/>
          </w:tcPr>
          <w:p w14:paraId="1D64920A" w14:textId="77777777" w:rsidR="000B2315" w:rsidRPr="00DD47DF" w:rsidRDefault="000B2315" w:rsidP="00450475">
            <w:pPr>
              <w:pStyle w:val="Tabulka"/>
              <w:keepNext/>
              <w:keepLines/>
              <w:rPr>
                <w:rFonts w:cs="Calibri"/>
              </w:rPr>
            </w:pPr>
            <w:r w:rsidRPr="00DD47DF">
              <w:rPr>
                <w:rFonts w:cs="Calibri"/>
              </w:rPr>
              <w:t>Tabulka č. 8:</w:t>
            </w:r>
          </w:p>
          <w:p w14:paraId="36434ECB" w14:textId="77777777" w:rsidR="000B2315" w:rsidRPr="00DD47DF" w:rsidRDefault="000B2315" w:rsidP="00450475">
            <w:pPr>
              <w:pStyle w:val="Tabulka"/>
              <w:keepNext/>
              <w:keepLines/>
              <w:rPr>
                <w:rFonts w:cs="Calibri"/>
              </w:rPr>
            </w:pPr>
            <w:r w:rsidRPr="00DD47DF">
              <w:rPr>
                <w:rFonts w:cs="Calibri"/>
              </w:rPr>
              <w:t>Dimenze 2</w:t>
            </w:r>
          </w:p>
          <w:p w14:paraId="4F328E52" w14:textId="77777777" w:rsidR="000B2315" w:rsidRPr="00DD47DF" w:rsidRDefault="000B2315" w:rsidP="00450475">
            <w:pPr>
              <w:pStyle w:val="Tabulka"/>
              <w:keepNext/>
              <w:keepLines/>
              <w:rPr>
                <w:rFonts w:cs="Calibri"/>
              </w:rPr>
            </w:pPr>
            <w:r w:rsidRPr="00DD47DF">
              <w:rPr>
                <w:rFonts w:cs="Calibri"/>
              </w:rPr>
              <w:t>Forma financování</w:t>
            </w:r>
          </w:p>
        </w:tc>
        <w:tc>
          <w:tcPr>
            <w:tcW w:w="2331" w:type="dxa"/>
            <w:gridSpan w:val="2"/>
            <w:shd w:val="clear" w:color="auto" w:fill="B8CCE4"/>
            <w:vAlign w:val="center"/>
          </w:tcPr>
          <w:p w14:paraId="618AD20E" w14:textId="77777777" w:rsidR="000B2315" w:rsidRPr="00DD47DF" w:rsidRDefault="000B2315" w:rsidP="00450475">
            <w:pPr>
              <w:pStyle w:val="Tabulka"/>
              <w:keepNext/>
              <w:keepLines/>
              <w:rPr>
                <w:rFonts w:cs="Calibri"/>
              </w:rPr>
            </w:pPr>
            <w:r w:rsidRPr="00DD47DF">
              <w:rPr>
                <w:rFonts w:cs="Calibri"/>
              </w:rPr>
              <w:t>Tabulka č. 9:</w:t>
            </w:r>
          </w:p>
          <w:p w14:paraId="25A93D00" w14:textId="77777777" w:rsidR="000B2315" w:rsidRPr="00DD47DF" w:rsidRDefault="000B2315" w:rsidP="00450475">
            <w:pPr>
              <w:pStyle w:val="Tabulka"/>
              <w:keepNext/>
              <w:keepLines/>
              <w:rPr>
                <w:rFonts w:cs="Calibri"/>
              </w:rPr>
            </w:pPr>
            <w:r w:rsidRPr="00DD47DF">
              <w:rPr>
                <w:rFonts w:cs="Calibri"/>
              </w:rPr>
              <w:t>Dimenze 3</w:t>
            </w:r>
          </w:p>
          <w:p w14:paraId="689601A3" w14:textId="77777777" w:rsidR="000B2315" w:rsidRPr="00DD47DF" w:rsidRDefault="000B2315" w:rsidP="00450475">
            <w:pPr>
              <w:pStyle w:val="Tabulka"/>
              <w:keepNext/>
              <w:keepLines/>
              <w:rPr>
                <w:rFonts w:cs="Calibri"/>
              </w:rPr>
            </w:pPr>
            <w:r w:rsidRPr="00DD47DF">
              <w:rPr>
                <w:rFonts w:cs="Calibri"/>
              </w:rPr>
              <w:t>Typ území</w:t>
            </w:r>
          </w:p>
        </w:tc>
        <w:tc>
          <w:tcPr>
            <w:tcW w:w="2332" w:type="dxa"/>
            <w:gridSpan w:val="2"/>
            <w:shd w:val="clear" w:color="auto" w:fill="B8CCE4"/>
            <w:vAlign w:val="center"/>
          </w:tcPr>
          <w:p w14:paraId="5DC9C5D8" w14:textId="77777777" w:rsidR="000B2315" w:rsidRPr="00DD47DF" w:rsidRDefault="000B2315" w:rsidP="00450475">
            <w:pPr>
              <w:pStyle w:val="Tabulka"/>
              <w:keepNext/>
              <w:keepLines/>
              <w:rPr>
                <w:rFonts w:cs="Calibri"/>
              </w:rPr>
            </w:pPr>
            <w:r w:rsidRPr="00DD47DF">
              <w:rPr>
                <w:rFonts w:cs="Calibri"/>
              </w:rPr>
              <w:t>Tabulka č. 10:</w:t>
            </w:r>
          </w:p>
          <w:p w14:paraId="20B7E46F" w14:textId="77777777" w:rsidR="000B2315" w:rsidRPr="00DD47DF" w:rsidRDefault="000B2315" w:rsidP="00450475">
            <w:pPr>
              <w:pStyle w:val="Tabulka"/>
              <w:keepNext/>
              <w:keepLines/>
              <w:rPr>
                <w:rFonts w:cs="Calibri"/>
              </w:rPr>
            </w:pPr>
            <w:r w:rsidRPr="00DD47DF">
              <w:rPr>
                <w:rFonts w:cs="Calibri"/>
              </w:rPr>
              <w:t>Dimenze 4</w:t>
            </w:r>
          </w:p>
          <w:p w14:paraId="49C33E8E" w14:textId="77777777" w:rsidR="000B2315" w:rsidRPr="00DD47DF" w:rsidRDefault="000B2315" w:rsidP="00450475">
            <w:pPr>
              <w:pStyle w:val="Tabulka"/>
              <w:keepNext/>
              <w:keepLines/>
              <w:rPr>
                <w:rFonts w:cs="Calibri"/>
              </w:rPr>
            </w:pPr>
            <w:r w:rsidRPr="00DD47DF">
              <w:rPr>
                <w:rFonts w:cs="Calibri"/>
              </w:rPr>
              <w:t>Mechanismus územního plnění</w:t>
            </w:r>
          </w:p>
        </w:tc>
      </w:tr>
      <w:tr w:rsidR="000B2315" w:rsidRPr="00DD47DF" w14:paraId="25A4559F" w14:textId="77777777">
        <w:tc>
          <w:tcPr>
            <w:tcW w:w="624" w:type="dxa"/>
            <w:shd w:val="clear" w:color="auto" w:fill="DBE5F1"/>
            <w:vAlign w:val="center"/>
          </w:tcPr>
          <w:p w14:paraId="59104B8B" w14:textId="77777777" w:rsidR="000B2315" w:rsidRPr="00DD47DF" w:rsidRDefault="000B2315" w:rsidP="00450475">
            <w:pPr>
              <w:pStyle w:val="Tabulka"/>
              <w:keepNext/>
              <w:keepLines/>
              <w:rPr>
                <w:rFonts w:cs="Calibri"/>
              </w:rPr>
            </w:pPr>
            <w:r w:rsidRPr="00DD47DF">
              <w:rPr>
                <w:rFonts w:cs="Calibri"/>
              </w:rPr>
              <w:t>Kód</w:t>
            </w:r>
          </w:p>
        </w:tc>
        <w:tc>
          <w:tcPr>
            <w:tcW w:w="1707" w:type="dxa"/>
            <w:shd w:val="clear" w:color="auto" w:fill="DBE5F1"/>
            <w:vAlign w:val="center"/>
          </w:tcPr>
          <w:p w14:paraId="612EFCC5" w14:textId="77777777" w:rsidR="000B2315" w:rsidRPr="00DD47DF" w:rsidRDefault="00D16DE9" w:rsidP="00450475">
            <w:pPr>
              <w:pStyle w:val="Tabulka"/>
              <w:keepNext/>
              <w:keepLines/>
              <w:rPr>
                <w:rFonts w:cs="Calibri"/>
              </w:rPr>
            </w:pPr>
            <w:r w:rsidRPr="00DD47DF">
              <w:rPr>
                <w:rFonts w:cs="Calibri"/>
              </w:rPr>
              <w:t>Částka (v EUR)</w:t>
            </w:r>
          </w:p>
        </w:tc>
        <w:tc>
          <w:tcPr>
            <w:tcW w:w="561" w:type="dxa"/>
            <w:shd w:val="clear" w:color="auto" w:fill="DBE5F1"/>
            <w:vAlign w:val="center"/>
          </w:tcPr>
          <w:p w14:paraId="62A3F345" w14:textId="77777777" w:rsidR="000B2315" w:rsidRPr="00DD47DF" w:rsidRDefault="000B2315" w:rsidP="00450475">
            <w:pPr>
              <w:pStyle w:val="Tabulka"/>
              <w:keepNext/>
              <w:keepLines/>
              <w:rPr>
                <w:rFonts w:cs="Calibri"/>
              </w:rPr>
            </w:pPr>
            <w:r w:rsidRPr="00DD47DF">
              <w:rPr>
                <w:rFonts w:cs="Calibri"/>
              </w:rPr>
              <w:t>Kód</w:t>
            </w:r>
          </w:p>
        </w:tc>
        <w:tc>
          <w:tcPr>
            <w:tcW w:w="1771" w:type="dxa"/>
            <w:shd w:val="clear" w:color="auto" w:fill="DBE5F1"/>
            <w:vAlign w:val="center"/>
          </w:tcPr>
          <w:p w14:paraId="46B898E0" w14:textId="77777777" w:rsidR="000B2315" w:rsidRPr="00DD47DF" w:rsidRDefault="00D16DE9" w:rsidP="00450475">
            <w:pPr>
              <w:pStyle w:val="Tabulka"/>
              <w:keepNext/>
              <w:keepLines/>
              <w:rPr>
                <w:rFonts w:cs="Calibri"/>
              </w:rPr>
            </w:pPr>
            <w:r w:rsidRPr="00DD47DF">
              <w:rPr>
                <w:rFonts w:cs="Calibri"/>
              </w:rPr>
              <w:t>Částka (v EUR)</w:t>
            </w:r>
          </w:p>
        </w:tc>
        <w:tc>
          <w:tcPr>
            <w:tcW w:w="639" w:type="dxa"/>
            <w:shd w:val="clear" w:color="auto" w:fill="DBE5F1"/>
            <w:vAlign w:val="center"/>
          </w:tcPr>
          <w:p w14:paraId="32CD980D" w14:textId="77777777" w:rsidR="000B2315" w:rsidRPr="00DD47DF" w:rsidRDefault="000B2315" w:rsidP="00450475">
            <w:pPr>
              <w:pStyle w:val="Tabulka"/>
              <w:keepNext/>
              <w:keepLines/>
              <w:rPr>
                <w:rFonts w:cs="Calibri"/>
              </w:rPr>
            </w:pPr>
            <w:r w:rsidRPr="00DD47DF">
              <w:rPr>
                <w:rFonts w:cs="Calibri"/>
              </w:rPr>
              <w:t>Kód</w:t>
            </w:r>
          </w:p>
        </w:tc>
        <w:tc>
          <w:tcPr>
            <w:tcW w:w="1692" w:type="dxa"/>
            <w:shd w:val="clear" w:color="auto" w:fill="DBE5F1"/>
            <w:vAlign w:val="center"/>
          </w:tcPr>
          <w:p w14:paraId="144EF9ED" w14:textId="77777777" w:rsidR="000B2315" w:rsidRPr="00DD47DF" w:rsidRDefault="00D16DE9" w:rsidP="00450475">
            <w:pPr>
              <w:pStyle w:val="Tabulka"/>
              <w:keepNext/>
              <w:keepLines/>
              <w:rPr>
                <w:rFonts w:cs="Calibri"/>
              </w:rPr>
            </w:pPr>
            <w:r w:rsidRPr="00DD47DF">
              <w:rPr>
                <w:rFonts w:cs="Calibri"/>
              </w:rPr>
              <w:t>Částka (v EUR)</w:t>
            </w:r>
          </w:p>
        </w:tc>
        <w:tc>
          <w:tcPr>
            <w:tcW w:w="576" w:type="dxa"/>
            <w:shd w:val="clear" w:color="auto" w:fill="DBE5F1"/>
            <w:vAlign w:val="center"/>
          </w:tcPr>
          <w:p w14:paraId="34D6AC5A" w14:textId="77777777" w:rsidR="000B2315" w:rsidRPr="00DD47DF" w:rsidRDefault="000B2315" w:rsidP="00450475">
            <w:pPr>
              <w:pStyle w:val="Tabulka"/>
              <w:keepNext/>
              <w:keepLines/>
              <w:rPr>
                <w:rFonts w:cs="Calibri"/>
              </w:rPr>
            </w:pPr>
            <w:r w:rsidRPr="00DD47DF">
              <w:rPr>
                <w:rFonts w:cs="Calibri"/>
              </w:rPr>
              <w:t>Kód</w:t>
            </w:r>
          </w:p>
        </w:tc>
        <w:tc>
          <w:tcPr>
            <w:tcW w:w="1756" w:type="dxa"/>
            <w:shd w:val="clear" w:color="auto" w:fill="DBE5F1"/>
            <w:vAlign w:val="center"/>
          </w:tcPr>
          <w:p w14:paraId="2A9EB577" w14:textId="77777777" w:rsidR="000B2315" w:rsidRPr="00DD47DF" w:rsidRDefault="00D16DE9" w:rsidP="00450475">
            <w:pPr>
              <w:pStyle w:val="Tabulka"/>
              <w:keepNext/>
              <w:keepLines/>
              <w:rPr>
                <w:rFonts w:cs="Calibri"/>
              </w:rPr>
            </w:pPr>
            <w:r w:rsidRPr="00DD47DF">
              <w:rPr>
                <w:rFonts w:cs="Calibri"/>
              </w:rPr>
              <w:t>Částka (v EUR)</w:t>
            </w:r>
          </w:p>
        </w:tc>
      </w:tr>
      <w:tr w:rsidR="007A1261" w:rsidRPr="00DD47DF" w14:paraId="2024C9A6" w14:textId="77777777">
        <w:tc>
          <w:tcPr>
            <w:tcW w:w="624" w:type="dxa"/>
            <w:shd w:val="clear" w:color="auto" w:fill="auto"/>
            <w:vAlign w:val="center"/>
          </w:tcPr>
          <w:p w14:paraId="2C7581DD" w14:textId="77777777" w:rsidR="007A1261" w:rsidRPr="00DD47DF" w:rsidRDefault="007A1261" w:rsidP="007A1261">
            <w:pPr>
              <w:pStyle w:val="Tabulka"/>
              <w:rPr>
                <w:rFonts w:cs="Calibri"/>
              </w:rPr>
            </w:pPr>
            <w:r w:rsidRPr="00DD47DF">
              <w:rPr>
                <w:rFonts w:cs="Calibri"/>
              </w:rPr>
              <w:t>050</w:t>
            </w:r>
          </w:p>
        </w:tc>
        <w:tc>
          <w:tcPr>
            <w:tcW w:w="1707" w:type="dxa"/>
            <w:shd w:val="clear" w:color="auto" w:fill="auto"/>
            <w:vAlign w:val="center"/>
          </w:tcPr>
          <w:p w14:paraId="3303D19B" w14:textId="583F3440" w:rsidR="007A1261" w:rsidRPr="00DD47DF" w:rsidRDefault="007A1261" w:rsidP="007A1261">
            <w:pPr>
              <w:pStyle w:val="Tabulka"/>
              <w:jc w:val="right"/>
              <w:rPr>
                <w:rFonts w:cs="Calibri"/>
              </w:rPr>
            </w:pPr>
            <w:r>
              <w:rPr>
                <w:rFonts w:cs="Calibri"/>
              </w:rPr>
              <w:t>29 094 827</w:t>
            </w:r>
          </w:p>
        </w:tc>
        <w:tc>
          <w:tcPr>
            <w:tcW w:w="561" w:type="dxa"/>
            <w:shd w:val="clear" w:color="auto" w:fill="auto"/>
            <w:vAlign w:val="center"/>
          </w:tcPr>
          <w:p w14:paraId="348CE460" w14:textId="77777777" w:rsidR="007A1261" w:rsidRPr="00DD47DF" w:rsidRDefault="007A1261" w:rsidP="007A1261">
            <w:pPr>
              <w:pStyle w:val="Tabulka"/>
              <w:rPr>
                <w:rFonts w:cs="Calibri"/>
              </w:rPr>
            </w:pPr>
            <w:r w:rsidRPr="00DD47DF">
              <w:rPr>
                <w:rFonts w:cs="Calibri"/>
              </w:rPr>
              <w:t>01</w:t>
            </w:r>
          </w:p>
        </w:tc>
        <w:tc>
          <w:tcPr>
            <w:tcW w:w="1771" w:type="dxa"/>
            <w:shd w:val="clear" w:color="auto" w:fill="auto"/>
            <w:vAlign w:val="center"/>
          </w:tcPr>
          <w:p w14:paraId="1C221224" w14:textId="51710B20" w:rsidR="007A1261" w:rsidRPr="00DD47DF" w:rsidRDefault="009A263F" w:rsidP="007A1261">
            <w:pPr>
              <w:pStyle w:val="Tabulka"/>
              <w:jc w:val="right"/>
              <w:rPr>
                <w:rFonts w:cs="Calibri"/>
              </w:rPr>
            </w:pPr>
            <w:r w:rsidRPr="00700E39">
              <w:rPr>
                <w:rFonts w:cs="Calibri"/>
              </w:rPr>
              <w:t>473 630 143</w:t>
            </w:r>
          </w:p>
        </w:tc>
        <w:tc>
          <w:tcPr>
            <w:tcW w:w="639" w:type="dxa"/>
            <w:shd w:val="clear" w:color="auto" w:fill="auto"/>
            <w:vAlign w:val="center"/>
          </w:tcPr>
          <w:p w14:paraId="621EABB2" w14:textId="77777777" w:rsidR="007A1261" w:rsidRPr="00DD47DF" w:rsidRDefault="007A1261" w:rsidP="007A1261">
            <w:pPr>
              <w:pStyle w:val="Tabulka"/>
              <w:rPr>
                <w:rFonts w:cs="Calibri"/>
              </w:rPr>
            </w:pPr>
            <w:r w:rsidRPr="00DD47DF">
              <w:rPr>
                <w:rFonts w:cs="Calibri"/>
              </w:rPr>
              <w:t>01</w:t>
            </w:r>
          </w:p>
        </w:tc>
        <w:tc>
          <w:tcPr>
            <w:tcW w:w="1692" w:type="dxa"/>
            <w:shd w:val="clear" w:color="auto" w:fill="auto"/>
            <w:vAlign w:val="center"/>
          </w:tcPr>
          <w:p w14:paraId="4DADA37B" w14:textId="77777777" w:rsidR="007A1261" w:rsidRPr="00DD47DF" w:rsidRDefault="007A1261" w:rsidP="007A1261">
            <w:pPr>
              <w:pStyle w:val="Tabulka"/>
              <w:jc w:val="right"/>
              <w:rPr>
                <w:rFonts w:cs="Calibri"/>
              </w:rPr>
            </w:pPr>
            <w:r w:rsidRPr="00DD47DF">
              <w:rPr>
                <w:rFonts w:cs="Calibri"/>
              </w:rPr>
              <w:t>164 272 891</w:t>
            </w:r>
          </w:p>
        </w:tc>
        <w:tc>
          <w:tcPr>
            <w:tcW w:w="576" w:type="dxa"/>
            <w:shd w:val="clear" w:color="auto" w:fill="auto"/>
            <w:vAlign w:val="center"/>
          </w:tcPr>
          <w:p w14:paraId="19657B08" w14:textId="77777777" w:rsidR="007A1261" w:rsidRPr="00DD47DF" w:rsidRDefault="007A1261" w:rsidP="007A1261">
            <w:pPr>
              <w:pStyle w:val="Tabulka"/>
              <w:keepNext/>
              <w:keepLines/>
              <w:rPr>
                <w:rFonts w:cs="Calibri"/>
              </w:rPr>
            </w:pPr>
            <w:r w:rsidRPr="00DD47DF">
              <w:rPr>
                <w:rFonts w:cs="Calibri"/>
              </w:rPr>
              <w:t>01</w:t>
            </w:r>
          </w:p>
        </w:tc>
        <w:tc>
          <w:tcPr>
            <w:tcW w:w="1756" w:type="dxa"/>
            <w:shd w:val="clear" w:color="auto" w:fill="auto"/>
            <w:vAlign w:val="center"/>
          </w:tcPr>
          <w:p w14:paraId="652D911C" w14:textId="78C49A1F" w:rsidR="007A1261" w:rsidRPr="00DD47DF" w:rsidRDefault="007E5166" w:rsidP="007A1261">
            <w:pPr>
              <w:pStyle w:val="Tabulka"/>
              <w:keepNext/>
              <w:keepLines/>
              <w:jc w:val="right"/>
              <w:rPr>
                <w:rFonts w:cs="Calibri"/>
              </w:rPr>
            </w:pPr>
            <w:r w:rsidRPr="00700E39">
              <w:rPr>
                <w:rFonts w:cs="Calibri"/>
              </w:rPr>
              <w:t>56 866 147</w:t>
            </w:r>
          </w:p>
        </w:tc>
      </w:tr>
      <w:tr w:rsidR="007A1261" w:rsidRPr="00DD47DF" w14:paraId="26E2C4AF" w14:textId="77777777">
        <w:tc>
          <w:tcPr>
            <w:tcW w:w="624" w:type="dxa"/>
            <w:shd w:val="clear" w:color="auto" w:fill="auto"/>
            <w:vAlign w:val="center"/>
          </w:tcPr>
          <w:p w14:paraId="3E589D0D" w14:textId="77777777" w:rsidR="007A1261" w:rsidRPr="00DD47DF" w:rsidRDefault="007A1261" w:rsidP="007A1261">
            <w:pPr>
              <w:pStyle w:val="Tabulka"/>
              <w:rPr>
                <w:rFonts w:cs="Calibri"/>
              </w:rPr>
            </w:pPr>
            <w:r w:rsidRPr="00DD47DF">
              <w:rPr>
                <w:rFonts w:cs="Calibri"/>
              </w:rPr>
              <w:t>066</w:t>
            </w:r>
          </w:p>
        </w:tc>
        <w:tc>
          <w:tcPr>
            <w:tcW w:w="1707" w:type="dxa"/>
            <w:shd w:val="clear" w:color="auto" w:fill="auto"/>
            <w:vAlign w:val="center"/>
          </w:tcPr>
          <w:p w14:paraId="688DDAF4" w14:textId="0334D797" w:rsidR="007A1261" w:rsidRPr="00DD47DF" w:rsidRDefault="007A1261" w:rsidP="007A1261">
            <w:pPr>
              <w:pStyle w:val="Tabulka"/>
              <w:jc w:val="right"/>
              <w:rPr>
                <w:rFonts w:cs="Calibri"/>
              </w:rPr>
            </w:pPr>
            <w:r w:rsidRPr="00DD47DF">
              <w:rPr>
                <w:rFonts w:cs="Calibri"/>
              </w:rPr>
              <w:t>56 540 420</w:t>
            </w:r>
          </w:p>
        </w:tc>
        <w:tc>
          <w:tcPr>
            <w:tcW w:w="561" w:type="dxa"/>
            <w:shd w:val="clear" w:color="auto" w:fill="auto"/>
            <w:vAlign w:val="center"/>
          </w:tcPr>
          <w:p w14:paraId="2515BDAD" w14:textId="77777777" w:rsidR="007A1261" w:rsidRPr="00DD47DF" w:rsidRDefault="007A1261" w:rsidP="007A1261">
            <w:pPr>
              <w:pStyle w:val="Tabulka"/>
              <w:rPr>
                <w:rFonts w:cs="Calibri"/>
              </w:rPr>
            </w:pPr>
            <w:r w:rsidRPr="00DD47DF">
              <w:rPr>
                <w:rFonts w:cs="Calibri"/>
              </w:rPr>
              <w:t>03</w:t>
            </w:r>
          </w:p>
        </w:tc>
        <w:tc>
          <w:tcPr>
            <w:tcW w:w="1771" w:type="dxa"/>
            <w:shd w:val="clear" w:color="auto" w:fill="auto"/>
            <w:vAlign w:val="bottom"/>
          </w:tcPr>
          <w:p w14:paraId="4E1A5310" w14:textId="29598CC0" w:rsidR="007A1261" w:rsidRPr="00DD47DF" w:rsidRDefault="009A263F" w:rsidP="007A1261">
            <w:pPr>
              <w:pStyle w:val="Tabulka"/>
              <w:jc w:val="right"/>
              <w:rPr>
                <w:rFonts w:cs="Calibri"/>
              </w:rPr>
            </w:pPr>
            <w:r>
              <w:rPr>
                <w:rFonts w:cs="Calibri"/>
              </w:rPr>
              <w:t xml:space="preserve">72 </w:t>
            </w:r>
            <w:r w:rsidR="007A1261">
              <w:rPr>
                <w:rFonts w:cs="Calibri"/>
              </w:rPr>
              <w:t>000 000</w:t>
            </w:r>
          </w:p>
        </w:tc>
        <w:tc>
          <w:tcPr>
            <w:tcW w:w="639" w:type="dxa"/>
            <w:shd w:val="clear" w:color="auto" w:fill="auto"/>
            <w:vAlign w:val="center"/>
          </w:tcPr>
          <w:p w14:paraId="62F17603" w14:textId="77777777" w:rsidR="007A1261" w:rsidRPr="00DD47DF" w:rsidRDefault="007A1261" w:rsidP="007A1261">
            <w:pPr>
              <w:pStyle w:val="Tabulka"/>
              <w:rPr>
                <w:rFonts w:cs="Calibri"/>
              </w:rPr>
            </w:pPr>
            <w:r w:rsidRPr="00DD47DF">
              <w:rPr>
                <w:rFonts w:cs="Calibri"/>
              </w:rPr>
              <w:t>02</w:t>
            </w:r>
          </w:p>
        </w:tc>
        <w:tc>
          <w:tcPr>
            <w:tcW w:w="1692" w:type="dxa"/>
            <w:shd w:val="clear" w:color="auto" w:fill="auto"/>
            <w:vAlign w:val="center"/>
          </w:tcPr>
          <w:p w14:paraId="64492BD3" w14:textId="77777777" w:rsidR="007A1261" w:rsidRPr="00DD47DF" w:rsidRDefault="007A1261" w:rsidP="007A1261">
            <w:pPr>
              <w:pStyle w:val="Tabulka"/>
              <w:jc w:val="right"/>
              <w:rPr>
                <w:rFonts w:cs="Calibri"/>
              </w:rPr>
            </w:pPr>
            <w:r w:rsidRPr="00DD47DF">
              <w:rPr>
                <w:rFonts w:cs="Calibri"/>
              </w:rPr>
              <w:t>405 976 616</w:t>
            </w:r>
          </w:p>
        </w:tc>
        <w:tc>
          <w:tcPr>
            <w:tcW w:w="576" w:type="dxa"/>
            <w:shd w:val="clear" w:color="auto" w:fill="auto"/>
            <w:vAlign w:val="center"/>
          </w:tcPr>
          <w:p w14:paraId="66233C94" w14:textId="77777777" w:rsidR="007A1261" w:rsidRPr="00DD47DF" w:rsidRDefault="007A1261" w:rsidP="007A1261">
            <w:pPr>
              <w:pStyle w:val="Tabulka"/>
              <w:rPr>
                <w:rFonts w:cs="Calibri"/>
              </w:rPr>
            </w:pPr>
            <w:r w:rsidRPr="00DD47DF">
              <w:rPr>
                <w:rFonts w:cs="Calibri"/>
              </w:rPr>
              <w:t>07</w:t>
            </w:r>
          </w:p>
        </w:tc>
        <w:tc>
          <w:tcPr>
            <w:tcW w:w="1756" w:type="dxa"/>
            <w:shd w:val="clear" w:color="auto" w:fill="auto"/>
            <w:vAlign w:val="center"/>
          </w:tcPr>
          <w:p w14:paraId="70D7EE6D" w14:textId="6B797465" w:rsidR="007A1261" w:rsidRPr="00DD47DF" w:rsidRDefault="007E5166" w:rsidP="007A1261">
            <w:pPr>
              <w:pStyle w:val="Tabulka"/>
              <w:jc w:val="right"/>
              <w:rPr>
                <w:rFonts w:cs="Calibri"/>
              </w:rPr>
            </w:pPr>
            <w:r w:rsidRPr="00700E39">
              <w:rPr>
                <w:rFonts w:cs="Calibri"/>
              </w:rPr>
              <w:t>835 263 996</w:t>
            </w:r>
          </w:p>
        </w:tc>
      </w:tr>
      <w:tr w:rsidR="007A1261" w:rsidRPr="00DD47DF" w14:paraId="0E41F198" w14:textId="77777777">
        <w:tc>
          <w:tcPr>
            <w:tcW w:w="624" w:type="dxa"/>
            <w:shd w:val="clear" w:color="auto" w:fill="auto"/>
            <w:vAlign w:val="center"/>
          </w:tcPr>
          <w:p w14:paraId="64A0356E" w14:textId="77777777" w:rsidR="007A1261" w:rsidRPr="00DD47DF" w:rsidRDefault="007A1261" w:rsidP="007A1261">
            <w:pPr>
              <w:pStyle w:val="Tabulka"/>
              <w:rPr>
                <w:rFonts w:cs="Calibri"/>
              </w:rPr>
            </w:pPr>
            <w:r w:rsidRPr="00DD47DF">
              <w:rPr>
                <w:rFonts w:cs="Calibri"/>
              </w:rPr>
              <w:t>067</w:t>
            </w:r>
          </w:p>
        </w:tc>
        <w:tc>
          <w:tcPr>
            <w:tcW w:w="1707" w:type="dxa"/>
            <w:shd w:val="clear" w:color="auto" w:fill="auto"/>
            <w:vAlign w:val="center"/>
          </w:tcPr>
          <w:p w14:paraId="712E9E37" w14:textId="344CD930" w:rsidR="007A1261" w:rsidRPr="00DD47DF" w:rsidRDefault="007A1261" w:rsidP="007A1261">
            <w:pPr>
              <w:pStyle w:val="Tabulka"/>
              <w:jc w:val="right"/>
              <w:rPr>
                <w:rFonts w:cs="Calibri"/>
              </w:rPr>
            </w:pPr>
            <w:r w:rsidRPr="00DD47DF">
              <w:rPr>
                <w:rFonts w:cs="Calibri"/>
              </w:rPr>
              <w:t>609 428 042</w:t>
            </w:r>
          </w:p>
        </w:tc>
        <w:tc>
          <w:tcPr>
            <w:tcW w:w="561" w:type="dxa"/>
            <w:shd w:val="clear" w:color="auto" w:fill="auto"/>
            <w:vAlign w:val="center"/>
          </w:tcPr>
          <w:p w14:paraId="24789B58" w14:textId="77777777" w:rsidR="007A1261" w:rsidRPr="00DD47DF" w:rsidRDefault="007A1261" w:rsidP="007A1261">
            <w:pPr>
              <w:pStyle w:val="Tabulka"/>
              <w:rPr>
                <w:rFonts w:cs="Calibri"/>
              </w:rPr>
            </w:pPr>
            <w:r w:rsidRPr="00DD47DF">
              <w:rPr>
                <w:rFonts w:cs="Calibri"/>
              </w:rPr>
              <w:t>04</w:t>
            </w:r>
          </w:p>
        </w:tc>
        <w:tc>
          <w:tcPr>
            <w:tcW w:w="1771" w:type="dxa"/>
            <w:shd w:val="clear" w:color="auto" w:fill="auto"/>
            <w:vAlign w:val="bottom"/>
          </w:tcPr>
          <w:p w14:paraId="41EC4015" w14:textId="2D732DF2" w:rsidR="007A1261" w:rsidRPr="00DD47DF" w:rsidRDefault="0089207E" w:rsidP="007A1261">
            <w:pPr>
              <w:pStyle w:val="Tabulka"/>
              <w:jc w:val="right"/>
              <w:rPr>
                <w:rFonts w:cs="Calibri"/>
              </w:rPr>
            </w:pPr>
            <w:r w:rsidRPr="00700E39">
              <w:rPr>
                <w:color w:val="000000"/>
              </w:rPr>
              <w:t>341 550 000</w:t>
            </w:r>
          </w:p>
        </w:tc>
        <w:tc>
          <w:tcPr>
            <w:tcW w:w="639" w:type="dxa"/>
            <w:shd w:val="clear" w:color="auto" w:fill="auto"/>
            <w:vAlign w:val="center"/>
          </w:tcPr>
          <w:p w14:paraId="1F63398D" w14:textId="77777777" w:rsidR="007A1261" w:rsidRPr="00DD47DF" w:rsidRDefault="007A1261" w:rsidP="007A1261">
            <w:pPr>
              <w:pStyle w:val="Tabulka"/>
              <w:rPr>
                <w:rFonts w:cs="Calibri"/>
              </w:rPr>
            </w:pPr>
            <w:r w:rsidRPr="00DD47DF">
              <w:rPr>
                <w:rFonts w:cs="Calibri"/>
              </w:rPr>
              <w:t>03</w:t>
            </w:r>
          </w:p>
        </w:tc>
        <w:tc>
          <w:tcPr>
            <w:tcW w:w="1692" w:type="dxa"/>
            <w:shd w:val="clear" w:color="auto" w:fill="auto"/>
            <w:vAlign w:val="center"/>
          </w:tcPr>
          <w:p w14:paraId="3CA39A7C" w14:textId="77777777" w:rsidR="007A1261" w:rsidRPr="00DD47DF" w:rsidRDefault="007A1261" w:rsidP="007A1261">
            <w:pPr>
              <w:pStyle w:val="Tabulka"/>
              <w:jc w:val="right"/>
              <w:rPr>
                <w:rFonts w:cs="Calibri"/>
              </w:rPr>
            </w:pPr>
            <w:r w:rsidRPr="00DD47DF">
              <w:rPr>
                <w:rFonts w:cs="Calibri"/>
              </w:rPr>
              <w:t>321 880 636</w:t>
            </w:r>
          </w:p>
        </w:tc>
        <w:tc>
          <w:tcPr>
            <w:tcW w:w="576" w:type="dxa"/>
            <w:shd w:val="clear" w:color="auto" w:fill="auto"/>
            <w:vAlign w:val="center"/>
          </w:tcPr>
          <w:p w14:paraId="6B6A4CBA" w14:textId="77777777" w:rsidR="007A1261" w:rsidRPr="00DD47DF" w:rsidRDefault="007A1261" w:rsidP="007A1261">
            <w:pPr>
              <w:pStyle w:val="Tabulka"/>
              <w:rPr>
                <w:rFonts w:cs="Calibri"/>
              </w:rPr>
            </w:pPr>
          </w:p>
        </w:tc>
        <w:tc>
          <w:tcPr>
            <w:tcW w:w="1756" w:type="dxa"/>
            <w:shd w:val="clear" w:color="auto" w:fill="auto"/>
            <w:vAlign w:val="center"/>
          </w:tcPr>
          <w:p w14:paraId="680E78EC" w14:textId="77777777" w:rsidR="007A1261" w:rsidRPr="00DD47DF" w:rsidRDefault="007A1261" w:rsidP="007A1261">
            <w:pPr>
              <w:pStyle w:val="Tabulka"/>
              <w:jc w:val="right"/>
              <w:rPr>
                <w:rFonts w:cs="Calibri"/>
              </w:rPr>
            </w:pPr>
          </w:p>
        </w:tc>
      </w:tr>
      <w:tr w:rsidR="007A1261" w:rsidRPr="00DD47DF" w14:paraId="34AA1D1A" w14:textId="77777777">
        <w:tc>
          <w:tcPr>
            <w:tcW w:w="624" w:type="dxa"/>
            <w:shd w:val="clear" w:color="auto" w:fill="auto"/>
            <w:vAlign w:val="center"/>
          </w:tcPr>
          <w:p w14:paraId="12DE115D" w14:textId="77777777" w:rsidR="007A1261" w:rsidRPr="00DD47DF" w:rsidRDefault="007A1261" w:rsidP="007A1261">
            <w:pPr>
              <w:pStyle w:val="Tabulka"/>
              <w:rPr>
                <w:rFonts w:cs="Calibri"/>
              </w:rPr>
            </w:pPr>
            <w:r w:rsidRPr="00DD47DF">
              <w:rPr>
                <w:rFonts w:cs="Calibri"/>
              </w:rPr>
              <w:t>072</w:t>
            </w:r>
          </w:p>
        </w:tc>
        <w:tc>
          <w:tcPr>
            <w:tcW w:w="1707" w:type="dxa"/>
            <w:shd w:val="clear" w:color="auto" w:fill="auto"/>
            <w:vAlign w:val="center"/>
          </w:tcPr>
          <w:p w14:paraId="6C4CD8A7" w14:textId="36B65C14" w:rsidR="007A1261" w:rsidRPr="00DD47DF" w:rsidRDefault="00F20E1F" w:rsidP="007A1261">
            <w:pPr>
              <w:pStyle w:val="Tabulka"/>
              <w:jc w:val="right"/>
              <w:rPr>
                <w:rFonts w:cs="Calibri"/>
              </w:rPr>
            </w:pPr>
            <w:r w:rsidRPr="00700E39">
              <w:rPr>
                <w:color w:val="000000"/>
              </w:rPr>
              <w:t>173 629 354</w:t>
            </w:r>
          </w:p>
        </w:tc>
        <w:tc>
          <w:tcPr>
            <w:tcW w:w="561" w:type="dxa"/>
            <w:shd w:val="clear" w:color="auto" w:fill="auto"/>
            <w:vAlign w:val="center"/>
          </w:tcPr>
          <w:p w14:paraId="5B205D87" w14:textId="77777777" w:rsidR="007A1261" w:rsidRPr="00DD47DF" w:rsidRDefault="007A1261" w:rsidP="007A1261">
            <w:pPr>
              <w:pStyle w:val="Tabulka"/>
              <w:rPr>
                <w:rFonts w:cs="Calibri"/>
              </w:rPr>
            </w:pPr>
            <w:r w:rsidRPr="00DD47DF">
              <w:rPr>
                <w:rFonts w:cs="Calibri"/>
              </w:rPr>
              <w:t>05</w:t>
            </w:r>
          </w:p>
        </w:tc>
        <w:tc>
          <w:tcPr>
            <w:tcW w:w="1771" w:type="dxa"/>
            <w:shd w:val="clear" w:color="auto" w:fill="auto"/>
            <w:vAlign w:val="bottom"/>
          </w:tcPr>
          <w:p w14:paraId="03B0DC63" w14:textId="321C00D6" w:rsidR="007A1261" w:rsidRPr="00DD47DF" w:rsidRDefault="00907A2F" w:rsidP="007A1261">
            <w:pPr>
              <w:pStyle w:val="Tabulka"/>
              <w:jc w:val="right"/>
              <w:rPr>
                <w:rFonts w:cs="Calibri"/>
              </w:rPr>
            </w:pPr>
            <w:r>
              <w:rPr>
                <w:color w:val="000000"/>
              </w:rPr>
              <w:t>0</w:t>
            </w:r>
          </w:p>
        </w:tc>
        <w:tc>
          <w:tcPr>
            <w:tcW w:w="639" w:type="dxa"/>
            <w:shd w:val="clear" w:color="auto" w:fill="auto"/>
            <w:vAlign w:val="center"/>
          </w:tcPr>
          <w:p w14:paraId="33037B5C" w14:textId="77777777" w:rsidR="007A1261" w:rsidRPr="00DD47DF" w:rsidRDefault="007A1261" w:rsidP="007A1261">
            <w:pPr>
              <w:pStyle w:val="Tabulka"/>
              <w:rPr>
                <w:rFonts w:cs="Calibri"/>
              </w:rPr>
            </w:pPr>
          </w:p>
        </w:tc>
        <w:tc>
          <w:tcPr>
            <w:tcW w:w="1692" w:type="dxa"/>
            <w:shd w:val="clear" w:color="auto" w:fill="auto"/>
            <w:vAlign w:val="center"/>
          </w:tcPr>
          <w:p w14:paraId="27A05782" w14:textId="77777777" w:rsidR="007A1261" w:rsidRPr="00DD47DF" w:rsidRDefault="007A1261" w:rsidP="007A1261">
            <w:pPr>
              <w:pStyle w:val="Tabulka"/>
              <w:jc w:val="right"/>
              <w:rPr>
                <w:rFonts w:cs="Calibri"/>
              </w:rPr>
            </w:pPr>
          </w:p>
        </w:tc>
        <w:tc>
          <w:tcPr>
            <w:tcW w:w="576" w:type="dxa"/>
            <w:shd w:val="clear" w:color="auto" w:fill="auto"/>
            <w:vAlign w:val="center"/>
          </w:tcPr>
          <w:p w14:paraId="4D49DCF5" w14:textId="77777777" w:rsidR="007A1261" w:rsidRPr="00DD47DF" w:rsidRDefault="007A1261" w:rsidP="007A1261">
            <w:pPr>
              <w:pStyle w:val="Tabulka"/>
              <w:rPr>
                <w:rFonts w:cs="Calibri"/>
              </w:rPr>
            </w:pPr>
          </w:p>
        </w:tc>
        <w:tc>
          <w:tcPr>
            <w:tcW w:w="1756" w:type="dxa"/>
            <w:shd w:val="clear" w:color="auto" w:fill="auto"/>
            <w:vAlign w:val="center"/>
          </w:tcPr>
          <w:p w14:paraId="25AE8ED4" w14:textId="77777777" w:rsidR="007A1261" w:rsidRPr="00DD47DF" w:rsidRDefault="007A1261" w:rsidP="007A1261">
            <w:pPr>
              <w:pStyle w:val="Tabulka"/>
              <w:jc w:val="right"/>
              <w:rPr>
                <w:rFonts w:cs="Calibri"/>
              </w:rPr>
            </w:pPr>
          </w:p>
        </w:tc>
      </w:tr>
      <w:tr w:rsidR="00AC043C" w:rsidRPr="00DD47DF" w14:paraId="1B41A93B" w14:textId="77777777">
        <w:tc>
          <w:tcPr>
            <w:tcW w:w="624" w:type="dxa"/>
            <w:shd w:val="clear" w:color="auto" w:fill="auto"/>
            <w:vAlign w:val="center"/>
          </w:tcPr>
          <w:p w14:paraId="7D2B5039" w14:textId="3F13B88F" w:rsidR="00AC043C" w:rsidRPr="00DD47DF" w:rsidRDefault="00F20E1F" w:rsidP="00DD63AD">
            <w:pPr>
              <w:pStyle w:val="Tabulka"/>
              <w:rPr>
                <w:rFonts w:cs="Calibri"/>
              </w:rPr>
            </w:pPr>
            <w:r>
              <w:rPr>
                <w:rFonts w:cs="Calibri"/>
              </w:rPr>
              <w:t>074</w:t>
            </w:r>
          </w:p>
        </w:tc>
        <w:tc>
          <w:tcPr>
            <w:tcW w:w="1707" w:type="dxa"/>
            <w:shd w:val="clear" w:color="auto" w:fill="auto"/>
            <w:vAlign w:val="center"/>
          </w:tcPr>
          <w:p w14:paraId="01B19C7D" w14:textId="6AC57E21" w:rsidR="00AC043C" w:rsidRPr="00DD47DF" w:rsidRDefault="00F20E1F" w:rsidP="009F18F5">
            <w:pPr>
              <w:pStyle w:val="Tabulka"/>
              <w:jc w:val="right"/>
              <w:rPr>
                <w:rFonts w:cs="Calibri"/>
              </w:rPr>
            </w:pPr>
            <w:r w:rsidRPr="00700E39">
              <w:rPr>
                <w:rFonts w:cs="Calibri"/>
              </w:rPr>
              <w:t>23 437 500</w:t>
            </w:r>
          </w:p>
        </w:tc>
        <w:tc>
          <w:tcPr>
            <w:tcW w:w="561" w:type="dxa"/>
            <w:shd w:val="clear" w:color="auto" w:fill="auto"/>
            <w:vAlign w:val="center"/>
          </w:tcPr>
          <w:p w14:paraId="15CD0B9A" w14:textId="77777777" w:rsidR="00AC043C" w:rsidRPr="00DD47DF" w:rsidRDefault="00AC043C" w:rsidP="00DD63AD">
            <w:pPr>
              <w:pStyle w:val="Tabulka"/>
              <w:rPr>
                <w:rFonts w:cs="Calibri"/>
              </w:rPr>
            </w:pPr>
            <w:r w:rsidRPr="00DD47DF">
              <w:rPr>
                <w:rFonts w:cs="Calibri"/>
              </w:rPr>
              <w:t>06</w:t>
            </w:r>
          </w:p>
        </w:tc>
        <w:tc>
          <w:tcPr>
            <w:tcW w:w="1771" w:type="dxa"/>
            <w:shd w:val="clear" w:color="auto" w:fill="auto"/>
            <w:vAlign w:val="bottom"/>
          </w:tcPr>
          <w:p w14:paraId="7642E285" w14:textId="0CF749D4" w:rsidR="00AC043C" w:rsidRPr="00DD47DF" w:rsidRDefault="0089207E" w:rsidP="0027176B">
            <w:pPr>
              <w:pStyle w:val="Tabulka"/>
              <w:jc w:val="right"/>
              <w:rPr>
                <w:rFonts w:cs="Calibri"/>
              </w:rPr>
            </w:pPr>
            <w:r w:rsidRPr="00700E39">
              <w:rPr>
                <w:color w:val="000000"/>
              </w:rPr>
              <w:t>4 950 000</w:t>
            </w:r>
          </w:p>
        </w:tc>
        <w:tc>
          <w:tcPr>
            <w:tcW w:w="639" w:type="dxa"/>
            <w:shd w:val="clear" w:color="auto" w:fill="auto"/>
            <w:vAlign w:val="center"/>
          </w:tcPr>
          <w:p w14:paraId="7EF8F569" w14:textId="77777777" w:rsidR="00AC043C" w:rsidRPr="00DD47DF" w:rsidRDefault="00AC043C" w:rsidP="00DD63AD">
            <w:pPr>
              <w:pStyle w:val="Tabulka"/>
              <w:rPr>
                <w:rFonts w:cs="Calibri"/>
              </w:rPr>
            </w:pPr>
          </w:p>
        </w:tc>
        <w:tc>
          <w:tcPr>
            <w:tcW w:w="1692" w:type="dxa"/>
            <w:shd w:val="clear" w:color="auto" w:fill="auto"/>
            <w:vAlign w:val="center"/>
          </w:tcPr>
          <w:p w14:paraId="2FEBA8F8" w14:textId="77777777" w:rsidR="00AC043C" w:rsidRPr="00DD47DF" w:rsidRDefault="00AC043C" w:rsidP="009F18F5">
            <w:pPr>
              <w:pStyle w:val="Tabulka"/>
              <w:jc w:val="right"/>
              <w:rPr>
                <w:rFonts w:cs="Calibri"/>
              </w:rPr>
            </w:pPr>
          </w:p>
        </w:tc>
        <w:tc>
          <w:tcPr>
            <w:tcW w:w="576" w:type="dxa"/>
            <w:shd w:val="clear" w:color="auto" w:fill="auto"/>
            <w:vAlign w:val="center"/>
          </w:tcPr>
          <w:p w14:paraId="7EBDF440" w14:textId="77777777" w:rsidR="00AC043C" w:rsidRPr="00DD47DF" w:rsidRDefault="00AC043C" w:rsidP="00450475">
            <w:pPr>
              <w:pStyle w:val="Tabulka"/>
              <w:rPr>
                <w:rFonts w:cs="Calibri"/>
              </w:rPr>
            </w:pPr>
          </w:p>
        </w:tc>
        <w:tc>
          <w:tcPr>
            <w:tcW w:w="1756" w:type="dxa"/>
            <w:shd w:val="clear" w:color="auto" w:fill="auto"/>
            <w:vAlign w:val="center"/>
          </w:tcPr>
          <w:p w14:paraId="58504A5D" w14:textId="77777777" w:rsidR="00AC043C" w:rsidRPr="00DD47DF" w:rsidRDefault="00AC043C" w:rsidP="009F18F5">
            <w:pPr>
              <w:pStyle w:val="Tabulka"/>
              <w:jc w:val="right"/>
              <w:rPr>
                <w:rFonts w:cs="Calibri"/>
              </w:rPr>
            </w:pPr>
          </w:p>
        </w:tc>
      </w:tr>
    </w:tbl>
    <w:p w14:paraId="4105EEEF" w14:textId="77777777" w:rsidR="00527A16" w:rsidRPr="00DD47DF" w:rsidRDefault="00DF23DE" w:rsidP="00441D67">
      <w:pPr>
        <w:pStyle w:val="kapitola2A0"/>
        <w:numPr>
          <w:ilvl w:val="2"/>
          <w:numId w:val="133"/>
        </w:numPr>
      </w:pPr>
      <w:bookmarkStart w:id="58" w:name="_Toc351464386"/>
      <w:bookmarkStart w:id="59" w:name="_Toc520445273"/>
      <w:r w:rsidRPr="00DD47DF">
        <w:t>Přehled plánovaného využití technické pomoci, je-li to nutné, včetně opatření na posílení správní kapacity orgánů zapojených do řízení a kontroly programů a příjemců (použije-li se)</w:t>
      </w:r>
      <w:bookmarkEnd w:id="59"/>
      <w:r w:rsidR="00527A16" w:rsidRPr="00DD47DF">
        <w:t xml:space="preserve"> </w:t>
      </w:r>
      <w:bookmarkEnd w:id="58"/>
    </w:p>
    <w:p w14:paraId="1BAC3100" w14:textId="77777777" w:rsidR="000E634D" w:rsidRPr="00DD47DF" w:rsidRDefault="00B25D99" w:rsidP="000E3FBB">
      <w:pPr>
        <w:pStyle w:val="Standardntext"/>
      </w:pPr>
      <w:r w:rsidRPr="00DD47DF">
        <w:t>Není relevantní pro OP PIK.</w:t>
      </w:r>
    </w:p>
    <w:p w14:paraId="37E08F3D" w14:textId="77777777" w:rsidR="000E3FBB" w:rsidRPr="00DD47DF" w:rsidRDefault="000E3FBB" w:rsidP="000E3FBB">
      <w:pPr>
        <w:pStyle w:val="Standardntext"/>
      </w:pPr>
      <w:r w:rsidRPr="00DD47DF">
        <w:t xml:space="preserve"> </w:t>
      </w:r>
      <w:r w:rsidRPr="00DD47DF">
        <w:br w:type="page"/>
      </w:r>
    </w:p>
    <w:p w14:paraId="3CE3E084" w14:textId="77777777" w:rsidR="008C7D72" w:rsidRPr="00DD47DF" w:rsidRDefault="008C7D72" w:rsidP="005F43DF">
      <w:pPr>
        <w:pStyle w:val="kapitola2A0"/>
        <w:numPr>
          <w:ilvl w:val="2"/>
          <w:numId w:val="17"/>
        </w:numPr>
      </w:pPr>
      <w:bookmarkStart w:id="60" w:name="_Toc351464389"/>
      <w:bookmarkStart w:id="61" w:name="_Toc520445274"/>
      <w:r w:rsidRPr="00DD47DF">
        <w:lastRenderedPageBreak/>
        <w:t>PRIORITNÍ OSA 3: Účinné nakládání energií, rozvoj energetické infrastruktury a obnovitelných zdrojů energie, podpora zavádění nových technologií v oblasti nakládání energií a druhotných surovin</w:t>
      </w:r>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gridCol w:w="498"/>
      </w:tblGrid>
      <w:tr w:rsidR="008C7D72" w:rsidRPr="00DD47DF" w14:paraId="685403FD" w14:textId="77777777">
        <w:tc>
          <w:tcPr>
            <w:tcW w:w="4736" w:type="pct"/>
            <w:shd w:val="clear" w:color="auto" w:fill="auto"/>
            <w:vAlign w:val="center"/>
          </w:tcPr>
          <w:p w14:paraId="0D28FB21" w14:textId="77777777" w:rsidR="008C7D72" w:rsidRPr="00DD47DF" w:rsidRDefault="008C7D72" w:rsidP="008C7D72">
            <w:pPr>
              <w:pStyle w:val="Tabulka"/>
              <w:jc w:val="left"/>
              <w:rPr>
                <w:rFonts w:cs="Calibri"/>
              </w:rPr>
            </w:pPr>
            <w:r w:rsidRPr="00DD47DF">
              <w:rPr>
                <w:rFonts w:cs="Calibri"/>
              </w:rPr>
              <w:t>Celá prioritní osa bude realizována výhradně prostřednictvím finančních nástrojů</w:t>
            </w:r>
          </w:p>
        </w:tc>
        <w:tc>
          <w:tcPr>
            <w:tcW w:w="264" w:type="pct"/>
            <w:shd w:val="clear" w:color="auto" w:fill="auto"/>
            <w:vAlign w:val="center"/>
          </w:tcPr>
          <w:p w14:paraId="7836C5ED" w14:textId="77777777" w:rsidR="008C7D72" w:rsidRPr="00DD47DF" w:rsidRDefault="002756E7" w:rsidP="008C7D72">
            <w:pPr>
              <w:pStyle w:val="Tabulka"/>
              <w:rPr>
                <w:rFonts w:cs="Calibri"/>
              </w:rPr>
            </w:pPr>
            <w:r w:rsidRPr="00DD47DF">
              <w:rPr>
                <w:rFonts w:cs="Calibri"/>
              </w:rPr>
              <w:fldChar w:fldCharType="begin">
                <w:ffData>
                  <w:name w:val="Check1"/>
                  <w:enabled/>
                  <w:calcOnExit w:val="0"/>
                  <w:checkBox>
                    <w:sizeAuto/>
                    <w:default w:val="0"/>
                  </w:checkBox>
                </w:ffData>
              </w:fldChar>
            </w:r>
            <w:r w:rsidR="008C7D72" w:rsidRPr="00DD47DF">
              <w:rPr>
                <w:rFonts w:cs="Calibri"/>
              </w:rPr>
              <w:instrText xml:space="preserve"> FORMCHECKBOX </w:instrText>
            </w:r>
            <w:r w:rsidR="00AF6FE3">
              <w:rPr>
                <w:rFonts w:cs="Calibri"/>
              </w:rPr>
            </w:r>
            <w:r w:rsidR="00AF6FE3">
              <w:rPr>
                <w:rFonts w:cs="Calibri"/>
              </w:rPr>
              <w:fldChar w:fldCharType="separate"/>
            </w:r>
            <w:r w:rsidRPr="00DD47DF">
              <w:rPr>
                <w:rFonts w:cs="Calibri"/>
              </w:rPr>
              <w:fldChar w:fldCharType="end"/>
            </w:r>
          </w:p>
        </w:tc>
      </w:tr>
      <w:tr w:rsidR="008C7D72" w:rsidRPr="00DD47DF" w14:paraId="41106F6A" w14:textId="77777777">
        <w:tc>
          <w:tcPr>
            <w:tcW w:w="4736" w:type="pct"/>
            <w:shd w:val="clear" w:color="auto" w:fill="auto"/>
            <w:vAlign w:val="center"/>
          </w:tcPr>
          <w:p w14:paraId="7A29FA84" w14:textId="77777777" w:rsidR="008C7D72" w:rsidRPr="00DD47DF" w:rsidRDefault="008C7D72" w:rsidP="008C7D72">
            <w:pPr>
              <w:pStyle w:val="Tabulka"/>
              <w:jc w:val="left"/>
              <w:rPr>
                <w:rFonts w:cs="Calibri"/>
              </w:rPr>
            </w:pPr>
            <w:r w:rsidRPr="00DD47DF">
              <w:rPr>
                <w:rFonts w:cs="Calibri"/>
              </w:rPr>
              <w:t>Celá prioritní osa bude realizována výhradně prostřednictvím finančních nástrojů zřízených na úrovni Unie</w:t>
            </w:r>
          </w:p>
        </w:tc>
        <w:tc>
          <w:tcPr>
            <w:tcW w:w="264" w:type="pct"/>
            <w:shd w:val="clear" w:color="auto" w:fill="auto"/>
            <w:vAlign w:val="center"/>
          </w:tcPr>
          <w:p w14:paraId="377C9297" w14:textId="77777777" w:rsidR="008C7D72" w:rsidRPr="00DD47DF" w:rsidRDefault="002756E7" w:rsidP="008C7D72">
            <w:pPr>
              <w:pStyle w:val="Tabulka"/>
              <w:rPr>
                <w:rFonts w:cs="Calibri"/>
              </w:rPr>
            </w:pPr>
            <w:r w:rsidRPr="00DD47DF">
              <w:rPr>
                <w:rFonts w:cs="Calibri"/>
              </w:rPr>
              <w:fldChar w:fldCharType="begin">
                <w:ffData>
                  <w:name w:val="Check1"/>
                  <w:enabled/>
                  <w:calcOnExit w:val="0"/>
                  <w:checkBox>
                    <w:sizeAuto/>
                    <w:default w:val="0"/>
                  </w:checkBox>
                </w:ffData>
              </w:fldChar>
            </w:r>
            <w:r w:rsidR="008C7D72" w:rsidRPr="00DD47DF">
              <w:rPr>
                <w:rFonts w:cs="Calibri"/>
              </w:rPr>
              <w:instrText xml:space="preserve"> FORMCHECKBOX </w:instrText>
            </w:r>
            <w:r w:rsidR="00AF6FE3">
              <w:rPr>
                <w:rFonts w:cs="Calibri"/>
              </w:rPr>
            </w:r>
            <w:r w:rsidR="00AF6FE3">
              <w:rPr>
                <w:rFonts w:cs="Calibri"/>
              </w:rPr>
              <w:fldChar w:fldCharType="separate"/>
            </w:r>
            <w:r w:rsidRPr="00DD47DF">
              <w:rPr>
                <w:rFonts w:cs="Calibri"/>
              </w:rPr>
              <w:fldChar w:fldCharType="end"/>
            </w:r>
          </w:p>
        </w:tc>
      </w:tr>
      <w:tr w:rsidR="008C7D72" w:rsidRPr="00DD47DF" w14:paraId="1137E97F" w14:textId="77777777">
        <w:tc>
          <w:tcPr>
            <w:tcW w:w="4736" w:type="pct"/>
            <w:shd w:val="clear" w:color="auto" w:fill="auto"/>
            <w:vAlign w:val="center"/>
          </w:tcPr>
          <w:p w14:paraId="2E8F1711" w14:textId="77777777" w:rsidR="008C7D72" w:rsidRPr="00DD47DF" w:rsidRDefault="008C7D72" w:rsidP="008C7D72">
            <w:pPr>
              <w:pStyle w:val="Tabulka"/>
              <w:jc w:val="left"/>
              <w:rPr>
                <w:rFonts w:cs="Calibri"/>
              </w:rPr>
            </w:pPr>
            <w:r w:rsidRPr="00DD47DF">
              <w:rPr>
                <w:rFonts w:cs="Calibri"/>
              </w:rPr>
              <w:t>Celá prioritní osa bude realizována výhradně prostřednictvím komunitně vedeného místního rozvoje</w:t>
            </w:r>
          </w:p>
        </w:tc>
        <w:tc>
          <w:tcPr>
            <w:tcW w:w="264" w:type="pct"/>
            <w:shd w:val="clear" w:color="auto" w:fill="auto"/>
            <w:vAlign w:val="center"/>
          </w:tcPr>
          <w:p w14:paraId="4274ADAF" w14:textId="77777777" w:rsidR="008C7D72" w:rsidRPr="00DD47DF" w:rsidRDefault="002756E7" w:rsidP="008C7D72">
            <w:pPr>
              <w:pStyle w:val="Tabulka"/>
              <w:rPr>
                <w:rFonts w:cs="Calibri"/>
              </w:rPr>
            </w:pPr>
            <w:r w:rsidRPr="00DD47DF">
              <w:rPr>
                <w:rFonts w:cs="Calibri"/>
              </w:rPr>
              <w:fldChar w:fldCharType="begin">
                <w:ffData>
                  <w:name w:val="Check1"/>
                  <w:enabled/>
                  <w:calcOnExit w:val="0"/>
                  <w:checkBox>
                    <w:sizeAuto/>
                    <w:default w:val="0"/>
                  </w:checkBox>
                </w:ffData>
              </w:fldChar>
            </w:r>
            <w:r w:rsidR="008C7D72" w:rsidRPr="00DD47DF">
              <w:rPr>
                <w:rFonts w:cs="Calibri"/>
              </w:rPr>
              <w:instrText xml:space="preserve"> FORMCHECKBOX </w:instrText>
            </w:r>
            <w:r w:rsidR="00AF6FE3">
              <w:rPr>
                <w:rFonts w:cs="Calibri"/>
              </w:rPr>
            </w:r>
            <w:r w:rsidR="00AF6FE3">
              <w:rPr>
                <w:rFonts w:cs="Calibri"/>
              </w:rPr>
              <w:fldChar w:fldCharType="separate"/>
            </w:r>
            <w:r w:rsidRPr="00DD47DF">
              <w:rPr>
                <w:rFonts w:cs="Calibri"/>
              </w:rPr>
              <w:fldChar w:fldCharType="end"/>
            </w:r>
          </w:p>
        </w:tc>
      </w:tr>
    </w:tbl>
    <w:p w14:paraId="2905553A" w14:textId="77777777" w:rsidR="008C7D72" w:rsidRPr="00DD47DF" w:rsidRDefault="008C7D72" w:rsidP="005F43DF">
      <w:pPr>
        <w:pStyle w:val="kapitola2A0"/>
        <w:numPr>
          <w:ilvl w:val="2"/>
          <w:numId w:val="17"/>
        </w:numPr>
      </w:pPr>
      <w:bookmarkStart w:id="62" w:name="_Toc520445275"/>
      <w:r w:rsidRPr="00DD47DF">
        <w:t>Odůvodnění pro vytvoření prioritní osy, která zahrnuje více než jednu kategorii regionů nebo více než jeden tematický cíl či fond</w:t>
      </w:r>
      <w:bookmarkEnd w:id="62"/>
      <w:r w:rsidRPr="00DD47DF">
        <w:t xml:space="preserve"> </w:t>
      </w:r>
    </w:p>
    <w:p w14:paraId="4CA34C5D" w14:textId="77777777" w:rsidR="000B16DC" w:rsidRPr="00DD47DF" w:rsidRDefault="000B16DC" w:rsidP="000B16DC">
      <w:pPr>
        <w:pStyle w:val="Standardntext"/>
      </w:pPr>
      <w:r w:rsidRPr="00DD47DF">
        <w:t xml:space="preserve">V souladu s čl. 96 odst. 1 písm. c) kombinuje tato prioritní osa investiční priority z různých tematických cílů. Za základní tematický cíl této prioritní </w:t>
      </w:r>
      <w:r w:rsidR="00127389" w:rsidRPr="00DD47DF">
        <w:t xml:space="preserve">osy </w:t>
      </w:r>
      <w:r w:rsidRPr="00DD47DF">
        <w:t>lze považovat TC 4, který je doplněn investiční prioritou „zvyšování energetické účinnosti a zabezpečení dodávek prostřednictvím rozvoje inteligentních systémů pro distribuci, skladování a přenos energie a prostřednictvím integrace distribuované výroby z obnovitelných zdrojů“ v rámci TC 7.</w:t>
      </w:r>
    </w:p>
    <w:p w14:paraId="2FB571C4" w14:textId="77777777" w:rsidR="004C3774" w:rsidRPr="00DD47DF" w:rsidRDefault="00DA19E2" w:rsidP="004C3774">
      <w:pPr>
        <w:pStyle w:val="Standardntext"/>
      </w:pPr>
      <w:r w:rsidRPr="00DD47DF">
        <w:t>Řídící orgán přistoupil ke kombinaci tematických cílů TC 4 a TC 7 z důvodu potřeby komplexních intervencí v celé elektrizační soustavě (přenosová soustava a distribuční soustavy). Tento komplexní přístup přinese kvalitativně vyšší přínosy pro posílení bezpečnosti, spolehlivosti</w:t>
      </w:r>
      <w:r w:rsidR="00BA4E72" w:rsidRPr="00DD47DF">
        <w:t xml:space="preserve"> </w:t>
      </w:r>
      <w:r w:rsidRPr="00DD47DF">
        <w:t>a kvality dodávky elektrické energie a zároveň umožní dobudovat vnitřní trh s elektřinou, umožní integrac</w:t>
      </w:r>
      <w:r w:rsidR="009D1769" w:rsidRPr="00DD47DF">
        <w:t>i</w:t>
      </w:r>
      <w:r w:rsidRPr="00DD47DF">
        <w:t xml:space="preserve"> decentrálních zdrojů včetně OZE do distribučních soustav a efektivnější nakládání energií. Toto </w:t>
      </w:r>
      <w:r w:rsidR="009D1769" w:rsidRPr="00DD47DF">
        <w:t>komplexní</w:t>
      </w:r>
      <w:r w:rsidRPr="00DD47DF">
        <w:t xml:space="preserve"> řešení přinese vyšší kvalitu přínosů, než kdyby byly intervence realizovány pouze v oblasti distribuce či přenosu</w:t>
      </w:r>
      <w:r w:rsidR="00A72338" w:rsidRPr="00DD47DF">
        <w:t xml:space="preserve"> samostatně</w:t>
      </w:r>
      <w:r w:rsidRPr="00DD47DF">
        <w:t xml:space="preserve"> anebo by byly obě oblasti separátně podporovány z různých operačních programů.</w:t>
      </w:r>
    </w:p>
    <w:p w14:paraId="5EDA27D8" w14:textId="77777777" w:rsidR="008C7D72" w:rsidRPr="00DD47DF" w:rsidRDefault="008C7D72" w:rsidP="005F43DF">
      <w:pPr>
        <w:pStyle w:val="kapitola2A0"/>
        <w:numPr>
          <w:ilvl w:val="2"/>
          <w:numId w:val="17"/>
        </w:numPr>
      </w:pPr>
      <w:bookmarkStart w:id="63" w:name="_Toc520445276"/>
      <w:r w:rsidRPr="00DD47DF">
        <w:t>Fond, kategorie regionů a základ pro výpočet podpory Unie</w:t>
      </w:r>
      <w:bookmarkEnd w:id="63"/>
    </w:p>
    <w:p w14:paraId="723779C9" w14:textId="77777777" w:rsidR="008C7D72" w:rsidRPr="00DD47DF" w:rsidRDefault="008C7D72" w:rsidP="008C7D72">
      <w:pPr>
        <w:pStyle w:val="Standardntext"/>
      </w:pPr>
      <w:r w:rsidRPr="00DD47DF">
        <w:t>Fond: Evropský fond pro regionální rozvoj</w:t>
      </w:r>
    </w:p>
    <w:p w14:paraId="5547F893" w14:textId="77777777" w:rsidR="008C7D72" w:rsidRPr="00DD47DF" w:rsidRDefault="008C7D72" w:rsidP="008C7D72">
      <w:pPr>
        <w:pStyle w:val="Standardntext"/>
      </w:pPr>
      <w:r w:rsidRPr="00DD47DF">
        <w:t>Kategorie regionů: Méně rozvinuté regiony</w:t>
      </w:r>
    </w:p>
    <w:p w14:paraId="4517F040" w14:textId="77777777" w:rsidR="008C7D72" w:rsidRPr="00DD47DF" w:rsidRDefault="008668C8" w:rsidP="008C7D72">
      <w:pPr>
        <w:pStyle w:val="Standardntext"/>
      </w:pPr>
      <w:r w:rsidRPr="00DD47DF">
        <w:t xml:space="preserve">Základ pro výpočet: </w:t>
      </w:r>
      <w:r w:rsidR="009B6147" w:rsidRPr="00DD47DF">
        <w:t>celkové způsobilé výdaje</w:t>
      </w:r>
    </w:p>
    <w:p w14:paraId="4268A0B7" w14:textId="77777777" w:rsidR="008C7D72" w:rsidRPr="00DD47DF" w:rsidRDefault="008C7D72" w:rsidP="005F43DF">
      <w:pPr>
        <w:pStyle w:val="kapitola2A0"/>
        <w:numPr>
          <w:ilvl w:val="2"/>
          <w:numId w:val="17"/>
        </w:numPr>
      </w:pPr>
      <w:bookmarkStart w:id="64" w:name="_Toc520445277"/>
      <w:r w:rsidRPr="00DD47DF">
        <w:t xml:space="preserve">INVESTIČNÍ PRIORITA 1 prioritní osy </w:t>
      </w:r>
      <w:r w:rsidR="00AA66A2" w:rsidRPr="00DD47DF">
        <w:t>3</w:t>
      </w:r>
      <w:r w:rsidRPr="00DD47DF">
        <w:t xml:space="preserve">: Podpora výroby a distribuce energie </w:t>
      </w:r>
      <w:r w:rsidR="00AA66A2" w:rsidRPr="00DD47DF">
        <w:t>pocházející</w:t>
      </w:r>
      <w:r w:rsidRPr="00DD47DF">
        <w:t xml:space="preserve"> z obnovitelných zdrojů</w:t>
      </w:r>
      <w:bookmarkEnd w:id="64"/>
    </w:p>
    <w:p w14:paraId="42EA61AD" w14:textId="77777777" w:rsidR="00FB38B2" w:rsidRPr="00DD47DF" w:rsidRDefault="008C7D72" w:rsidP="005F43DF">
      <w:pPr>
        <w:pStyle w:val="kapitola2A0"/>
        <w:numPr>
          <w:ilvl w:val="2"/>
          <w:numId w:val="17"/>
        </w:numPr>
      </w:pPr>
      <w:bookmarkStart w:id="65" w:name="_Toc520445278"/>
      <w:r w:rsidRPr="00DD47DF">
        <w:t>Specifické cíle odpovídající investiční prioritě a očekávané výsledky</w:t>
      </w:r>
      <w:bookmarkEnd w:id="65"/>
    </w:p>
    <w:p w14:paraId="34B1F17B" w14:textId="77777777" w:rsidR="00EC0F1D" w:rsidRPr="00DD47DF" w:rsidRDefault="00EC0F1D" w:rsidP="00396141">
      <w:pPr>
        <w:pStyle w:val="Modrnadpis"/>
      </w:pPr>
      <w:r w:rsidRPr="00DD47DF">
        <w:t xml:space="preserve">SPECIFICKÝ CÍL </w:t>
      </w:r>
      <w:r w:rsidR="00C71E6F" w:rsidRPr="00DD47DF">
        <w:t>3.</w:t>
      </w:r>
      <w:r w:rsidRPr="00DD47DF">
        <w:t xml:space="preserve">1: </w:t>
      </w:r>
      <w:r w:rsidR="00B75515" w:rsidRPr="00DD47DF">
        <w:t>Zvýšit podíl výroby energie z obnovitelných zdrojů na hrubé konečné spotřebě ČR</w:t>
      </w:r>
    </w:p>
    <w:bookmarkEnd w:id="60"/>
    <w:p w14:paraId="2989C80A" w14:textId="77777777" w:rsidR="00047389" w:rsidRPr="00DD47DF" w:rsidRDefault="004B5246" w:rsidP="00B73547">
      <w:pPr>
        <w:pStyle w:val="Standardntext"/>
      </w:pPr>
      <w:r w:rsidRPr="00DD47DF">
        <w:t>V energetickém mixu Č</w:t>
      </w:r>
      <w:r w:rsidR="00E97809" w:rsidRPr="00DD47DF">
        <w:t>R</w:t>
      </w:r>
      <w:r w:rsidRPr="00DD47DF">
        <w:t xml:space="preserve"> hrají dlouhodobě nejvýznamnější roli klasické zdroje energie na úkor zdrojů moderních, obnovitelných, šetrných k životnímu prostředí.</w:t>
      </w:r>
      <w:r w:rsidR="00B73547" w:rsidRPr="00DD47DF">
        <w:t xml:space="preserve"> </w:t>
      </w:r>
      <w:r w:rsidRPr="00DD47DF">
        <w:t xml:space="preserve">Širšímu zavedení výroby energie z OZE brání vyšší nákladovost prvotní investice, která je stále vyšší než náklady na </w:t>
      </w:r>
      <w:r w:rsidR="00320FE6" w:rsidRPr="00DD47DF">
        <w:t>konvenční</w:t>
      </w:r>
      <w:r w:rsidRPr="00DD47DF">
        <w:t xml:space="preserve"> zdroje. </w:t>
      </w:r>
      <w:r w:rsidR="00510368" w:rsidRPr="00DD47DF">
        <w:t xml:space="preserve">Hlavním cílem je podpora </w:t>
      </w:r>
      <w:r w:rsidRPr="00DD47DF">
        <w:t>udržitelnosti české ekonomiky</w:t>
      </w:r>
      <w:r w:rsidR="00510368" w:rsidRPr="00DD47DF">
        <w:t xml:space="preserve"> prostřednictvím využívání </w:t>
      </w:r>
      <w:r w:rsidR="00E97809" w:rsidRPr="00DD47DF">
        <w:t>OZE</w:t>
      </w:r>
      <w:r w:rsidR="0056661C" w:rsidRPr="00DD47DF">
        <w:t xml:space="preserve"> s největší efektivitou a bez negativního vlivu na elektrizační soustavu.</w:t>
      </w:r>
    </w:p>
    <w:p w14:paraId="25CBDEA2" w14:textId="77777777" w:rsidR="003F4488" w:rsidRPr="00DD47DF" w:rsidRDefault="003508A9" w:rsidP="0056661C">
      <w:pPr>
        <w:pStyle w:val="Modrnadpis"/>
      </w:pPr>
      <w:r w:rsidRPr="00DD47DF">
        <w:lastRenderedPageBreak/>
        <w:t>Výsledky, kterých chce ČR dosáhnout s podporou Unie</w:t>
      </w:r>
    </w:p>
    <w:p w14:paraId="1928ACC5" w14:textId="77777777" w:rsidR="00DF4F92" w:rsidRPr="00DD47DF" w:rsidRDefault="001F2A61" w:rsidP="00D927A2">
      <w:pPr>
        <w:pStyle w:val="Standardntext"/>
        <w:numPr>
          <w:ilvl w:val="0"/>
          <w:numId w:val="38"/>
        </w:numPr>
      </w:pPr>
      <w:r w:rsidRPr="00DD47DF">
        <w:t>Pří</w:t>
      </w:r>
      <w:r w:rsidR="00DF4F92" w:rsidRPr="00DD47DF">
        <w:t>sp</w:t>
      </w:r>
      <w:r w:rsidRPr="00DD47DF">
        <w:t>ěvek</w:t>
      </w:r>
      <w:r w:rsidR="00DF4F92" w:rsidRPr="00DD47DF">
        <w:t xml:space="preserve"> k naplnění cíle </w:t>
      </w:r>
      <w:r w:rsidR="003A5BAE" w:rsidRPr="00DD47DF">
        <w:t>dosáhnout podílu energie z OZE na hrubé koneč</w:t>
      </w:r>
      <w:r w:rsidR="00D95417" w:rsidRPr="00DD47DF">
        <w:t>né spotřebě energie ve výši 13</w:t>
      </w:r>
      <w:r w:rsidR="003A5BAE" w:rsidRPr="00DD47DF">
        <w:t xml:space="preserve"> % do r. 2020</w:t>
      </w:r>
      <w:r w:rsidR="00DF4F92" w:rsidRPr="00DD47DF">
        <w:t>.</w:t>
      </w:r>
      <w:r w:rsidR="004B5246" w:rsidRPr="00DD47DF">
        <w:t xml:space="preserve"> S tím souvisí snížení spotřeby primárních zdrojů.</w:t>
      </w:r>
    </w:p>
    <w:p w14:paraId="4878B2B8" w14:textId="77777777" w:rsidR="0056661C" w:rsidRPr="00DD47DF" w:rsidRDefault="0056661C" w:rsidP="00D927A2">
      <w:pPr>
        <w:pStyle w:val="Standardntext"/>
        <w:numPr>
          <w:ilvl w:val="0"/>
          <w:numId w:val="38"/>
        </w:numPr>
      </w:pPr>
      <w:r w:rsidRPr="00DD47DF">
        <w:t>Zvýšení efektivnosti využití všech typů energetických zdrojů OZE relevantních pro ČR.</w:t>
      </w:r>
    </w:p>
    <w:p w14:paraId="596D1CAD" w14:textId="77777777" w:rsidR="00510368" w:rsidRPr="00DD47DF" w:rsidRDefault="00510368" w:rsidP="00D927A2">
      <w:pPr>
        <w:pStyle w:val="Standardntext"/>
        <w:numPr>
          <w:ilvl w:val="0"/>
          <w:numId w:val="38"/>
        </w:numPr>
      </w:pPr>
      <w:r w:rsidRPr="00DD47DF">
        <w:t>Sníž</w:t>
      </w:r>
      <w:r w:rsidR="004B5246" w:rsidRPr="00DD47DF">
        <w:t>ení</w:t>
      </w:r>
      <w:r w:rsidRPr="00DD47DF">
        <w:t xml:space="preserve"> dovozní závislost</w:t>
      </w:r>
      <w:r w:rsidR="004B5246" w:rsidRPr="00DD47DF">
        <w:t>i</w:t>
      </w:r>
      <w:r w:rsidRPr="00DD47DF">
        <w:t xml:space="preserve"> na palivech z geopoliticky nestabilních regionů.</w:t>
      </w:r>
    </w:p>
    <w:p w14:paraId="49F1FEE6" w14:textId="77777777" w:rsidR="00510368" w:rsidRPr="00DD47DF" w:rsidRDefault="00510368" w:rsidP="00D927A2">
      <w:pPr>
        <w:pStyle w:val="Standardntext"/>
        <w:numPr>
          <w:ilvl w:val="0"/>
          <w:numId w:val="38"/>
        </w:numPr>
      </w:pPr>
      <w:r w:rsidRPr="00DD47DF">
        <w:t>Rozvoj podnikatelských aktivit v dodavatelském řetězci od vývoje, výroby, přes instalaci zdroje energie až po výrobu energie.</w:t>
      </w:r>
    </w:p>
    <w:p w14:paraId="63CCA687" w14:textId="77777777" w:rsidR="00320FE6" w:rsidRPr="00DD47DF" w:rsidRDefault="00320FE6" w:rsidP="00D927A2">
      <w:pPr>
        <w:pStyle w:val="Standardntext"/>
        <w:numPr>
          <w:ilvl w:val="0"/>
          <w:numId w:val="38"/>
        </w:numPr>
      </w:pPr>
      <w:r w:rsidRPr="00DD47DF">
        <w:t>Pozitivní dopad využívání OZE na životní prostředí a ochranu klimatu, např. v podobě snížení emisí skleníkových plynů.</w:t>
      </w:r>
    </w:p>
    <w:p w14:paraId="3D1D753D" w14:textId="77777777" w:rsidR="00002031" w:rsidRPr="00DD47DF" w:rsidRDefault="00002031" w:rsidP="00C71E6F">
      <w:pPr>
        <w:pStyle w:val="Titulek"/>
        <w:keepNext/>
        <w:keepLines/>
        <w:rPr>
          <w:rFonts w:cs="Calibri"/>
        </w:rPr>
      </w:pPr>
      <w:r w:rsidRPr="00DD47DF">
        <w:rPr>
          <w:rFonts w:cs="Calibri"/>
        </w:rPr>
        <w:t xml:space="preserve">Tabulka </w:t>
      </w:r>
      <w:r w:rsidR="002756E7" w:rsidRPr="00DD47DF">
        <w:rPr>
          <w:rFonts w:cs="Calibri"/>
        </w:rPr>
        <w:fldChar w:fldCharType="begin"/>
      </w:r>
      <w:r w:rsidR="00F7325F"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5000" w:type="pct"/>
        <w:tblCellMar>
          <w:left w:w="57" w:type="dxa"/>
          <w:right w:w="57" w:type="dxa"/>
        </w:tblCellMar>
        <w:tblLook w:val="01E0" w:firstRow="1" w:lastRow="1" w:firstColumn="1" w:lastColumn="1" w:noHBand="0" w:noVBand="0"/>
      </w:tblPr>
      <w:tblGrid>
        <w:gridCol w:w="909"/>
        <w:gridCol w:w="1533"/>
        <w:gridCol w:w="1003"/>
        <w:gridCol w:w="1207"/>
        <w:gridCol w:w="885"/>
        <w:gridCol w:w="873"/>
        <w:gridCol w:w="1017"/>
        <w:gridCol w:w="901"/>
        <w:gridCol w:w="998"/>
      </w:tblGrid>
      <w:tr w:rsidR="00CF739D" w:rsidRPr="00DD47DF" w14:paraId="5A12D6BF" w14:textId="77777777" w:rsidTr="008F259C">
        <w:trPr>
          <w:trHeight w:hRule="exact" w:val="1297"/>
        </w:trPr>
        <w:tc>
          <w:tcPr>
            <w:tcW w:w="48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E278A17" w14:textId="77777777" w:rsidR="00CF739D" w:rsidRPr="00DD47DF" w:rsidRDefault="00CF739D" w:rsidP="00CF739D">
            <w:pPr>
              <w:pStyle w:val="Tabulka"/>
              <w:keepNext/>
              <w:keepLines/>
              <w:rPr>
                <w:rFonts w:cs="Calibri"/>
                <w:b/>
                <w:bCs/>
              </w:rPr>
            </w:pPr>
            <w:r w:rsidRPr="00DD47DF">
              <w:rPr>
                <w:rFonts w:cs="Calibri"/>
                <w:b/>
                <w:bCs/>
              </w:rPr>
              <w:t>ID</w:t>
            </w:r>
          </w:p>
        </w:tc>
        <w:tc>
          <w:tcPr>
            <w:tcW w:w="822"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3DE96188" w14:textId="77777777" w:rsidR="00CF739D" w:rsidRPr="00DD47DF" w:rsidRDefault="00CF739D" w:rsidP="00CF739D">
            <w:pPr>
              <w:pStyle w:val="Tabulka"/>
              <w:keepNext/>
              <w:keepLines/>
              <w:rPr>
                <w:rFonts w:cs="Calibri"/>
                <w:b/>
                <w:bCs/>
              </w:rPr>
            </w:pPr>
            <w:r w:rsidRPr="00DD47DF">
              <w:rPr>
                <w:rFonts w:cs="Calibri"/>
                <w:b/>
                <w:bCs/>
              </w:rPr>
              <w:t>Ukazatel</w:t>
            </w:r>
          </w:p>
        </w:tc>
        <w:tc>
          <w:tcPr>
            <w:tcW w:w="538"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3D4F7BB1" w14:textId="77777777" w:rsidR="00CF739D" w:rsidRPr="00DD47DF" w:rsidRDefault="00CF739D" w:rsidP="00CF739D">
            <w:pPr>
              <w:pStyle w:val="Tabulka"/>
              <w:keepNext/>
              <w:keepLines/>
              <w:rPr>
                <w:rFonts w:cs="Calibri"/>
                <w:b/>
                <w:bCs/>
              </w:rPr>
            </w:pPr>
            <w:r w:rsidRPr="00DD47DF">
              <w:rPr>
                <w:rFonts w:cs="Calibri"/>
                <w:b/>
                <w:bCs/>
              </w:rPr>
              <w:t>Měrná</w:t>
            </w:r>
          </w:p>
          <w:p w14:paraId="2D49149C" w14:textId="77777777" w:rsidR="00CF739D" w:rsidRPr="00DD47DF" w:rsidRDefault="00CF739D" w:rsidP="00CF739D">
            <w:pPr>
              <w:pStyle w:val="Tabulka"/>
              <w:keepNext/>
              <w:keepLines/>
              <w:rPr>
                <w:rFonts w:cs="Calibri"/>
                <w:b/>
                <w:bCs/>
              </w:rPr>
            </w:pPr>
            <w:r w:rsidRPr="00DD47DF">
              <w:rPr>
                <w:rFonts w:cs="Calibri"/>
                <w:b/>
                <w:bCs/>
              </w:rPr>
              <w:t>jednotka</w:t>
            </w:r>
          </w:p>
        </w:tc>
        <w:tc>
          <w:tcPr>
            <w:tcW w:w="64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7A8804F" w14:textId="77777777" w:rsidR="00CF739D" w:rsidRPr="00DD47DF" w:rsidRDefault="00CF739D" w:rsidP="00CF739D">
            <w:pPr>
              <w:pStyle w:val="Tabulka"/>
              <w:keepNext/>
              <w:keepLines/>
              <w:rPr>
                <w:rFonts w:cs="Calibri"/>
                <w:b/>
                <w:bCs/>
              </w:rPr>
            </w:pPr>
            <w:r w:rsidRPr="00DD47DF">
              <w:rPr>
                <w:rFonts w:cs="Calibri"/>
                <w:b/>
                <w:bCs/>
              </w:rPr>
              <w:t>Kategorie regionů (je-li relevantní)</w:t>
            </w:r>
          </w:p>
        </w:tc>
        <w:tc>
          <w:tcPr>
            <w:tcW w:w="474"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464F3628" w14:textId="77777777" w:rsidR="00CF739D" w:rsidRPr="00DD47DF" w:rsidRDefault="004B0854" w:rsidP="00CF739D">
            <w:pPr>
              <w:pStyle w:val="Tabulka"/>
              <w:keepNext/>
              <w:keepLines/>
              <w:rPr>
                <w:rFonts w:cs="Calibri"/>
                <w:b/>
                <w:bCs/>
              </w:rPr>
            </w:pPr>
            <w:r w:rsidRPr="00DD47DF">
              <w:rPr>
                <w:rFonts w:cs="Calibri"/>
                <w:b/>
                <w:bCs/>
              </w:rPr>
              <w:t>Výchozí hodnota</w:t>
            </w:r>
          </w:p>
        </w:tc>
        <w:tc>
          <w:tcPr>
            <w:tcW w:w="468"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7DD861A" w14:textId="77777777" w:rsidR="00CF739D" w:rsidRPr="00DD47DF" w:rsidRDefault="004B0854" w:rsidP="004B0854">
            <w:pPr>
              <w:pStyle w:val="Tabulka"/>
              <w:keepNext/>
              <w:keepLines/>
              <w:rPr>
                <w:rFonts w:cs="Calibri"/>
                <w:b/>
                <w:bCs/>
              </w:rPr>
            </w:pPr>
            <w:r w:rsidRPr="00DD47DF">
              <w:rPr>
                <w:rFonts w:cs="Calibri"/>
                <w:b/>
                <w:bCs/>
              </w:rPr>
              <w:t xml:space="preserve">Výchozí </w:t>
            </w:r>
            <w:r w:rsidR="00CF739D" w:rsidRPr="00DD47DF">
              <w:rPr>
                <w:rFonts w:cs="Calibri"/>
                <w:b/>
                <w:bCs/>
              </w:rPr>
              <w:t>rok</w:t>
            </w:r>
          </w:p>
        </w:tc>
        <w:tc>
          <w:tcPr>
            <w:tcW w:w="545"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386E9107" w14:textId="77777777" w:rsidR="00CF739D" w:rsidRPr="00DD47DF" w:rsidRDefault="00CF739D" w:rsidP="00CF739D">
            <w:pPr>
              <w:pStyle w:val="Tabulka"/>
              <w:keepNext/>
              <w:keepLines/>
              <w:rPr>
                <w:rFonts w:cs="Calibri"/>
                <w:b/>
                <w:bCs/>
              </w:rPr>
            </w:pPr>
            <w:r w:rsidRPr="00DD47DF">
              <w:rPr>
                <w:rFonts w:cs="Calibri"/>
                <w:b/>
                <w:bCs/>
              </w:rPr>
              <w:t>Cílová hodnota (2023)</w:t>
            </w:r>
          </w:p>
        </w:tc>
        <w:tc>
          <w:tcPr>
            <w:tcW w:w="483"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4BE7D82" w14:textId="77777777" w:rsidR="00CF739D" w:rsidRPr="00DD47DF" w:rsidRDefault="00CF739D" w:rsidP="00CF739D">
            <w:pPr>
              <w:pStyle w:val="Tabulka"/>
              <w:keepNext/>
              <w:keepLines/>
              <w:rPr>
                <w:rFonts w:cs="Calibri"/>
                <w:b/>
                <w:bCs/>
              </w:rPr>
            </w:pPr>
            <w:r w:rsidRPr="00DD47DF">
              <w:rPr>
                <w:rFonts w:cs="Calibri"/>
                <w:b/>
                <w:bCs/>
              </w:rPr>
              <w:t>Zdroj údajů</w:t>
            </w:r>
          </w:p>
        </w:tc>
        <w:tc>
          <w:tcPr>
            <w:tcW w:w="535"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1AE18E0A" w14:textId="77777777" w:rsidR="00CF739D" w:rsidRPr="00DD47DF" w:rsidRDefault="00CF739D" w:rsidP="00CF739D">
            <w:pPr>
              <w:pStyle w:val="Tabulka"/>
              <w:keepNext/>
              <w:keepLines/>
              <w:rPr>
                <w:rFonts w:cs="Calibri"/>
                <w:b/>
                <w:bCs/>
              </w:rPr>
            </w:pPr>
            <w:r w:rsidRPr="00DD47DF">
              <w:rPr>
                <w:rFonts w:cs="Calibri"/>
                <w:b/>
                <w:bCs/>
              </w:rPr>
              <w:t>Četnost podávání zpráv</w:t>
            </w:r>
          </w:p>
        </w:tc>
      </w:tr>
      <w:tr w:rsidR="00B75CCB" w:rsidRPr="00DD47DF" w14:paraId="648B029E" w14:textId="77777777" w:rsidTr="008F259C">
        <w:trPr>
          <w:trHeight w:hRule="exact" w:val="1751"/>
        </w:trPr>
        <w:tc>
          <w:tcPr>
            <w:tcW w:w="487" w:type="pct"/>
            <w:tcBorders>
              <w:top w:val="single" w:sz="4" w:space="0" w:color="000000"/>
              <w:left w:val="single" w:sz="4" w:space="0" w:color="000000"/>
              <w:bottom w:val="single" w:sz="4" w:space="0" w:color="000000"/>
              <w:right w:val="single" w:sz="4" w:space="0" w:color="000000"/>
            </w:tcBorders>
            <w:vAlign w:val="center"/>
          </w:tcPr>
          <w:p w14:paraId="1FC5314F" w14:textId="77777777" w:rsidR="00B75CCB" w:rsidRPr="00DD47DF" w:rsidRDefault="0061119C" w:rsidP="00C71E6F">
            <w:pPr>
              <w:pStyle w:val="Tabulka"/>
              <w:keepNext/>
              <w:keepLines/>
              <w:rPr>
                <w:rFonts w:cs="Calibri"/>
              </w:rPr>
            </w:pPr>
            <w:r w:rsidRPr="00DD47DF">
              <w:rPr>
                <w:rFonts w:cs="Calibri"/>
              </w:rPr>
              <w:t>33910</w:t>
            </w:r>
          </w:p>
        </w:tc>
        <w:tc>
          <w:tcPr>
            <w:tcW w:w="822" w:type="pct"/>
            <w:tcBorders>
              <w:top w:val="single" w:sz="4" w:space="0" w:color="000000"/>
              <w:left w:val="single" w:sz="4" w:space="0" w:color="000000"/>
              <w:bottom w:val="single" w:sz="4" w:space="0" w:color="000000"/>
              <w:right w:val="single" w:sz="4" w:space="0" w:color="000000"/>
            </w:tcBorders>
            <w:vAlign w:val="center"/>
          </w:tcPr>
          <w:p w14:paraId="6B0167F5" w14:textId="77777777" w:rsidR="00B75CCB" w:rsidRPr="00DD47DF" w:rsidRDefault="00B75CCB" w:rsidP="00C71E6F">
            <w:pPr>
              <w:pStyle w:val="Tabulka"/>
              <w:keepNext/>
              <w:keepLines/>
              <w:jc w:val="left"/>
              <w:rPr>
                <w:rFonts w:cs="Calibri"/>
              </w:rPr>
            </w:pPr>
            <w:r w:rsidRPr="00DD47DF">
              <w:rPr>
                <w:rFonts w:cs="Calibri"/>
              </w:rPr>
              <w:t>Celkový instalovaný výkon</w:t>
            </w:r>
            <w:r w:rsidR="009F214F" w:rsidRPr="00DD47DF">
              <w:rPr>
                <w:rFonts w:cs="Calibri"/>
              </w:rPr>
              <w:t xml:space="preserve"> z OZE</w:t>
            </w:r>
          </w:p>
        </w:tc>
        <w:tc>
          <w:tcPr>
            <w:tcW w:w="538" w:type="pct"/>
            <w:tcBorders>
              <w:top w:val="single" w:sz="4" w:space="0" w:color="000000"/>
              <w:left w:val="single" w:sz="4" w:space="0" w:color="000000"/>
              <w:bottom w:val="single" w:sz="4" w:space="0" w:color="000000"/>
              <w:right w:val="single" w:sz="4" w:space="0" w:color="000000"/>
            </w:tcBorders>
            <w:vAlign w:val="center"/>
          </w:tcPr>
          <w:p w14:paraId="2FFE0E0D" w14:textId="77777777" w:rsidR="00B75CCB" w:rsidRPr="00DD47DF" w:rsidRDefault="00B75CCB" w:rsidP="00C71E6F">
            <w:pPr>
              <w:pStyle w:val="Tabulka"/>
              <w:keepNext/>
              <w:keepLines/>
              <w:rPr>
                <w:rFonts w:cs="Calibri"/>
              </w:rPr>
            </w:pPr>
            <w:r w:rsidRPr="00DD47DF">
              <w:rPr>
                <w:rFonts w:cs="Calibri"/>
              </w:rPr>
              <w:t>MW</w:t>
            </w:r>
          </w:p>
        </w:tc>
        <w:tc>
          <w:tcPr>
            <w:tcW w:w="647" w:type="pct"/>
            <w:tcBorders>
              <w:top w:val="single" w:sz="4" w:space="0" w:color="000000"/>
              <w:left w:val="single" w:sz="4" w:space="0" w:color="000000"/>
              <w:bottom w:val="single" w:sz="4" w:space="0" w:color="000000"/>
              <w:right w:val="single" w:sz="4" w:space="0" w:color="000000"/>
            </w:tcBorders>
            <w:vAlign w:val="center"/>
          </w:tcPr>
          <w:p w14:paraId="406DDFDD" w14:textId="77777777" w:rsidR="00B75CCB" w:rsidRPr="00DD47DF" w:rsidRDefault="00B75CCB" w:rsidP="00C71E6F">
            <w:pPr>
              <w:pStyle w:val="Tabulka"/>
              <w:keepNext/>
              <w:keepLines/>
              <w:rPr>
                <w:rFonts w:cs="Calibri"/>
              </w:rPr>
            </w:pPr>
            <w:r w:rsidRPr="00DD47DF">
              <w:rPr>
                <w:rFonts w:cs="Calibri"/>
              </w:rPr>
              <w:t>Méně rozvinuté regiony</w:t>
            </w:r>
          </w:p>
        </w:tc>
        <w:tc>
          <w:tcPr>
            <w:tcW w:w="474" w:type="pct"/>
            <w:tcBorders>
              <w:top w:val="single" w:sz="4" w:space="0" w:color="000000"/>
              <w:left w:val="single" w:sz="4" w:space="0" w:color="000000"/>
              <w:bottom w:val="single" w:sz="4" w:space="0" w:color="000000"/>
              <w:right w:val="single" w:sz="4" w:space="0" w:color="000000"/>
            </w:tcBorders>
            <w:vAlign w:val="center"/>
          </w:tcPr>
          <w:p w14:paraId="523204A4" w14:textId="77777777" w:rsidR="00B75CCB" w:rsidRPr="00DD47DF" w:rsidRDefault="00B75CCB" w:rsidP="00C71E6F">
            <w:pPr>
              <w:pStyle w:val="Tabulka"/>
              <w:keepNext/>
              <w:keepLines/>
              <w:rPr>
                <w:rFonts w:cs="Calibri"/>
              </w:rPr>
            </w:pPr>
            <w:r w:rsidRPr="00DD47DF">
              <w:rPr>
                <w:rFonts w:cs="Calibri"/>
              </w:rPr>
              <w:t>667,1</w:t>
            </w:r>
          </w:p>
        </w:tc>
        <w:tc>
          <w:tcPr>
            <w:tcW w:w="468" w:type="pct"/>
            <w:tcBorders>
              <w:top w:val="single" w:sz="4" w:space="0" w:color="000000"/>
              <w:left w:val="single" w:sz="4" w:space="0" w:color="000000"/>
              <w:bottom w:val="single" w:sz="4" w:space="0" w:color="000000"/>
              <w:right w:val="single" w:sz="4" w:space="0" w:color="000000"/>
            </w:tcBorders>
            <w:vAlign w:val="center"/>
          </w:tcPr>
          <w:p w14:paraId="63E8DBDF" w14:textId="77777777" w:rsidR="00B75CCB" w:rsidRPr="00DD47DF" w:rsidRDefault="005C7984" w:rsidP="00C71E6F">
            <w:pPr>
              <w:pStyle w:val="Tabulka"/>
              <w:keepNext/>
              <w:keepLines/>
              <w:rPr>
                <w:rFonts w:cs="Calibri"/>
              </w:rPr>
            </w:pPr>
            <w:r w:rsidRPr="00DD47DF">
              <w:rPr>
                <w:rFonts w:cs="Calibri"/>
              </w:rPr>
              <w:t>2013</w:t>
            </w:r>
          </w:p>
        </w:tc>
        <w:tc>
          <w:tcPr>
            <w:tcW w:w="545" w:type="pct"/>
            <w:tcBorders>
              <w:top w:val="single" w:sz="4" w:space="0" w:color="000000"/>
              <w:left w:val="single" w:sz="4" w:space="0" w:color="000000"/>
              <w:bottom w:val="single" w:sz="4" w:space="0" w:color="000000"/>
              <w:right w:val="single" w:sz="4" w:space="0" w:color="000000"/>
            </w:tcBorders>
            <w:vAlign w:val="center"/>
          </w:tcPr>
          <w:p w14:paraId="7747E11C" w14:textId="77777777" w:rsidR="00B75CCB" w:rsidRPr="00DD47DF" w:rsidRDefault="00D92892" w:rsidP="00C71E6F">
            <w:pPr>
              <w:pStyle w:val="Tabulka"/>
              <w:keepNext/>
              <w:keepLines/>
              <w:rPr>
                <w:rFonts w:cs="Calibri"/>
              </w:rPr>
            </w:pPr>
            <w:r w:rsidRPr="00DD47DF">
              <w:rPr>
                <w:rFonts w:cs="Calibri"/>
              </w:rPr>
              <w:t>720</w:t>
            </w:r>
          </w:p>
        </w:tc>
        <w:tc>
          <w:tcPr>
            <w:tcW w:w="483" w:type="pct"/>
            <w:tcBorders>
              <w:top w:val="single" w:sz="4" w:space="0" w:color="000000"/>
              <w:left w:val="single" w:sz="4" w:space="0" w:color="000000"/>
              <w:bottom w:val="single" w:sz="4" w:space="0" w:color="000000"/>
              <w:right w:val="single" w:sz="4" w:space="0" w:color="000000"/>
            </w:tcBorders>
            <w:vAlign w:val="center"/>
          </w:tcPr>
          <w:p w14:paraId="1B93ECFB" w14:textId="77777777" w:rsidR="00B75CCB" w:rsidRPr="00DD47DF" w:rsidRDefault="00B75CCB" w:rsidP="00AB615E">
            <w:pPr>
              <w:pStyle w:val="Tabulka"/>
              <w:keepNext/>
              <w:keepLines/>
              <w:rPr>
                <w:rFonts w:cs="Calibri"/>
              </w:rPr>
            </w:pPr>
            <w:r w:rsidRPr="00DD47DF">
              <w:rPr>
                <w:rFonts w:cs="Calibri"/>
              </w:rPr>
              <w:t>MPO</w:t>
            </w:r>
          </w:p>
        </w:tc>
        <w:tc>
          <w:tcPr>
            <w:tcW w:w="535" w:type="pct"/>
            <w:tcBorders>
              <w:top w:val="single" w:sz="4" w:space="0" w:color="000000"/>
              <w:left w:val="single" w:sz="4" w:space="0" w:color="000000"/>
              <w:bottom w:val="single" w:sz="4" w:space="0" w:color="000000"/>
              <w:right w:val="single" w:sz="4" w:space="0" w:color="000000"/>
            </w:tcBorders>
            <w:vAlign w:val="center"/>
          </w:tcPr>
          <w:p w14:paraId="14F70BC3" w14:textId="77777777" w:rsidR="00B75CCB" w:rsidRPr="00DD47DF" w:rsidRDefault="00B75CCB" w:rsidP="00C71E6F">
            <w:pPr>
              <w:pStyle w:val="Tabulka"/>
              <w:keepNext/>
              <w:keepLines/>
              <w:rPr>
                <w:rFonts w:cs="Calibri"/>
              </w:rPr>
            </w:pPr>
            <w:r w:rsidRPr="00DD47DF">
              <w:rPr>
                <w:rFonts w:cs="Calibri"/>
              </w:rPr>
              <w:t>ročně</w:t>
            </w:r>
          </w:p>
        </w:tc>
      </w:tr>
    </w:tbl>
    <w:p w14:paraId="43F04BE1" w14:textId="77777777" w:rsidR="00B5004C" w:rsidRPr="00DD47DF" w:rsidRDefault="001B2E5C" w:rsidP="005F43DF">
      <w:pPr>
        <w:pStyle w:val="kapitola2A0"/>
        <w:numPr>
          <w:ilvl w:val="2"/>
          <w:numId w:val="17"/>
        </w:numPr>
      </w:pPr>
      <w:bookmarkStart w:id="66" w:name="_Toc520445279"/>
      <w:r w:rsidRPr="00DD47DF">
        <w:t>Opatření, jež má být podpořeno v rámci investiční priority</w:t>
      </w:r>
      <w:bookmarkEnd w:id="66"/>
    </w:p>
    <w:p w14:paraId="749BC077" w14:textId="77777777" w:rsidR="00B5004C" w:rsidRPr="00DD47DF" w:rsidRDefault="00D479AF" w:rsidP="005F43DF">
      <w:pPr>
        <w:pStyle w:val="Nadpis5"/>
        <w:numPr>
          <w:ilvl w:val="4"/>
          <w:numId w:val="18"/>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16338B3F" w14:textId="77777777" w:rsidR="00B5004C" w:rsidRPr="00DD47DF" w:rsidRDefault="000A2EB4" w:rsidP="00DF4F92">
      <w:pPr>
        <w:pStyle w:val="Standardntext"/>
        <w:rPr>
          <w:b/>
        </w:rPr>
      </w:pPr>
      <w:r w:rsidRPr="00DD47DF">
        <w:rPr>
          <w:b/>
        </w:rPr>
        <w:t>Aktivity pro tento specifický cíl:</w:t>
      </w:r>
    </w:p>
    <w:p w14:paraId="5271A6A9" w14:textId="763EA3CC" w:rsidR="00B36879" w:rsidRPr="00DD47DF" w:rsidRDefault="003E3D99" w:rsidP="00D927A2">
      <w:pPr>
        <w:pStyle w:val="Standardntext"/>
        <w:numPr>
          <w:ilvl w:val="0"/>
          <w:numId w:val="43"/>
        </w:numPr>
      </w:pPr>
      <w:r w:rsidRPr="00DD47DF">
        <w:t xml:space="preserve">Výstavba nových a rekonstrukce </w:t>
      </w:r>
      <w:r w:rsidR="00305CD5" w:rsidRPr="00DD47DF">
        <w:t xml:space="preserve">/ </w:t>
      </w:r>
      <w:r w:rsidRPr="00DD47DF">
        <w:t>modernizace stávajících výroben elektřiny a tepla z OZE</w:t>
      </w:r>
      <w:r w:rsidR="00B36879" w:rsidRPr="00DD47DF">
        <w:t>; z</w:t>
      </w:r>
      <w:r w:rsidRPr="00DD47DF">
        <w:t>ejména se bude jednat o</w:t>
      </w:r>
      <w:r w:rsidR="00B36879" w:rsidRPr="00DD47DF">
        <w:t>:</w:t>
      </w:r>
    </w:p>
    <w:p w14:paraId="6D1372C4" w14:textId="77777777" w:rsidR="00B36879" w:rsidRPr="00DD47DF" w:rsidRDefault="00B36879" w:rsidP="00D927A2">
      <w:pPr>
        <w:pStyle w:val="Standardntext"/>
        <w:numPr>
          <w:ilvl w:val="1"/>
          <w:numId w:val="43"/>
        </w:numPr>
      </w:pPr>
      <w:r w:rsidRPr="00DD47DF">
        <w:t xml:space="preserve">podporu výstavby a rekonstrukce </w:t>
      </w:r>
      <w:r w:rsidR="00305CD5" w:rsidRPr="00DD47DF">
        <w:t>/ </w:t>
      </w:r>
      <w:r w:rsidRPr="00DD47DF">
        <w:t xml:space="preserve">modernizace </w:t>
      </w:r>
      <w:r w:rsidR="0036276B" w:rsidRPr="00DD47DF">
        <w:t xml:space="preserve">malých </w:t>
      </w:r>
      <w:r w:rsidRPr="00DD47DF">
        <w:t>vodních elektráren</w:t>
      </w:r>
      <w:r w:rsidR="00305CD5" w:rsidRPr="00DD47DF">
        <w:t xml:space="preserve"> (do 10 MWe instalovaného výkonu)</w:t>
      </w:r>
      <w:r w:rsidRPr="00DD47DF">
        <w:t>,</w:t>
      </w:r>
    </w:p>
    <w:p w14:paraId="1E26AD16" w14:textId="77777777" w:rsidR="00B36879" w:rsidRPr="00DD47DF" w:rsidRDefault="0036276B" w:rsidP="00D927A2">
      <w:pPr>
        <w:pStyle w:val="Standardntext"/>
        <w:numPr>
          <w:ilvl w:val="1"/>
          <w:numId w:val="43"/>
        </w:numPr>
      </w:pPr>
      <w:r w:rsidRPr="00DD47DF">
        <w:t>vyvedení tepla ze stávajících bioplynových stanic pomocí tepelných rozvodných zařízení do místa spotřeby, instalac</w:t>
      </w:r>
      <w:r w:rsidR="00B36879" w:rsidRPr="00DD47DF">
        <w:t>e</w:t>
      </w:r>
      <w:r w:rsidRPr="00DD47DF">
        <w:t xml:space="preserve"> vzdálené kogenerační jednotky využívající bioplyn ze stávající bioplynové stanice za účelem využití užitečného tepla v soustavě zásobování teplem či ji</w:t>
      </w:r>
      <w:r w:rsidR="00B36879" w:rsidRPr="00DD47DF">
        <w:t>ným vysoce efektivním způsobem,</w:t>
      </w:r>
    </w:p>
    <w:p w14:paraId="58A42811" w14:textId="77777777" w:rsidR="00553F65" w:rsidRDefault="0036276B" w:rsidP="00D927A2">
      <w:pPr>
        <w:pStyle w:val="Standardntext"/>
        <w:numPr>
          <w:ilvl w:val="1"/>
          <w:numId w:val="43"/>
        </w:numPr>
      </w:pPr>
      <w:r w:rsidRPr="00DD47DF">
        <w:t>výstavb</w:t>
      </w:r>
      <w:r w:rsidR="00B36879" w:rsidRPr="00DD47DF">
        <w:t>u</w:t>
      </w:r>
      <w:r w:rsidRPr="00DD47DF">
        <w:t xml:space="preserve"> a rekonstrukc</w:t>
      </w:r>
      <w:r w:rsidR="00B36879" w:rsidRPr="00DD47DF">
        <w:t>i</w:t>
      </w:r>
      <w:r w:rsidRPr="00DD47DF">
        <w:t xml:space="preserve"> zdrojů tepla a kombinované výroby elektřiny a tepla z</w:t>
      </w:r>
      <w:r w:rsidR="00A5734F" w:rsidRPr="00DD47DF">
        <w:t> </w:t>
      </w:r>
      <w:r w:rsidRPr="00DD47DF">
        <w:t>biomasy</w:t>
      </w:r>
      <w:r w:rsidR="00A5734F" w:rsidRPr="00DD47DF">
        <w:t xml:space="preserve"> a vyvedení tepla</w:t>
      </w:r>
      <w:r w:rsidR="00553F65">
        <w:t>,</w:t>
      </w:r>
    </w:p>
    <w:p w14:paraId="3DC31295" w14:textId="77777777" w:rsidR="00553F65" w:rsidRDefault="00553F65" w:rsidP="00553F65">
      <w:pPr>
        <w:pStyle w:val="Standardntext"/>
        <w:numPr>
          <w:ilvl w:val="1"/>
          <w:numId w:val="43"/>
        </w:numPr>
      </w:pPr>
      <w:r>
        <w:t>instalace solárních kolektorů a tepelných čerpadel,</w:t>
      </w:r>
    </w:p>
    <w:p w14:paraId="4CCADD6A" w14:textId="1EDA534F" w:rsidR="00B5004C" w:rsidRPr="00DD47DF" w:rsidRDefault="00553F65" w:rsidP="00553F65">
      <w:pPr>
        <w:pStyle w:val="Standardntext"/>
        <w:numPr>
          <w:ilvl w:val="1"/>
          <w:numId w:val="43"/>
        </w:numPr>
      </w:pPr>
      <w:r>
        <w:lastRenderedPageBreak/>
        <w:t>podpora výstavby větrných elektráren.</w:t>
      </w:r>
    </w:p>
    <w:p w14:paraId="1D9CFCBC" w14:textId="77777777" w:rsidR="001B4E71" w:rsidRPr="00DD47DF" w:rsidRDefault="00A72338" w:rsidP="00E00F77">
      <w:pPr>
        <w:pStyle w:val="Standardntext"/>
      </w:pPr>
      <w:r w:rsidRPr="00DD47DF">
        <w:t>V kontextu</w:t>
      </w:r>
      <w:r w:rsidR="009D1769" w:rsidRPr="00DD47DF">
        <w:t xml:space="preserve"> zkušeností získaných v programovacím období 2007 – 2013 v</w:t>
      </w:r>
      <w:r w:rsidRPr="00DD47DF">
        <w:t xml:space="preserve"> oblasti podpory obnovitelných zdrojů energie jsou podporované aktivity zaměřeny zejména na zdroje se stabilní dodávkou energie, maximálně efektivním poměrem nákladů k vyrobené energii, a to s ohledem na potenciál klimatických podmínek v ČR. Dále je kladen důraz na aplikaci vysokoúčinné kombinované výroby elektřiny a tepla s maximálně efektivním využitím tepelné energie. Půjde o menší až střední zařízení</w:t>
      </w:r>
      <w:r w:rsidR="001B4E71" w:rsidRPr="00DD47DF">
        <w:t xml:space="preserve"> s maximálním instalovaným výkonem do </w:t>
      </w:r>
      <w:r w:rsidR="00453052" w:rsidRPr="00DD47DF">
        <w:t>1</w:t>
      </w:r>
      <w:r w:rsidR="001B4E71" w:rsidRPr="00DD47DF">
        <w:t>0 MW</w:t>
      </w:r>
      <w:r w:rsidRPr="00DD47DF">
        <w:t>, kter</w:t>
      </w:r>
      <w:r w:rsidR="00435AB7" w:rsidRPr="00DD47DF">
        <w:t>á</w:t>
      </w:r>
      <w:r w:rsidRPr="00DD47DF">
        <w:t xml:space="preserve"> respektuj</w:t>
      </w:r>
      <w:r w:rsidR="00435AB7" w:rsidRPr="00DD47DF">
        <w:t>í</w:t>
      </w:r>
      <w:r w:rsidRPr="00DD47DF">
        <w:t xml:space="preserve"> potenciál biomasy v daném regionu</w:t>
      </w:r>
      <w:r w:rsidR="00435AB7" w:rsidRPr="00DD47DF">
        <w:t xml:space="preserve"> v souladu s udržitelností zdrojů a ochranou přírody a krajiny (např. malé městské či komunitní zdroje tepla)</w:t>
      </w:r>
      <w:r w:rsidRPr="00DD47DF">
        <w:t xml:space="preserve">. </w:t>
      </w:r>
      <w:r w:rsidR="001B4E71" w:rsidRPr="00DD47DF">
        <w:t>Nicméně v </w:t>
      </w:r>
      <w:r w:rsidR="00622C4A" w:rsidRPr="00DD47DF">
        <w:t>relevantních</w:t>
      </w:r>
      <w:r w:rsidR="001B4E71" w:rsidRPr="00DD47DF">
        <w:t xml:space="preserve"> případech budou podporovány i zdroje </w:t>
      </w:r>
      <w:r w:rsidR="0020357B" w:rsidRPr="00DD47DF">
        <w:t>na monovýrobu tepla bez kombinované výroby elektřiny a tepla.  (Malé instalace, kde nelze již technicky instalovat parní turbínu ani turbínu ORC. Současně také v lokalitě nemusí být zajištěn celoročně dostatečný odběr tepla, tudíž provoz v kombinované výrobě v letních měsících by byl neefektivní.)</w:t>
      </w:r>
      <w:r w:rsidR="001B4E71" w:rsidRPr="00DD47DF">
        <w:t>.</w:t>
      </w:r>
    </w:p>
    <w:p w14:paraId="2A9867E1" w14:textId="77777777" w:rsidR="00F41B56" w:rsidRPr="00DD47DF" w:rsidRDefault="00F41B56" w:rsidP="00E00F77">
      <w:pPr>
        <w:pStyle w:val="Standardntext"/>
      </w:pPr>
      <w:r w:rsidRPr="00DD47DF">
        <w:t xml:space="preserve">Typovým projektem v rámci tohoto specifického cíle bude např. výstavba malé vodní elektrárny, či </w:t>
      </w:r>
      <w:r w:rsidR="00A72338" w:rsidRPr="00DD47DF">
        <w:t>teplárny</w:t>
      </w:r>
      <w:r w:rsidRPr="00DD47DF">
        <w:t xml:space="preserve"> spalující biomasu a vyrábějící elektřinu a teplo</w:t>
      </w:r>
      <w:r w:rsidR="00E00F77" w:rsidRPr="00DD47DF">
        <w:t xml:space="preserve">. </w:t>
      </w:r>
      <w:r w:rsidR="00B36879" w:rsidRPr="00DD47DF">
        <w:t>Další a</w:t>
      </w:r>
      <w:r w:rsidR="00E00F77" w:rsidRPr="00DD47DF">
        <w:t xml:space="preserve">ktivitou </w:t>
      </w:r>
      <w:r w:rsidR="00B36879" w:rsidRPr="00DD47DF">
        <w:t>je vyšší využití tepla, které bude realizováno prostřednictvím</w:t>
      </w:r>
      <w:r w:rsidR="00E00F77" w:rsidRPr="00DD47DF">
        <w:t xml:space="preserve"> vzdálené kogenerační</w:t>
      </w:r>
      <w:r w:rsidRPr="00DD47DF">
        <w:t xml:space="preserve"> </w:t>
      </w:r>
      <w:r w:rsidR="00E00F77" w:rsidRPr="00DD47DF">
        <w:t>jednotky</w:t>
      </w:r>
      <w:r w:rsidR="00B36879" w:rsidRPr="00DD47DF">
        <w:t>, a to</w:t>
      </w:r>
      <w:r w:rsidR="00E00F77" w:rsidRPr="00DD47DF">
        <w:t xml:space="preserve"> </w:t>
      </w:r>
      <w:r w:rsidR="00335A15" w:rsidRPr="00DD47DF">
        <w:t xml:space="preserve">prostřednictvím </w:t>
      </w:r>
      <w:r w:rsidRPr="00DD47DF">
        <w:t>výstavb</w:t>
      </w:r>
      <w:r w:rsidR="00335A15" w:rsidRPr="00DD47DF">
        <w:t>y</w:t>
      </w:r>
      <w:r w:rsidRPr="00DD47DF">
        <w:t xml:space="preserve"> plynovodu </w:t>
      </w:r>
      <w:r w:rsidR="00335A15" w:rsidRPr="00DD47DF">
        <w:t xml:space="preserve">ze stávající bioplynové stanice </w:t>
      </w:r>
      <w:r w:rsidRPr="00DD47DF">
        <w:t xml:space="preserve">a přemístění kogenerační jednotky k místu spotřeby případně výstavba teplovodu k místu spotřeby. Způsobilé výdaje budou veškeré investiční náklady přímo spojené s výstavbou zařízení </w:t>
      </w:r>
      <w:r w:rsidR="00B36879" w:rsidRPr="00DD47DF">
        <w:t>a pořízení technologie, zpracování projektové dokumentace a energetického auditu</w:t>
      </w:r>
      <w:r w:rsidR="0020357B" w:rsidRPr="00DD47DF">
        <w:t xml:space="preserve"> atd</w:t>
      </w:r>
      <w:r w:rsidR="00B36879" w:rsidRPr="00DD47DF">
        <w:t>.</w:t>
      </w:r>
    </w:p>
    <w:p w14:paraId="33D5E354" w14:textId="77777777" w:rsidR="00F41B56" w:rsidRPr="00DD47DF" w:rsidRDefault="00FF7D38" w:rsidP="00E00F77">
      <w:pPr>
        <w:pStyle w:val="Standardntext"/>
      </w:pPr>
      <w:r w:rsidRPr="00DD47DF">
        <w:t>Výstupy výše uvedených aktivit přispějí k dosažení hlavního výsledku tohoto specifického cíle, kterým je</w:t>
      </w:r>
      <w:r w:rsidR="00F41B56" w:rsidRPr="00DD47DF">
        <w:t xml:space="preserve"> zvýšení podílu OZE na </w:t>
      </w:r>
      <w:r w:rsidRPr="00DD47DF">
        <w:t xml:space="preserve">hrubé </w:t>
      </w:r>
      <w:r w:rsidR="00F41B56" w:rsidRPr="00DD47DF">
        <w:t>konečné spotřebě energie, což přinese</w:t>
      </w:r>
      <w:r w:rsidR="00B36879" w:rsidRPr="00DD47DF">
        <w:t xml:space="preserve"> významný</w:t>
      </w:r>
      <w:r w:rsidR="00F41B56" w:rsidRPr="00DD47DF">
        <w:t xml:space="preserve"> příspěvek k naplňování </w:t>
      </w:r>
      <w:r w:rsidRPr="00DD47DF">
        <w:t>Národního akčního plánu ČR pro energii z obnovitelných zdrojů</w:t>
      </w:r>
      <w:r w:rsidR="00F41B56" w:rsidRPr="00DD47DF">
        <w:t>.</w:t>
      </w:r>
      <w:r w:rsidR="00947FAC" w:rsidRPr="00DD47DF">
        <w:t xml:space="preserve"> </w:t>
      </w:r>
      <w:r w:rsidR="00B95DC1" w:rsidRPr="00DD47DF">
        <w:t>V tomto specifickém cíli nebudou podpořeny zařízení na energetické využití odpadů nebo spaloven.</w:t>
      </w:r>
      <w:r w:rsidR="00947FAC" w:rsidRPr="00DD47DF">
        <w:t xml:space="preserve"> </w:t>
      </w:r>
    </w:p>
    <w:p w14:paraId="2F7ED706" w14:textId="77777777" w:rsidR="00B5004C" w:rsidRPr="00DD47DF" w:rsidRDefault="00B5004C" w:rsidP="001D35B1">
      <w:pPr>
        <w:pStyle w:val="Standardntext"/>
      </w:pPr>
      <w:r w:rsidRPr="00DD47DF">
        <w:rPr>
          <w:b/>
        </w:rPr>
        <w:t xml:space="preserve">Hlavní cílová skupina: </w:t>
      </w:r>
      <w:r w:rsidR="00127389" w:rsidRPr="00DD47DF">
        <w:t>P</w:t>
      </w:r>
      <w:r w:rsidR="0036276B" w:rsidRPr="00DD47DF">
        <w:t>odnikatelé z oblasti především MSP, kteří se hodlají soustředit/již soustředí na oblast výroby energie z OZE.</w:t>
      </w:r>
    </w:p>
    <w:p w14:paraId="300BBBED" w14:textId="77777777" w:rsidR="00B5004C" w:rsidRPr="00DD47DF" w:rsidRDefault="00B5004C" w:rsidP="001D35B1">
      <w:pPr>
        <w:pStyle w:val="Standardntext"/>
        <w:rPr>
          <w:color w:val="FF0000"/>
        </w:rPr>
      </w:pPr>
      <w:r w:rsidRPr="00DD47DF">
        <w:rPr>
          <w:b/>
        </w:rPr>
        <w:t xml:space="preserve">Cílové území: </w:t>
      </w:r>
      <w:r w:rsidR="009D1769" w:rsidRPr="00DD47DF">
        <w:t>V</w:t>
      </w:r>
      <w:r w:rsidR="0036276B" w:rsidRPr="00DD47DF">
        <w:t>šech</w:t>
      </w:r>
      <w:r w:rsidR="009D1769" w:rsidRPr="00DD47DF">
        <w:t>ny</w:t>
      </w:r>
      <w:r w:rsidR="0036276B" w:rsidRPr="00DD47DF">
        <w:t xml:space="preserve"> region</w:t>
      </w:r>
      <w:r w:rsidR="009D1769" w:rsidRPr="00DD47DF">
        <w:t>y</w:t>
      </w:r>
      <w:r w:rsidR="0036276B" w:rsidRPr="00DD47DF">
        <w:t xml:space="preserve"> v ČR kromě hl. m. Prahy.</w:t>
      </w:r>
      <w:r w:rsidR="00015039" w:rsidRPr="00DD47DF">
        <w:t xml:space="preserve"> </w:t>
      </w:r>
      <w:r w:rsidR="00A46CD6" w:rsidRPr="00DD47DF">
        <w:t>Předpokládá se plošné směrování intervencí bez vymezení územní dimenze.</w:t>
      </w:r>
      <w:r w:rsidR="00BA4E72" w:rsidRPr="00DD47DF">
        <w:t xml:space="preserve"> </w:t>
      </w:r>
      <w:r w:rsidR="00A46CD6" w:rsidRPr="00DD47DF">
        <w:t>Nicméně d</w:t>
      </w:r>
      <w:r w:rsidR="00BF1EEF" w:rsidRPr="00DD47DF">
        <w:t xml:space="preserve">ůležitým prvkem pro oblast OZE je krajinný charakter území (např. rurální, urbánní, nížinný, horský, podhorský) jako podmínka pro </w:t>
      </w:r>
      <w:r w:rsidR="00A46CD6" w:rsidRPr="00DD47DF">
        <w:t>realizaci</w:t>
      </w:r>
      <w:r w:rsidR="00BF1EEF" w:rsidRPr="00DD47DF">
        <w:t xml:space="preserve"> konkrétního projektu.</w:t>
      </w:r>
    </w:p>
    <w:p w14:paraId="4D353628" w14:textId="77777777" w:rsidR="00B5004C" w:rsidRPr="00DD47DF" w:rsidRDefault="00B5004C" w:rsidP="001D35B1">
      <w:pPr>
        <w:pStyle w:val="Standardntext"/>
      </w:pPr>
      <w:r w:rsidRPr="00DD47DF">
        <w:rPr>
          <w:b/>
        </w:rPr>
        <w:t xml:space="preserve">Typy příjemců: </w:t>
      </w:r>
      <w:r w:rsidRPr="00DD47DF">
        <w:t>Podnikatelské subjekty (malé, střední a případně velké podniky).</w:t>
      </w:r>
      <w:r w:rsidR="00B36879" w:rsidRPr="00DD47DF">
        <w:t xml:space="preserve"> </w:t>
      </w:r>
      <w:r w:rsidR="00B36879" w:rsidRPr="00DD47DF">
        <w:rPr>
          <w:szCs w:val="22"/>
        </w:rPr>
        <w:t xml:space="preserve">Zahrnutí podpory velkých firem </w:t>
      </w:r>
      <w:r w:rsidR="00B36879" w:rsidRPr="00DD47DF">
        <w:t xml:space="preserve">(dle čl. 3 odst. 1 písm. b) nařízení o EFRR) </w:t>
      </w:r>
      <w:r w:rsidR="00B36879" w:rsidRPr="00DD47DF">
        <w:rPr>
          <w:szCs w:val="22"/>
        </w:rPr>
        <w:t>v rámci tohoto specifického cíle je zdůvodněno maximální snahou o využití veškerého dostupného potenciálu nejefektivnějších obnovitelných zdrojů energie v ČR. Omezení bude nastaveno z technického hlediska projektu a nikoliv velikostí podniku, tak aby byly realizovaný menší a střední projekty s významným příspěvkem pro regionální rozvoj.</w:t>
      </w:r>
    </w:p>
    <w:p w14:paraId="0D6B8C2E" w14:textId="77777777" w:rsidR="00B5004C" w:rsidRPr="00DD47DF" w:rsidRDefault="00BA6461" w:rsidP="005F43DF">
      <w:pPr>
        <w:pStyle w:val="Nadpis5"/>
        <w:numPr>
          <w:ilvl w:val="4"/>
          <w:numId w:val="18"/>
        </w:numPr>
      </w:pPr>
      <w:r w:rsidRPr="00DD47DF">
        <w:t>Hlavní zásady pro výběr operací</w:t>
      </w:r>
    </w:p>
    <w:p w14:paraId="71ED668C" w14:textId="77777777" w:rsidR="0042487A" w:rsidRPr="00DD47DF" w:rsidRDefault="00FE3385" w:rsidP="0042487A">
      <w:pPr>
        <w:pStyle w:val="Standardntext"/>
      </w:pPr>
      <w:r w:rsidRPr="00DD47DF">
        <w:t>Společné obecné zásady pro výběr operací pro všechny investiční priority celého OP PIK jsou uvedeny v prioritní ose 1 v oddíle 2.A.6.2.</w:t>
      </w:r>
    </w:p>
    <w:p w14:paraId="3B83FEA6" w14:textId="77777777" w:rsidR="00BA0383" w:rsidRPr="00DD47DF" w:rsidRDefault="0036276B" w:rsidP="0036276B">
      <w:pPr>
        <w:pStyle w:val="Standardntext"/>
      </w:pPr>
      <w:r w:rsidRPr="00DD47DF">
        <w:t xml:space="preserve"> V rámci výběru a hodnocení projektů </w:t>
      </w:r>
      <w:r w:rsidR="00BA0383" w:rsidRPr="00DD47DF">
        <w:t xml:space="preserve">budou posuzována </w:t>
      </w:r>
      <w:r w:rsidR="00184371" w:rsidRPr="00DD47DF">
        <w:t xml:space="preserve">především </w:t>
      </w:r>
      <w:r w:rsidR="00BA0383" w:rsidRPr="00DD47DF">
        <w:t>následující kritéria</w:t>
      </w:r>
      <w:r w:rsidR="00A35694" w:rsidRPr="00DD47DF">
        <w:t>:</w:t>
      </w:r>
    </w:p>
    <w:p w14:paraId="51CCEE76" w14:textId="77777777" w:rsidR="00184371" w:rsidRPr="00DD47DF" w:rsidRDefault="00184371" w:rsidP="00D927A2">
      <w:pPr>
        <w:pStyle w:val="Standardntext"/>
        <w:numPr>
          <w:ilvl w:val="0"/>
          <w:numId w:val="43"/>
        </w:numPr>
      </w:pPr>
      <w:r w:rsidRPr="00DD47DF">
        <w:t xml:space="preserve">Kvalita a potřebnost </w:t>
      </w:r>
      <w:r w:rsidR="00BE7900" w:rsidRPr="00DD47DF">
        <w:t xml:space="preserve">projektu </w:t>
      </w:r>
      <w:r w:rsidRPr="00DD47DF">
        <w:t xml:space="preserve">s ohledem na </w:t>
      </w:r>
      <w:r w:rsidR="00BE7900" w:rsidRPr="00DD47DF">
        <w:t xml:space="preserve">jeho </w:t>
      </w:r>
      <w:r w:rsidRPr="00DD47DF">
        <w:t>ekologické přín</w:t>
      </w:r>
      <w:r w:rsidR="00DC4382" w:rsidRPr="00DD47DF">
        <w:t>osy a ekonomickou efektivnost; z</w:t>
      </w:r>
      <w:r w:rsidRPr="00DD47DF">
        <w:t xml:space="preserve">ejména bude kladen důraz na poměr investičních nákladů k instalovanému </w:t>
      </w:r>
      <w:r w:rsidRPr="00DD47DF">
        <w:lastRenderedPageBreak/>
        <w:t>výkonu a vyrobené energii, poměrnou dobu ročního využití instalovaného výkonu a celkových ekologických přínosů projektu.</w:t>
      </w:r>
    </w:p>
    <w:p w14:paraId="3DE4FBA2" w14:textId="77777777" w:rsidR="00BA0383" w:rsidRPr="00DD47DF" w:rsidRDefault="00BA0383" w:rsidP="00D927A2">
      <w:pPr>
        <w:pStyle w:val="Standardntext"/>
        <w:numPr>
          <w:ilvl w:val="0"/>
          <w:numId w:val="43"/>
        </w:numPr>
      </w:pPr>
      <w:r w:rsidRPr="00DD47DF">
        <w:t>S</w:t>
      </w:r>
      <w:r w:rsidR="0036276B" w:rsidRPr="00DD47DF">
        <w:t xml:space="preserve">oulad </w:t>
      </w:r>
      <w:r w:rsidR="00BE7900" w:rsidRPr="00DD47DF">
        <w:t xml:space="preserve">projektu </w:t>
      </w:r>
      <w:r w:rsidR="0036276B" w:rsidRPr="00DD47DF">
        <w:t>s územní dimenzí této investiční priority</w:t>
      </w:r>
      <w:r w:rsidR="00C63CF5" w:rsidRPr="00DD47DF">
        <w:t xml:space="preserve"> (viz </w:t>
      </w:r>
      <w:r w:rsidR="00C63CF5" w:rsidRPr="00DD47DF">
        <w:rPr>
          <w:i/>
        </w:rPr>
        <w:t>Cílové území</w:t>
      </w:r>
      <w:r w:rsidR="00C63CF5" w:rsidRPr="00DD47DF">
        <w:t xml:space="preserve"> v oddíle 2.A.6.1 a dále oddíl 4)</w:t>
      </w:r>
      <w:r w:rsidRPr="00DD47DF">
        <w:t>.</w:t>
      </w:r>
    </w:p>
    <w:p w14:paraId="14965CBB" w14:textId="77777777" w:rsidR="00184371" w:rsidRPr="00DD47DF" w:rsidRDefault="00BE7900" w:rsidP="00D927A2">
      <w:pPr>
        <w:pStyle w:val="Standardntext"/>
        <w:numPr>
          <w:ilvl w:val="0"/>
          <w:numId w:val="43"/>
        </w:numPr>
      </w:pPr>
      <w:r w:rsidRPr="00DD47DF">
        <w:t>Soulad projektu s</w:t>
      </w:r>
      <w:r w:rsidR="0036276B" w:rsidRPr="00DD47DF">
        <w:t xml:space="preserve"> horizontální</w:t>
      </w:r>
      <w:r w:rsidRPr="00DD47DF">
        <w:t>mi</w:t>
      </w:r>
      <w:r w:rsidR="0036276B" w:rsidRPr="00DD47DF">
        <w:t xml:space="preserve"> princip</w:t>
      </w:r>
      <w:r w:rsidRPr="00DD47DF">
        <w:t>y</w:t>
      </w:r>
      <w:r w:rsidR="0036276B" w:rsidRPr="00DD47DF">
        <w:t xml:space="preserve">. Projekt, který bude v rozporu s těmito principy, nebude v rámci OP </w:t>
      </w:r>
      <w:r w:rsidR="00FB0590" w:rsidRPr="00DD47DF">
        <w:t xml:space="preserve">PIK podpořen (blíže viz </w:t>
      </w:r>
      <w:r w:rsidR="00BA0383" w:rsidRPr="00DD47DF">
        <w:t xml:space="preserve">oddíl </w:t>
      </w:r>
      <w:r w:rsidR="00FB0590" w:rsidRPr="00DD47DF">
        <w:t>11).</w:t>
      </w:r>
    </w:p>
    <w:p w14:paraId="67703478" w14:textId="65E70701" w:rsidR="00A61EA1" w:rsidRPr="00DD47DF" w:rsidRDefault="00A61EA1" w:rsidP="00716821">
      <w:pPr>
        <w:pStyle w:val="Standardntext"/>
        <w:numPr>
          <w:ilvl w:val="0"/>
          <w:numId w:val="43"/>
        </w:numPr>
      </w:pPr>
      <w:r w:rsidRPr="00DD47DF">
        <w:t>Vliv projektu na oblast klimatu bude na projektové úrovni sledován prostřednictvím indikátoru „Odhadované roční snížení emisí skleníkových plynů“</w:t>
      </w:r>
      <w:r w:rsidR="00C306CB" w:rsidRPr="00DD47DF">
        <w:t xml:space="preserve"> (3 60 10)</w:t>
      </w:r>
      <w:r w:rsidRPr="00DD47DF">
        <w:t>. Nad rámec toho bud</w:t>
      </w:r>
      <w:r w:rsidR="00D5203D" w:rsidRPr="00DD47DF">
        <w:t>e</w:t>
      </w:r>
      <w:r w:rsidRPr="00DD47DF">
        <w:t xml:space="preserve"> na projektové úrovni interně monitorován vliv daného projektu na oblast </w:t>
      </w:r>
      <w:r w:rsidR="00D5203D" w:rsidRPr="00DD47DF">
        <w:t xml:space="preserve">ovzduší </w:t>
      </w:r>
      <w:r w:rsidRPr="00DD47DF">
        <w:t xml:space="preserve">prostřednictvím </w:t>
      </w:r>
      <w:r w:rsidR="00D5203D" w:rsidRPr="00DD47DF">
        <w:t xml:space="preserve">indikátoru </w:t>
      </w:r>
      <w:r w:rsidRPr="00DD47DF">
        <w:t>„</w:t>
      </w:r>
      <w:r w:rsidR="00DC0681" w:rsidRPr="00DC0681">
        <w:t>Množství emisí primárních částic a prekurzorů sekundárních částic</w:t>
      </w:r>
      <w:r w:rsidRPr="00DD47DF">
        <w:t xml:space="preserve">“ </w:t>
      </w:r>
      <w:r w:rsidR="00C306CB" w:rsidRPr="00DD47DF">
        <w:t>(3 61 11)</w:t>
      </w:r>
      <w:r w:rsidR="00E624A1" w:rsidRPr="00DD47DF">
        <w:rPr>
          <w:rStyle w:val="Znakapoznpodarou"/>
        </w:rPr>
        <w:footnoteReference w:id="56"/>
      </w:r>
      <w:r w:rsidR="00C306CB" w:rsidRPr="00DD47DF">
        <w:t xml:space="preserve"> </w:t>
      </w:r>
      <w:r w:rsidRPr="00DD47DF">
        <w:t xml:space="preserve">a dále </w:t>
      </w:r>
      <w:r w:rsidR="00D5203D" w:rsidRPr="00DD47DF">
        <w:t xml:space="preserve">vliv na oblast </w:t>
      </w:r>
      <w:r w:rsidR="0020357B" w:rsidRPr="00DD47DF">
        <w:t xml:space="preserve">výroby </w:t>
      </w:r>
      <w:r w:rsidR="00D5203D" w:rsidRPr="00DD47DF">
        <w:t xml:space="preserve">energie z OZE prostřednictvím </w:t>
      </w:r>
      <w:r w:rsidRPr="00DD47DF">
        <w:t>indikátor</w:t>
      </w:r>
      <w:r w:rsidR="00D5203D" w:rsidRPr="00DD47DF">
        <w:t>ů</w:t>
      </w:r>
      <w:r w:rsidRPr="00DD47DF">
        <w:t xml:space="preserve"> „</w:t>
      </w:r>
      <w:r w:rsidR="00444BED" w:rsidRPr="00444BED">
        <w:t>Výroba tepla z obnovitelných zdrojů</w:t>
      </w:r>
      <w:r w:rsidRPr="00DD47DF">
        <w:t>“</w:t>
      </w:r>
      <w:r w:rsidR="00C306CB" w:rsidRPr="00DD47DF">
        <w:t xml:space="preserve"> (3 48 00)</w:t>
      </w:r>
      <w:r w:rsidRPr="00DD47DF">
        <w:t xml:space="preserve"> a „</w:t>
      </w:r>
      <w:r w:rsidR="00716821" w:rsidRPr="00716821">
        <w:t>Výroba elektrické energie z obnovitelných zdrojů celkem</w:t>
      </w:r>
      <w:r w:rsidRPr="00DD47DF">
        <w:t>“</w:t>
      </w:r>
      <w:r w:rsidR="00C306CB" w:rsidRPr="00DD47DF">
        <w:t xml:space="preserve"> (3 46 </w:t>
      </w:r>
      <w:r w:rsidR="007F0646">
        <w:t>10</w:t>
      </w:r>
      <w:r w:rsidR="00C306CB" w:rsidRPr="00DD47DF">
        <w:t>)</w:t>
      </w:r>
      <w:r w:rsidRPr="00DD47DF">
        <w:t xml:space="preserve">. Tyto environmentální indikátory budou </w:t>
      </w:r>
      <w:r w:rsidR="00C61714" w:rsidRPr="00DD47DF">
        <w:t xml:space="preserve">reportovány EK na projektové úrovní a </w:t>
      </w:r>
      <w:r w:rsidRPr="00DD47DF">
        <w:t>dále agregovány pro potřeby Dohody o partnerství</w:t>
      </w:r>
      <w:r w:rsidR="00677C81" w:rsidRPr="00DD47DF">
        <w:t xml:space="preserve"> a Výročních zpráv OP PIK</w:t>
      </w:r>
      <w:r w:rsidRPr="00DD47DF">
        <w:t>.</w:t>
      </w:r>
    </w:p>
    <w:p w14:paraId="5699C4D2" w14:textId="77777777" w:rsidR="0038435E" w:rsidRPr="00DD47DF" w:rsidRDefault="0038435E" w:rsidP="0038435E">
      <w:pPr>
        <w:pStyle w:val="Standardntext"/>
        <w:numPr>
          <w:ilvl w:val="0"/>
          <w:numId w:val="43"/>
        </w:numPr>
      </w:pPr>
      <w:r w:rsidRPr="00DD47DF">
        <w:t>Projekt musí splňovat alespoň požadavky na úrovni kladené spodní polovinou intervalu nejlepších dostupných technik</w:t>
      </w:r>
      <w:r w:rsidRPr="00DD47DF" w:rsidDel="00A808D6">
        <w:t xml:space="preserve"> </w:t>
      </w:r>
      <w:r w:rsidRPr="00DD47DF">
        <w:rPr>
          <w:rStyle w:val="Znakapoznpodarou"/>
        </w:rPr>
        <w:footnoteReference w:id="57"/>
      </w:r>
      <w:r w:rsidRPr="00DD47DF">
        <w:t>.</w:t>
      </w:r>
    </w:p>
    <w:p w14:paraId="64209556" w14:textId="77777777" w:rsidR="0020357B" w:rsidRPr="00DD47DF" w:rsidRDefault="0020357B" w:rsidP="00335A15">
      <w:pPr>
        <w:pStyle w:val="Standardntext"/>
        <w:numPr>
          <w:ilvl w:val="0"/>
          <w:numId w:val="43"/>
        </w:numPr>
        <w:ind w:left="714" w:hanging="357"/>
      </w:pPr>
      <w:r w:rsidRPr="00DD47DF">
        <w:t>Podporovány budou projekty s vysokou mírou účinnosti.</w:t>
      </w:r>
    </w:p>
    <w:p w14:paraId="510DF768" w14:textId="77777777" w:rsidR="00335A15" w:rsidRPr="00DD47DF" w:rsidRDefault="00335A15" w:rsidP="00441D67">
      <w:pPr>
        <w:pStyle w:val="Odstavecseseznamem"/>
        <w:numPr>
          <w:ilvl w:val="0"/>
          <w:numId w:val="43"/>
        </w:numPr>
        <w:spacing w:after="120"/>
        <w:ind w:left="714" w:hanging="357"/>
        <w:contextualSpacing w:val="0"/>
        <w:jc w:val="both"/>
      </w:pPr>
      <w:r w:rsidRPr="00DD47DF">
        <w:rPr>
          <w:sz w:val="24"/>
          <w:szCs w:val="24"/>
        </w:rPr>
        <w:t xml:space="preserve">Projekty kombinované výroby elektřiny a tepla budou podporovány jenom v případě, pokud splní kritéria vysokoúčinné výroby elektřiny a tepla. </w:t>
      </w:r>
    </w:p>
    <w:p w14:paraId="1FD93197" w14:textId="77777777" w:rsidR="0020357B" w:rsidRPr="00DD47DF" w:rsidRDefault="0020357B" w:rsidP="00D927A2">
      <w:pPr>
        <w:pStyle w:val="Standardntext"/>
        <w:numPr>
          <w:ilvl w:val="0"/>
          <w:numId w:val="43"/>
        </w:numPr>
        <w:rPr>
          <w:bCs/>
        </w:rPr>
      </w:pPr>
      <w:r w:rsidRPr="00DD47DF">
        <w:rPr>
          <w:bCs/>
        </w:rPr>
        <w:t>V případě přechodu z uhelného zdroje na biomasu musí být projekt v souladu se Zprávou EK z července 2014 „o současném stavu udržitelnosti pevné a plynné biomasy používání pro výrobu elektrické energie, vytápění a chlazení v EU“</w:t>
      </w:r>
      <w:r w:rsidR="001E5658" w:rsidRPr="00DD47DF">
        <w:rPr>
          <w:bCs/>
        </w:rPr>
        <w:t>.</w:t>
      </w:r>
    </w:p>
    <w:p w14:paraId="6A503B67" w14:textId="77777777" w:rsidR="00771A39" w:rsidRPr="00DD47DF" w:rsidRDefault="00771A39" w:rsidP="00D927A2">
      <w:pPr>
        <w:pStyle w:val="Standardntext"/>
        <w:numPr>
          <w:ilvl w:val="0"/>
          <w:numId w:val="43"/>
        </w:numPr>
        <w:rPr>
          <w:bCs/>
        </w:rPr>
      </w:pPr>
      <w:r w:rsidRPr="00DD47DF">
        <w:rPr>
          <w:bCs/>
        </w:rPr>
        <w:t>Podpořeny nebudou projekty rekonstrukce či výstavby zdroje nad 10 MW.</w:t>
      </w:r>
    </w:p>
    <w:p w14:paraId="2303DE8C" w14:textId="77777777" w:rsidR="00C61714" w:rsidRPr="00DD47DF" w:rsidRDefault="00C61714" w:rsidP="00D927A2">
      <w:pPr>
        <w:pStyle w:val="Standardntext"/>
        <w:numPr>
          <w:ilvl w:val="0"/>
          <w:numId w:val="43"/>
        </w:numPr>
        <w:rPr>
          <w:bCs/>
        </w:rPr>
      </w:pPr>
      <w:r w:rsidRPr="00DD47DF">
        <w:rPr>
          <w:bCs/>
        </w:rPr>
        <w:t>Projekty budou v souladu s udržitelným využívání dřevní biomasy a stanovení rozsahu bude probíhat na regionální úrovni s cílem zajistit, aby využívání této dřevní biomasy nepřekročilo meze funkce obnovy přírodních ekosystémů.</w:t>
      </w:r>
    </w:p>
    <w:p w14:paraId="667D6B90" w14:textId="77777777" w:rsidR="00771A39" w:rsidRPr="00DD47DF" w:rsidRDefault="00D01FDB" w:rsidP="00C56A67">
      <w:pPr>
        <w:pStyle w:val="Standardntext"/>
        <w:numPr>
          <w:ilvl w:val="0"/>
          <w:numId w:val="43"/>
        </w:numPr>
        <w:rPr>
          <w:bCs/>
        </w:rPr>
      </w:pPr>
      <w:r w:rsidRPr="00DD47DF">
        <w:rPr>
          <w:bCs/>
        </w:rPr>
        <w:t>Podpora nebude poskytnuta na spolufinancování zařízení, na něž se vztahuje směrnice o průmyslových emisích, která je použitelná na zařízení pro výrobu elektřiny a dálkové vytápění nad 50 MW</w:t>
      </w:r>
      <w:r w:rsidR="00C56A67" w:rsidRPr="00DD47DF">
        <w:rPr>
          <w:bCs/>
        </w:rPr>
        <w:t>.</w:t>
      </w:r>
    </w:p>
    <w:p w14:paraId="749450D2" w14:textId="77777777" w:rsidR="00335A15" w:rsidRPr="00DD47DF" w:rsidRDefault="002C72B3" w:rsidP="00441D67">
      <w:pPr>
        <w:pStyle w:val="Odstavecseseznamem"/>
        <w:numPr>
          <w:ilvl w:val="0"/>
          <w:numId w:val="43"/>
        </w:numPr>
        <w:spacing w:after="120"/>
        <w:ind w:left="714" w:hanging="357"/>
        <w:contextualSpacing w:val="0"/>
        <w:jc w:val="both"/>
        <w:rPr>
          <w:bCs/>
        </w:rPr>
      </w:pPr>
      <w:r w:rsidRPr="00DD47DF">
        <w:rPr>
          <w:bCs/>
          <w:sz w:val="24"/>
          <w:szCs w:val="24"/>
        </w:rPr>
        <w:t xml:space="preserve">Životnost investic v tomto odvětví se počítá na desítky let, a měly by proto odpovídat příslušným ustanovením právních předpisů a politikám EU. Systémy vytápění finančně </w:t>
      </w:r>
      <w:r w:rsidRPr="00DD47DF">
        <w:rPr>
          <w:bCs/>
          <w:sz w:val="24"/>
          <w:szCs w:val="24"/>
        </w:rPr>
        <w:lastRenderedPageBreak/>
        <w:t>podporované z OP musí již od počátku programového období splňovat minimální požadavky na energetickou účinnost a na emise platné ke konci roku 2020, jak to stanoví prováděcí opatření směrnice o ekodesignu 2009/125/ES.</w:t>
      </w:r>
    </w:p>
    <w:p w14:paraId="78ED7C80" w14:textId="06027F49" w:rsidR="00335A15" w:rsidRPr="00DD47DF" w:rsidRDefault="00967F0C" w:rsidP="00967F0C">
      <w:pPr>
        <w:pStyle w:val="Standardntext"/>
        <w:numPr>
          <w:ilvl w:val="0"/>
          <w:numId w:val="43"/>
        </w:numPr>
        <w:rPr>
          <w:bCs/>
        </w:rPr>
      </w:pPr>
      <w:r w:rsidRPr="00967F0C">
        <w:rPr>
          <w:bCs/>
        </w:rPr>
        <w:t>Podpořeny budou pouze projekty, které splňují požadavky mezních hodnot emisí pro spalovací zařízení podle Směrnice 2015/2193/ES o omezení emisí některých znečišťujících látek do ovzduší ze středních spalovacích zařízení. Prioritně budou podporovány projekty, které přispívají k plnění směrnice o nových národních emisních stropech, která vstoupila v platnost dne 31. prosince 2016.</w:t>
      </w:r>
    </w:p>
    <w:p w14:paraId="49CE3036" w14:textId="77777777" w:rsidR="00771A39" w:rsidRPr="00DD47DF" w:rsidRDefault="00771A39" w:rsidP="00D927A2">
      <w:pPr>
        <w:pStyle w:val="Standardntext"/>
        <w:numPr>
          <w:ilvl w:val="0"/>
          <w:numId w:val="43"/>
        </w:numPr>
        <w:rPr>
          <w:bCs/>
        </w:rPr>
      </w:pPr>
      <w:r w:rsidRPr="00DD47DF">
        <w:rPr>
          <w:bCs/>
        </w:rPr>
        <w:t>V případech, kde bude uplatněna pouze monovýroba tepla, tak musí být analýzou prokázáno, že se jedná o energeticky efektivnější aplikaci než-li kombinovaná výroba elektřiny a tepla</w:t>
      </w:r>
      <w:r w:rsidR="00535C97" w:rsidRPr="00DD47DF">
        <w:rPr>
          <w:bCs/>
        </w:rPr>
        <w:t>,</w:t>
      </w:r>
      <w:r w:rsidRPr="00DD47DF">
        <w:rPr>
          <w:bCs/>
        </w:rPr>
        <w:t xml:space="preserve"> anebo pokud není technicky možné, musí být zajištěno výrazné zlepšení energetické účinnosti dálkového vytápění (soustav zásobování teplem).</w:t>
      </w:r>
    </w:p>
    <w:p w14:paraId="061C6F3F" w14:textId="77777777" w:rsidR="0020357B" w:rsidRPr="00DD47DF" w:rsidRDefault="0020357B" w:rsidP="00535C97">
      <w:pPr>
        <w:pStyle w:val="Standardntext"/>
        <w:numPr>
          <w:ilvl w:val="0"/>
          <w:numId w:val="43"/>
        </w:numPr>
      </w:pPr>
      <w:r w:rsidRPr="00DD47DF">
        <w:t xml:space="preserve">Soulad projektu z hlediska energetické účinnosti a </w:t>
      </w:r>
      <w:r w:rsidR="00535C97" w:rsidRPr="00DD47DF">
        <w:t>využití energie z OZE</w:t>
      </w:r>
      <w:r w:rsidRPr="00DD47DF">
        <w:t>.</w:t>
      </w:r>
    </w:p>
    <w:p w14:paraId="0BE47F62" w14:textId="77777777" w:rsidR="0020357B" w:rsidRPr="00DD47DF" w:rsidRDefault="00360BED" w:rsidP="00D927A2">
      <w:pPr>
        <w:pStyle w:val="Standardntext"/>
        <w:numPr>
          <w:ilvl w:val="0"/>
          <w:numId w:val="43"/>
        </w:numPr>
      </w:pPr>
      <w:r w:rsidRPr="00DD47DF">
        <w:t xml:space="preserve">Součástí </w:t>
      </w:r>
      <w:r w:rsidR="00B12F31" w:rsidRPr="00DD47DF">
        <w:t>projektu</w:t>
      </w:r>
      <w:r w:rsidRPr="00DD47DF">
        <w:t xml:space="preserve"> </w:t>
      </w:r>
      <w:r w:rsidR="00184371" w:rsidRPr="00DD47DF">
        <w:t>musí být</w:t>
      </w:r>
      <w:r w:rsidRPr="00DD47DF">
        <w:t xml:space="preserve"> energetický audit</w:t>
      </w:r>
      <w:r w:rsidR="0020357B" w:rsidRPr="00DD47DF">
        <w:t xml:space="preserve"> či energetický posudek</w:t>
      </w:r>
      <w:r w:rsidR="00C61714" w:rsidRPr="00DD47DF">
        <w:t xml:space="preserve"> doporučující nejvhodnější opatření, která budou realizována</w:t>
      </w:r>
      <w:r w:rsidR="0020357B" w:rsidRPr="00DD47DF">
        <w:t>.</w:t>
      </w:r>
    </w:p>
    <w:p w14:paraId="57F78E9E" w14:textId="28D9CDF7" w:rsidR="00BA0383" w:rsidRPr="00DD47DF" w:rsidRDefault="007B0072" w:rsidP="007B0072">
      <w:pPr>
        <w:pStyle w:val="Standardntext"/>
        <w:numPr>
          <w:ilvl w:val="0"/>
          <w:numId w:val="43"/>
        </w:numPr>
      </w:pPr>
      <w:r w:rsidRPr="007B0072">
        <w:t>V případě investiční podpory v rámci OP bude odpovídajícím způsobem snížena vnitrostátní provozní podpora podle oznámení EK.</w:t>
      </w:r>
    </w:p>
    <w:p w14:paraId="4F273032" w14:textId="77777777" w:rsidR="0020357B" w:rsidRPr="00DD47DF" w:rsidRDefault="00771A39" w:rsidP="00D927A2">
      <w:pPr>
        <w:pStyle w:val="Standardntext"/>
        <w:numPr>
          <w:ilvl w:val="0"/>
          <w:numId w:val="43"/>
        </w:numPr>
      </w:pPr>
      <w:r w:rsidRPr="00DD47DF">
        <w:t>Podpora výstavby MVE bude možná pouze v případě souladu s rámcovou směrnicí o vodě, a to zejména s článkem 4, odstavce 7, 8 a 9 rámcové směrnice o vodě, což si   vyžádá řádné strategické hodnocení všech opatření a provádění článku 4 (7) rámcové směrnice o vodě (zejména opatření ke zmírnění dopadů) a článku 6 směrnice o stanovištích (a směrnice o posuzování vlivů na životní prostředí - EIA na úrovni projektu). Uplatněním čl</w:t>
      </w:r>
      <w:r w:rsidR="00535C97" w:rsidRPr="00DD47DF">
        <w:t>.</w:t>
      </w:r>
      <w:r w:rsidRPr="00DD47DF">
        <w:t xml:space="preserve"> 6 směrnice o stanovištích, by mělo být zajištěno, aby nedocházelo ke kolizím s lokalitami Natura 2000.</w:t>
      </w:r>
      <w:r w:rsidR="00C61714" w:rsidRPr="00DD47DF">
        <w:t xml:space="preserve"> Dokud nebude vše toto zajištěno, projekt nebude podpořen.</w:t>
      </w:r>
    </w:p>
    <w:p w14:paraId="2D70BE1D" w14:textId="77777777" w:rsidR="00516E97" w:rsidRPr="00DD47DF" w:rsidRDefault="00516E97" w:rsidP="00D927A2">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593A311B" w14:textId="77777777" w:rsidR="00B5004C" w:rsidRPr="00DD47DF" w:rsidRDefault="00BA6461" w:rsidP="005F43DF">
      <w:pPr>
        <w:pStyle w:val="Nadpis5"/>
        <w:numPr>
          <w:ilvl w:val="4"/>
          <w:numId w:val="18"/>
        </w:numPr>
        <w:rPr>
          <w:rFonts w:cs="Calibri"/>
        </w:rPr>
      </w:pPr>
      <w:r w:rsidRPr="00DD47DF">
        <w:t xml:space="preserve">Plánované využití finančních nástrojů </w:t>
      </w:r>
    </w:p>
    <w:p w14:paraId="287AB918" w14:textId="77777777" w:rsidR="00B5004C" w:rsidRPr="00DD47DF" w:rsidRDefault="00397070" w:rsidP="002A4D1D">
      <w:pPr>
        <w:pStyle w:val="Standardntext"/>
        <w:rPr>
          <w:color w:val="FF0000"/>
        </w:rPr>
      </w:pPr>
      <w:r w:rsidRPr="00DD47DF">
        <w:t>Řídící orgán zvažuje využití finančních nástrojů v této investiční prioritě. O jejich využití bude rozhodnuto na základě výsledků předběžného posouzení finančních nástrojů OP PIK dle čl. 37 odst. 2 obecného nařízení, které provede ŘO OP PIK, případně jeho revize podle čl. 37 odst. 2 písm. g) obecného nařízení.</w:t>
      </w:r>
    </w:p>
    <w:p w14:paraId="071B90DC" w14:textId="77777777" w:rsidR="00B5004C" w:rsidRPr="00DD47DF" w:rsidRDefault="00BA6461" w:rsidP="005F43DF">
      <w:pPr>
        <w:pStyle w:val="Nadpis5"/>
        <w:numPr>
          <w:ilvl w:val="4"/>
          <w:numId w:val="18"/>
        </w:numPr>
      </w:pPr>
      <w:r w:rsidRPr="00DD47DF">
        <w:t>Plánované využití velkých projektů (použije-li se)</w:t>
      </w:r>
    </w:p>
    <w:p w14:paraId="4790F1CF" w14:textId="77777777" w:rsidR="002A4D1D" w:rsidRPr="00DD47DF" w:rsidRDefault="002A4D1D" w:rsidP="002A4D1D">
      <w:pPr>
        <w:pStyle w:val="Standardntext"/>
      </w:pPr>
      <w:r w:rsidRPr="00DD47DF">
        <w:t xml:space="preserve">Velké projekty ve smyslu čl. </w:t>
      </w:r>
      <w:r w:rsidR="00C17C7C" w:rsidRPr="00DD47DF">
        <w:t>10</w:t>
      </w:r>
      <w:r w:rsidRPr="00DD47DF">
        <w:t>0 obecného nařízení nejsou plánovány.</w:t>
      </w:r>
    </w:p>
    <w:p w14:paraId="1E995A48" w14:textId="77777777" w:rsidR="00B5004C" w:rsidRPr="00DD47DF" w:rsidRDefault="00BA6461" w:rsidP="001D58DB">
      <w:pPr>
        <w:pStyle w:val="Nadpis5"/>
        <w:numPr>
          <w:ilvl w:val="4"/>
          <w:numId w:val="18"/>
        </w:numPr>
      </w:pPr>
      <w:r w:rsidRPr="00DD47DF">
        <w:lastRenderedPageBreak/>
        <w:t>Ukazatele výstupů podle investiční priority a případně podle kategorie regionů</w:t>
      </w:r>
    </w:p>
    <w:p w14:paraId="7C294BF4" w14:textId="77777777" w:rsidR="00B5004C" w:rsidRPr="00DD47DF" w:rsidRDefault="00B5004C" w:rsidP="001D58DB">
      <w:pPr>
        <w:pStyle w:val="Titulek"/>
        <w:keepNext/>
        <w:keepLines/>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668"/>
        <w:gridCol w:w="2158"/>
        <w:gridCol w:w="1330"/>
        <w:gridCol w:w="665"/>
        <w:gridCol w:w="1209"/>
        <w:gridCol w:w="1124"/>
        <w:gridCol w:w="997"/>
        <w:gridCol w:w="1175"/>
      </w:tblGrid>
      <w:tr w:rsidR="001B2E5C" w:rsidRPr="00DD47DF" w14:paraId="7ACB1C5F" w14:textId="77777777" w:rsidTr="0096415B">
        <w:trPr>
          <w:trHeight w:hRule="exact" w:val="1043"/>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5753BAA3" w14:textId="77777777" w:rsidR="001B2E5C" w:rsidRPr="00DD47DF" w:rsidRDefault="001B2E5C" w:rsidP="001D58DB">
            <w:pPr>
              <w:pStyle w:val="Tabulka"/>
              <w:keepNext/>
              <w:keepLines/>
              <w:rPr>
                <w:rFonts w:cs="Calibri"/>
                <w:b/>
              </w:rPr>
            </w:pPr>
            <w:r w:rsidRPr="00DD47DF">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22BE7BD" w14:textId="77777777" w:rsidR="001B2E5C" w:rsidRPr="00DD47DF" w:rsidRDefault="001B2E5C" w:rsidP="001D58DB">
            <w:pPr>
              <w:pStyle w:val="Tabulka"/>
              <w:keepNext/>
              <w:keepLines/>
              <w:rPr>
                <w:rFonts w:cs="Calibri"/>
                <w:b/>
              </w:rPr>
            </w:pPr>
            <w:r w:rsidRPr="00DD47DF">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9662669" w14:textId="77777777" w:rsidR="001B2E5C" w:rsidRPr="00DD47DF" w:rsidRDefault="001B2E5C" w:rsidP="001D58DB">
            <w:pPr>
              <w:pStyle w:val="Tabulka"/>
              <w:keepNext/>
              <w:keepLines/>
              <w:rPr>
                <w:rFonts w:cs="Calibri"/>
                <w:b/>
              </w:rPr>
            </w:pPr>
            <w:r w:rsidRPr="00DD47DF">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EDC616F" w14:textId="77777777" w:rsidR="001B2E5C" w:rsidRPr="00DD47DF" w:rsidRDefault="001B2E5C" w:rsidP="001D58DB">
            <w:pPr>
              <w:pStyle w:val="Tabulka"/>
              <w:keepNext/>
              <w:keepLines/>
              <w:rPr>
                <w:rFonts w:cs="Calibri"/>
                <w:b/>
              </w:rPr>
            </w:pPr>
            <w:r w:rsidRPr="00DD47DF">
              <w:rPr>
                <w:rFonts w:cs="Calibri"/>
                <w:b/>
              </w:rPr>
              <w:t>Fond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792D09D" w14:textId="77777777" w:rsidR="001B2E5C" w:rsidRPr="00DD47DF" w:rsidRDefault="001B2E5C" w:rsidP="001D58DB">
            <w:pPr>
              <w:pStyle w:val="Tabulka"/>
              <w:keepNext/>
              <w:keepLines/>
              <w:rPr>
                <w:rFonts w:cs="Calibri"/>
                <w:b/>
              </w:rPr>
            </w:pPr>
            <w:r w:rsidRPr="00DD47DF">
              <w:rPr>
                <w:rFonts w:cs="Calibri"/>
                <w:b/>
              </w:rPr>
              <w:t>Kategorie regionu</w:t>
            </w:r>
          </w:p>
        </w:tc>
        <w:tc>
          <w:tcPr>
            <w:tcW w:w="1124"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65A0973" w14:textId="77777777" w:rsidR="001B2E5C" w:rsidRPr="00DD47DF" w:rsidRDefault="001B2E5C" w:rsidP="001D58DB">
            <w:pPr>
              <w:pStyle w:val="Tabulka"/>
              <w:keepNext/>
              <w:keepLines/>
              <w:rPr>
                <w:rFonts w:cs="Calibri"/>
                <w:b/>
              </w:rPr>
            </w:pPr>
            <w:r w:rsidRPr="00DD47DF">
              <w:rPr>
                <w:rFonts w:cs="Calibri"/>
                <w:b/>
              </w:rPr>
              <w:t>Cílová hodnota</w:t>
            </w:r>
            <w:r w:rsidR="00956C4F" w:rsidRPr="00DD47DF">
              <w:rPr>
                <w:rFonts w:cs="Calibri"/>
                <w:b/>
              </w:rPr>
              <w:t xml:space="preserve"> </w:t>
            </w:r>
            <w:r w:rsidRPr="00DD47DF">
              <w:rPr>
                <w:rFonts w:cs="Calibri"/>
                <w:b/>
              </w:rPr>
              <w:t>(2023)</w:t>
            </w:r>
          </w:p>
        </w:tc>
        <w:tc>
          <w:tcPr>
            <w:tcW w:w="997"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72968B4" w14:textId="77777777" w:rsidR="001B2E5C" w:rsidRPr="00DD47DF" w:rsidRDefault="001B2E5C" w:rsidP="001D58DB">
            <w:pPr>
              <w:pStyle w:val="Tabulka"/>
              <w:keepNext/>
              <w:keepLines/>
              <w:rPr>
                <w:rFonts w:cs="Calibri"/>
                <w:b/>
              </w:rPr>
            </w:pPr>
            <w:r w:rsidRPr="00DD47DF">
              <w:rPr>
                <w:rFonts w:cs="Calibri"/>
                <w:b/>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AA298C1" w14:textId="77777777" w:rsidR="001B2E5C" w:rsidRPr="00DD47DF" w:rsidRDefault="001B2E5C" w:rsidP="001D58DB">
            <w:pPr>
              <w:pStyle w:val="Tabulka"/>
              <w:keepNext/>
              <w:keepLines/>
              <w:rPr>
                <w:rFonts w:cs="Calibri"/>
                <w:b/>
              </w:rPr>
            </w:pPr>
            <w:r w:rsidRPr="00DD47DF">
              <w:rPr>
                <w:rFonts w:cs="Calibri"/>
                <w:b/>
              </w:rPr>
              <w:t>Četnost podávání zpráv</w:t>
            </w:r>
          </w:p>
        </w:tc>
      </w:tr>
      <w:tr w:rsidR="00826B6B" w:rsidRPr="00DD47DF" w14:paraId="2B5DE7BA" w14:textId="77777777" w:rsidTr="0096415B">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5D0C56CE" w14:textId="7ECBCEC5" w:rsidR="00826B6B" w:rsidRPr="00DD47DF" w:rsidRDefault="00C75691" w:rsidP="007D5585">
            <w:pPr>
              <w:pStyle w:val="Tabulka"/>
              <w:rPr>
                <w:rFonts w:cs="Calibri"/>
              </w:rPr>
            </w:pPr>
            <w:r w:rsidRPr="00DD47DF">
              <w:rPr>
                <w:rFonts w:cs="Calibri"/>
              </w:rPr>
              <w:t xml:space="preserve">CO </w:t>
            </w:r>
            <w:r w:rsidR="00CC4F9D" w:rsidRPr="00DD47DF">
              <w:rPr>
                <w:rFonts w:cs="Calibri"/>
              </w:rPr>
              <w:t>0</w:t>
            </w:r>
            <w:r w:rsidR="00826B6B" w:rsidRPr="00DD47DF">
              <w:rPr>
                <w:rFonts w:cs="Calibri"/>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3D6B0510" w14:textId="77777777" w:rsidR="00826B6B" w:rsidRPr="00DD47DF" w:rsidRDefault="007D6298" w:rsidP="007D5585">
            <w:pPr>
              <w:pStyle w:val="Tabulka"/>
              <w:jc w:val="left"/>
              <w:rPr>
                <w:rFonts w:cs="Calibri"/>
              </w:rPr>
            </w:pPr>
            <w:r w:rsidRPr="00DD47DF">
              <w:rPr>
                <w:rFonts w:cs="Calibri"/>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4DAE03B0" w14:textId="77777777" w:rsidR="00826B6B" w:rsidRPr="00DD47DF" w:rsidRDefault="00826B6B" w:rsidP="007D5585">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27D05EB7" w14:textId="77777777" w:rsidR="00826B6B" w:rsidRPr="00DD47DF" w:rsidRDefault="002B3F69" w:rsidP="007D558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7FCE5BE8" w14:textId="77777777" w:rsidR="00826B6B" w:rsidRPr="00DD47DF" w:rsidRDefault="00826B6B" w:rsidP="007D5585">
            <w:pPr>
              <w:pStyle w:val="Tabulka"/>
              <w:rPr>
                <w:rFonts w:cs="Calibri"/>
              </w:rPr>
            </w:pPr>
            <w:r w:rsidRPr="00DD47DF">
              <w:rPr>
                <w:rFonts w:cs="Calibri"/>
              </w:rPr>
              <w:t>Méně rozvinuté regiony</w:t>
            </w:r>
          </w:p>
        </w:tc>
        <w:tc>
          <w:tcPr>
            <w:tcW w:w="1124" w:type="dxa"/>
            <w:tcBorders>
              <w:top w:val="single" w:sz="4" w:space="0" w:color="000000"/>
              <w:left w:val="single" w:sz="4" w:space="0" w:color="000000"/>
              <w:bottom w:val="single" w:sz="4" w:space="0" w:color="000000"/>
              <w:right w:val="single" w:sz="4" w:space="0" w:color="000000"/>
            </w:tcBorders>
            <w:vAlign w:val="center"/>
          </w:tcPr>
          <w:p w14:paraId="2AA8D3C9" w14:textId="77777777" w:rsidR="00826B6B" w:rsidRPr="00DD47DF" w:rsidRDefault="0095728A" w:rsidP="007D5585">
            <w:pPr>
              <w:pStyle w:val="Tabulka"/>
              <w:rPr>
                <w:rFonts w:cs="Calibri"/>
              </w:rPr>
            </w:pPr>
            <w:r w:rsidRPr="00DD47DF">
              <w:rPr>
                <w:rFonts w:cs="Calibri"/>
              </w:rPr>
              <w:t>17</w:t>
            </w:r>
            <w:r w:rsidR="00826B6B" w:rsidRPr="00DD47DF">
              <w:rPr>
                <w:rFonts w:cs="Calibri"/>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29D18D47" w14:textId="77777777" w:rsidR="00826B6B" w:rsidRPr="00DD47DF" w:rsidRDefault="00FC7054" w:rsidP="007D5585">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6725ACAA" w14:textId="77777777" w:rsidR="00826B6B" w:rsidRPr="00DD47DF" w:rsidRDefault="00FC7054" w:rsidP="007D5585">
            <w:pPr>
              <w:pStyle w:val="Tabulka"/>
              <w:rPr>
                <w:rFonts w:cs="Calibri"/>
              </w:rPr>
            </w:pPr>
            <w:r>
              <w:rPr>
                <w:rFonts w:cs="Calibri"/>
              </w:rPr>
              <w:t>průběžně</w:t>
            </w:r>
          </w:p>
        </w:tc>
      </w:tr>
      <w:tr w:rsidR="00DD2D31" w:rsidRPr="00DD47DF" w14:paraId="4640255B" w14:textId="77777777" w:rsidTr="0096415B">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4C8F889C" w14:textId="6BC863B5" w:rsidR="00DD2D31" w:rsidRPr="00DD47DF" w:rsidRDefault="00DD2D31" w:rsidP="007D5585">
            <w:pPr>
              <w:pStyle w:val="Tabulka"/>
              <w:rPr>
                <w:rFonts w:cs="Calibri"/>
              </w:rPr>
            </w:pPr>
            <w:r w:rsidRPr="00DD47DF">
              <w:rPr>
                <w:rFonts w:cs="Calibri"/>
              </w:rPr>
              <w:t>CO 02</w:t>
            </w:r>
          </w:p>
        </w:tc>
        <w:tc>
          <w:tcPr>
            <w:tcW w:w="0" w:type="auto"/>
            <w:tcBorders>
              <w:top w:val="single" w:sz="4" w:space="0" w:color="000000"/>
              <w:left w:val="single" w:sz="4" w:space="0" w:color="000000"/>
              <w:bottom w:val="single" w:sz="4" w:space="0" w:color="000000"/>
              <w:right w:val="single" w:sz="4" w:space="0" w:color="000000"/>
            </w:tcBorders>
            <w:vAlign w:val="center"/>
          </w:tcPr>
          <w:p w14:paraId="3978B1CC" w14:textId="77777777" w:rsidR="00DD2D31" w:rsidRPr="00DD47DF" w:rsidRDefault="00DD2D31" w:rsidP="007D5585">
            <w:pPr>
              <w:pStyle w:val="Tabulka"/>
              <w:jc w:val="left"/>
              <w:rPr>
                <w:rFonts w:cs="Calibri"/>
              </w:rPr>
            </w:pPr>
            <w:r w:rsidRPr="00DD47DF">
              <w:rPr>
                <w:rFonts w:cs="Calibri"/>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6649B2E1" w14:textId="77777777" w:rsidR="00DD2D31" w:rsidRPr="00DD47DF" w:rsidRDefault="00DD2D31" w:rsidP="007D5585">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34603E6D" w14:textId="77777777" w:rsidR="00DD2D31" w:rsidRPr="00DD47DF" w:rsidRDefault="00DD2D31" w:rsidP="007D558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6B47A985" w14:textId="77777777" w:rsidR="00DD2D31" w:rsidRPr="00DD47DF" w:rsidRDefault="00DD2D31" w:rsidP="007D5585">
            <w:pPr>
              <w:pStyle w:val="Tabulka"/>
              <w:rPr>
                <w:rFonts w:cs="Calibri"/>
              </w:rPr>
            </w:pPr>
            <w:r w:rsidRPr="00DD47DF">
              <w:rPr>
                <w:rFonts w:cs="Calibri"/>
              </w:rPr>
              <w:t>Méně rozvinuté regiony</w:t>
            </w:r>
          </w:p>
        </w:tc>
        <w:tc>
          <w:tcPr>
            <w:tcW w:w="1124" w:type="dxa"/>
            <w:tcBorders>
              <w:top w:val="single" w:sz="4" w:space="0" w:color="000000"/>
              <w:left w:val="single" w:sz="4" w:space="0" w:color="000000"/>
              <w:bottom w:val="single" w:sz="4" w:space="0" w:color="000000"/>
              <w:right w:val="single" w:sz="4" w:space="0" w:color="000000"/>
            </w:tcBorders>
            <w:vAlign w:val="center"/>
          </w:tcPr>
          <w:p w14:paraId="373F4FEC" w14:textId="77777777" w:rsidR="00DD2D31" w:rsidRPr="00DD47DF" w:rsidRDefault="00DD2D31" w:rsidP="007D5585">
            <w:pPr>
              <w:pStyle w:val="Tabulka"/>
              <w:rPr>
                <w:rFonts w:cs="Calibri"/>
              </w:rPr>
            </w:pPr>
            <w:r w:rsidRPr="00DD47DF">
              <w:rPr>
                <w:rFonts w:cs="Calibri"/>
              </w:rPr>
              <w:t>170</w:t>
            </w:r>
          </w:p>
        </w:tc>
        <w:tc>
          <w:tcPr>
            <w:tcW w:w="997" w:type="dxa"/>
            <w:tcBorders>
              <w:top w:val="single" w:sz="4" w:space="0" w:color="000000"/>
              <w:left w:val="single" w:sz="4" w:space="0" w:color="000000"/>
              <w:bottom w:val="single" w:sz="4" w:space="0" w:color="000000"/>
              <w:right w:val="single" w:sz="4" w:space="0" w:color="000000"/>
            </w:tcBorders>
            <w:vAlign w:val="center"/>
          </w:tcPr>
          <w:p w14:paraId="12E9ED46" w14:textId="77777777" w:rsidR="00DD2D31" w:rsidRPr="00DD47DF" w:rsidRDefault="00FC7054" w:rsidP="007D5585">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3340566B" w14:textId="77777777" w:rsidR="00DD2D31" w:rsidRPr="00DD47DF" w:rsidRDefault="00FC7054" w:rsidP="007D5585">
            <w:pPr>
              <w:pStyle w:val="Tabulka"/>
              <w:rPr>
                <w:rFonts w:cs="Calibri"/>
              </w:rPr>
            </w:pPr>
            <w:r>
              <w:rPr>
                <w:rFonts w:cs="Calibri"/>
              </w:rPr>
              <w:t>průběžně</w:t>
            </w:r>
          </w:p>
        </w:tc>
      </w:tr>
      <w:tr w:rsidR="00DD2D31" w:rsidRPr="00DD47DF" w14:paraId="48C291B6" w14:textId="77777777" w:rsidTr="0096415B">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25E5EFC6" w14:textId="01A6189C" w:rsidR="00DD2D31" w:rsidRPr="00DD47DF" w:rsidRDefault="00DD2D31" w:rsidP="007D5585">
            <w:pPr>
              <w:pStyle w:val="Tabulka"/>
              <w:rPr>
                <w:rFonts w:cs="Calibri"/>
              </w:rPr>
            </w:pPr>
            <w:r w:rsidRPr="00DD47DF">
              <w:rPr>
                <w:rFonts w:cs="Calibri"/>
              </w:rPr>
              <w:t>CO 06</w:t>
            </w:r>
          </w:p>
        </w:tc>
        <w:tc>
          <w:tcPr>
            <w:tcW w:w="0" w:type="auto"/>
            <w:tcBorders>
              <w:top w:val="single" w:sz="4" w:space="0" w:color="000000"/>
              <w:left w:val="single" w:sz="4" w:space="0" w:color="000000"/>
              <w:bottom w:val="single" w:sz="4" w:space="0" w:color="000000"/>
              <w:right w:val="single" w:sz="4" w:space="0" w:color="000000"/>
            </w:tcBorders>
            <w:vAlign w:val="center"/>
          </w:tcPr>
          <w:p w14:paraId="012C3EFF" w14:textId="77777777" w:rsidR="00DD2D31" w:rsidRPr="00DD47DF" w:rsidRDefault="00892451" w:rsidP="007D5585">
            <w:pPr>
              <w:pStyle w:val="Tabulka"/>
              <w:jc w:val="left"/>
              <w:rPr>
                <w:rFonts w:cs="Calibri"/>
              </w:rPr>
            </w:pPr>
            <w:r w:rsidRPr="00892451">
              <w:rPr>
                <w:rFonts w:cs="Calibri"/>
              </w:rPr>
              <w:t>Soukromé investice odpovídající veřejné podpoře podniků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19797BBB" w14:textId="77777777" w:rsidR="00DD2D31" w:rsidRPr="00DD47DF" w:rsidRDefault="00DD2D31" w:rsidP="007D5585">
            <w:pPr>
              <w:pStyle w:val="Tabulka"/>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648C6629" w14:textId="77777777" w:rsidR="00DD2D31" w:rsidRPr="00DD47DF" w:rsidRDefault="00DD2D31" w:rsidP="007D558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79382532" w14:textId="77777777" w:rsidR="00DD2D31" w:rsidRPr="00DD47DF" w:rsidRDefault="00DD2D31" w:rsidP="007D5585">
            <w:pPr>
              <w:pStyle w:val="Tabulka"/>
              <w:rPr>
                <w:rFonts w:cs="Calibri"/>
              </w:rPr>
            </w:pPr>
            <w:r w:rsidRPr="00DD47DF">
              <w:rPr>
                <w:rFonts w:cs="Calibri"/>
              </w:rPr>
              <w:t>Méně rozvinuté regiony</w:t>
            </w:r>
          </w:p>
        </w:tc>
        <w:tc>
          <w:tcPr>
            <w:tcW w:w="1124" w:type="dxa"/>
            <w:tcBorders>
              <w:top w:val="single" w:sz="4" w:space="0" w:color="000000"/>
              <w:left w:val="single" w:sz="4" w:space="0" w:color="000000"/>
              <w:bottom w:val="single" w:sz="4" w:space="0" w:color="000000"/>
              <w:right w:val="single" w:sz="4" w:space="0" w:color="000000"/>
            </w:tcBorders>
            <w:vAlign w:val="center"/>
          </w:tcPr>
          <w:p w14:paraId="79F7DFB4" w14:textId="77777777" w:rsidR="00DD2D31" w:rsidRPr="00DD47DF" w:rsidRDefault="00DD2D31" w:rsidP="007D5585">
            <w:pPr>
              <w:pStyle w:val="Tabulka"/>
              <w:rPr>
                <w:rFonts w:cs="Calibri"/>
              </w:rPr>
            </w:pPr>
            <w:r w:rsidRPr="00DD47DF">
              <w:rPr>
                <w:rFonts w:cs="Calibri"/>
              </w:rPr>
              <w:t>79 000 000</w:t>
            </w:r>
          </w:p>
        </w:tc>
        <w:tc>
          <w:tcPr>
            <w:tcW w:w="997" w:type="dxa"/>
            <w:tcBorders>
              <w:top w:val="single" w:sz="4" w:space="0" w:color="000000"/>
              <w:left w:val="single" w:sz="4" w:space="0" w:color="000000"/>
              <w:bottom w:val="single" w:sz="4" w:space="0" w:color="000000"/>
              <w:right w:val="single" w:sz="4" w:space="0" w:color="000000"/>
            </w:tcBorders>
            <w:vAlign w:val="center"/>
          </w:tcPr>
          <w:p w14:paraId="354DF600" w14:textId="77777777" w:rsidR="00DD2D31" w:rsidRPr="00DD47DF" w:rsidRDefault="00800418" w:rsidP="007D5585">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0AE3305A" w14:textId="77777777" w:rsidR="00DD2D31" w:rsidRPr="00DD47DF" w:rsidRDefault="00934A97" w:rsidP="007D5585">
            <w:pPr>
              <w:pStyle w:val="Tabulka"/>
              <w:rPr>
                <w:rFonts w:cs="Calibri"/>
              </w:rPr>
            </w:pPr>
            <w:r>
              <w:rPr>
                <w:rFonts w:cs="Calibri"/>
              </w:rPr>
              <w:t>průběžně</w:t>
            </w:r>
          </w:p>
        </w:tc>
      </w:tr>
      <w:tr w:rsidR="00DD2D31" w:rsidRPr="00DD47DF" w14:paraId="0A6F828F" w14:textId="77777777" w:rsidTr="0096415B">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6B5CC29D" w14:textId="5C0AC3E7" w:rsidR="00DD2D31" w:rsidRPr="00DD47DF" w:rsidRDefault="00DD2D31" w:rsidP="008F41A1">
            <w:pPr>
              <w:pStyle w:val="Tabulka"/>
              <w:keepNext/>
              <w:keepLines/>
              <w:rPr>
                <w:rFonts w:cs="Calibri"/>
              </w:rPr>
            </w:pPr>
            <w:r w:rsidRPr="00DD47DF">
              <w:rPr>
                <w:rFonts w:cs="Calibri"/>
              </w:rPr>
              <w:t>CO 30</w:t>
            </w:r>
          </w:p>
        </w:tc>
        <w:tc>
          <w:tcPr>
            <w:tcW w:w="0" w:type="auto"/>
            <w:tcBorders>
              <w:top w:val="single" w:sz="4" w:space="0" w:color="000000"/>
              <w:left w:val="single" w:sz="4" w:space="0" w:color="000000"/>
              <w:bottom w:val="single" w:sz="4" w:space="0" w:color="000000"/>
              <w:right w:val="single" w:sz="4" w:space="0" w:color="000000"/>
            </w:tcBorders>
            <w:vAlign w:val="center"/>
          </w:tcPr>
          <w:p w14:paraId="60A2F685" w14:textId="77777777" w:rsidR="00DD2D31" w:rsidRPr="00DD47DF" w:rsidRDefault="00DD2D31" w:rsidP="008F41A1">
            <w:pPr>
              <w:pStyle w:val="Tabulka"/>
              <w:keepNext/>
              <w:keepLines/>
              <w:jc w:val="left"/>
              <w:rPr>
                <w:rFonts w:cs="Calibri"/>
              </w:rPr>
            </w:pPr>
            <w:r w:rsidRPr="00DD47DF">
              <w:rPr>
                <w:rFonts w:cs="Calibri"/>
              </w:rPr>
              <w:t>Nová kapacita zařízení pro výrobu energie z obnovitelných zdrojů</w:t>
            </w:r>
          </w:p>
        </w:tc>
        <w:tc>
          <w:tcPr>
            <w:tcW w:w="0" w:type="auto"/>
            <w:tcBorders>
              <w:top w:val="single" w:sz="4" w:space="0" w:color="000000"/>
              <w:left w:val="single" w:sz="4" w:space="0" w:color="000000"/>
              <w:bottom w:val="single" w:sz="4" w:space="0" w:color="000000"/>
              <w:right w:val="single" w:sz="4" w:space="0" w:color="000000"/>
            </w:tcBorders>
            <w:vAlign w:val="center"/>
          </w:tcPr>
          <w:p w14:paraId="66D84553" w14:textId="77777777" w:rsidR="00DD2D31" w:rsidRPr="00DD47DF" w:rsidRDefault="00DD2D31" w:rsidP="008F41A1">
            <w:pPr>
              <w:pStyle w:val="Tabulka"/>
              <w:keepNext/>
              <w:keepLines/>
              <w:rPr>
                <w:rFonts w:cs="Calibri"/>
              </w:rPr>
            </w:pPr>
            <w:r w:rsidRPr="00DD47DF">
              <w:rPr>
                <w:rFonts w:cs="Calibri"/>
              </w:rPr>
              <w:t>MW</w:t>
            </w:r>
          </w:p>
        </w:tc>
        <w:tc>
          <w:tcPr>
            <w:tcW w:w="0" w:type="auto"/>
            <w:tcBorders>
              <w:top w:val="single" w:sz="4" w:space="0" w:color="000000"/>
              <w:left w:val="single" w:sz="4" w:space="0" w:color="000000"/>
              <w:bottom w:val="single" w:sz="4" w:space="0" w:color="000000"/>
              <w:right w:val="single" w:sz="4" w:space="0" w:color="000000"/>
            </w:tcBorders>
            <w:vAlign w:val="center"/>
          </w:tcPr>
          <w:p w14:paraId="11E86868" w14:textId="77777777" w:rsidR="00DD2D31" w:rsidRPr="00DD47DF" w:rsidRDefault="00DD2D31" w:rsidP="007D558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1BFA1CCC" w14:textId="77777777" w:rsidR="00DD2D31" w:rsidRPr="00DD47DF" w:rsidRDefault="00DD2D31" w:rsidP="007D5585">
            <w:pPr>
              <w:pStyle w:val="Tabulka"/>
              <w:rPr>
                <w:rFonts w:cs="Calibri"/>
              </w:rPr>
            </w:pPr>
            <w:r w:rsidRPr="00DD47DF">
              <w:rPr>
                <w:rFonts w:cs="Calibri"/>
              </w:rPr>
              <w:t>Méně rozvinuté regiony</w:t>
            </w:r>
          </w:p>
        </w:tc>
        <w:tc>
          <w:tcPr>
            <w:tcW w:w="1124" w:type="dxa"/>
            <w:tcBorders>
              <w:top w:val="single" w:sz="4" w:space="0" w:color="000000"/>
              <w:left w:val="single" w:sz="4" w:space="0" w:color="000000"/>
              <w:bottom w:val="single" w:sz="4" w:space="0" w:color="000000"/>
              <w:right w:val="single" w:sz="4" w:space="0" w:color="000000"/>
            </w:tcBorders>
            <w:vAlign w:val="center"/>
          </w:tcPr>
          <w:p w14:paraId="652F8EBB" w14:textId="77777777" w:rsidR="00DD2D31" w:rsidRPr="00DD47DF" w:rsidRDefault="00DD2D31" w:rsidP="007D5585">
            <w:pPr>
              <w:pStyle w:val="Tabulka"/>
              <w:rPr>
                <w:rFonts w:cs="Calibri"/>
              </w:rPr>
            </w:pPr>
            <w:r w:rsidRPr="00DD47DF">
              <w:rPr>
                <w:rFonts w:cs="Calibri"/>
              </w:rPr>
              <w:t>70</w:t>
            </w:r>
          </w:p>
        </w:tc>
        <w:tc>
          <w:tcPr>
            <w:tcW w:w="997" w:type="dxa"/>
            <w:tcBorders>
              <w:top w:val="single" w:sz="4" w:space="0" w:color="000000"/>
              <w:left w:val="single" w:sz="4" w:space="0" w:color="000000"/>
              <w:bottom w:val="single" w:sz="4" w:space="0" w:color="000000"/>
              <w:right w:val="single" w:sz="4" w:space="0" w:color="000000"/>
            </w:tcBorders>
            <w:vAlign w:val="center"/>
          </w:tcPr>
          <w:p w14:paraId="6C8386DB" w14:textId="77777777" w:rsidR="00DD2D31" w:rsidRPr="00DD47DF" w:rsidRDefault="00DD2D31" w:rsidP="008F41A1">
            <w:pPr>
              <w:pStyle w:val="Tabulka"/>
              <w:keepNext/>
              <w:keepLines/>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0CD9611E" w14:textId="77777777" w:rsidR="00DD2D31" w:rsidRPr="00DD47DF" w:rsidRDefault="00914951" w:rsidP="008F41A1">
            <w:pPr>
              <w:pStyle w:val="Tabulka"/>
              <w:keepNext/>
              <w:keepLines/>
              <w:rPr>
                <w:rFonts w:cs="Calibri"/>
              </w:rPr>
            </w:pPr>
            <w:r>
              <w:rPr>
                <w:rFonts w:cs="Calibri"/>
              </w:rPr>
              <w:t>průběžně</w:t>
            </w:r>
          </w:p>
        </w:tc>
      </w:tr>
      <w:tr w:rsidR="00DD2D31" w:rsidRPr="00DD47DF" w14:paraId="78A9F068" w14:textId="77777777" w:rsidTr="0096415B">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72F06670" w14:textId="240A6DB5" w:rsidR="00DD2D31" w:rsidRPr="00DD47DF" w:rsidDel="00C75691" w:rsidRDefault="00DD2D31" w:rsidP="008F41A1">
            <w:pPr>
              <w:pStyle w:val="Tabulka"/>
              <w:keepNext/>
              <w:keepLines/>
              <w:rPr>
                <w:rFonts w:cs="Calibri"/>
              </w:rPr>
            </w:pPr>
            <w:r w:rsidRPr="00DD47DF">
              <w:rPr>
                <w:rFonts w:cs="Calibri"/>
              </w:rPr>
              <w:t>CO 34</w:t>
            </w:r>
          </w:p>
        </w:tc>
        <w:tc>
          <w:tcPr>
            <w:tcW w:w="0" w:type="auto"/>
            <w:tcBorders>
              <w:top w:val="single" w:sz="4" w:space="0" w:color="000000"/>
              <w:left w:val="single" w:sz="4" w:space="0" w:color="000000"/>
              <w:bottom w:val="single" w:sz="4" w:space="0" w:color="000000"/>
              <w:right w:val="single" w:sz="4" w:space="0" w:color="000000"/>
            </w:tcBorders>
            <w:vAlign w:val="center"/>
          </w:tcPr>
          <w:p w14:paraId="0B96C343" w14:textId="77777777" w:rsidR="00DD2D31" w:rsidRPr="00DD47DF" w:rsidRDefault="00DD2D31" w:rsidP="008F41A1">
            <w:pPr>
              <w:pStyle w:val="Tabulka"/>
              <w:keepNext/>
              <w:keepLines/>
              <w:jc w:val="left"/>
              <w:rPr>
                <w:rFonts w:cs="Calibri"/>
              </w:rPr>
            </w:pPr>
            <w:r w:rsidRPr="00DD47DF">
              <w:rPr>
                <w:rFonts w:cs="Calibri"/>
              </w:rPr>
              <w:t>Odhadované roční snížení emisí skleníkových plynů</w:t>
            </w:r>
          </w:p>
        </w:tc>
        <w:tc>
          <w:tcPr>
            <w:tcW w:w="0" w:type="auto"/>
            <w:tcBorders>
              <w:top w:val="single" w:sz="4" w:space="0" w:color="000000"/>
              <w:left w:val="single" w:sz="4" w:space="0" w:color="000000"/>
              <w:bottom w:val="single" w:sz="4" w:space="0" w:color="000000"/>
              <w:right w:val="single" w:sz="4" w:space="0" w:color="000000"/>
            </w:tcBorders>
            <w:vAlign w:val="center"/>
          </w:tcPr>
          <w:p w14:paraId="31CD9C76" w14:textId="77777777" w:rsidR="00DD2D31" w:rsidRPr="00DD47DF" w:rsidRDefault="00DD2D31" w:rsidP="008F41A1">
            <w:pPr>
              <w:pStyle w:val="Tabulka"/>
              <w:keepNext/>
              <w:keepLines/>
              <w:rPr>
                <w:rFonts w:cs="Calibri"/>
              </w:rPr>
            </w:pPr>
            <w:r w:rsidRPr="00DD47DF">
              <w:rPr>
                <w:rFonts w:cs="Calibri"/>
              </w:rPr>
              <w:t>Tuny ekvivalentu CO2/rok</w:t>
            </w:r>
          </w:p>
        </w:tc>
        <w:tc>
          <w:tcPr>
            <w:tcW w:w="0" w:type="auto"/>
            <w:tcBorders>
              <w:top w:val="single" w:sz="4" w:space="0" w:color="000000"/>
              <w:left w:val="single" w:sz="4" w:space="0" w:color="000000"/>
              <w:bottom w:val="single" w:sz="4" w:space="0" w:color="000000"/>
              <w:right w:val="single" w:sz="4" w:space="0" w:color="000000"/>
            </w:tcBorders>
            <w:vAlign w:val="center"/>
          </w:tcPr>
          <w:p w14:paraId="37F81A68" w14:textId="77777777" w:rsidR="00DD2D31" w:rsidRPr="00DD47DF" w:rsidRDefault="00DD2D31" w:rsidP="007D558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4419E2D2" w14:textId="77777777" w:rsidR="00DD2D31" w:rsidRPr="00DD47DF" w:rsidRDefault="00DD2D31" w:rsidP="007D5585">
            <w:pPr>
              <w:pStyle w:val="Tabulka"/>
              <w:rPr>
                <w:rFonts w:cs="Calibri"/>
              </w:rPr>
            </w:pPr>
            <w:r w:rsidRPr="00DD47DF">
              <w:rPr>
                <w:rFonts w:cs="Calibri"/>
              </w:rPr>
              <w:t>Méně rozvinuté regiony</w:t>
            </w:r>
          </w:p>
        </w:tc>
        <w:tc>
          <w:tcPr>
            <w:tcW w:w="1124" w:type="dxa"/>
            <w:tcBorders>
              <w:top w:val="single" w:sz="4" w:space="0" w:color="000000"/>
              <w:left w:val="single" w:sz="4" w:space="0" w:color="000000"/>
              <w:bottom w:val="single" w:sz="4" w:space="0" w:color="000000"/>
              <w:right w:val="single" w:sz="4" w:space="0" w:color="000000"/>
            </w:tcBorders>
            <w:vAlign w:val="center"/>
          </w:tcPr>
          <w:p w14:paraId="301F605E" w14:textId="77777777" w:rsidR="00DD2D31" w:rsidRPr="00DD47DF" w:rsidRDefault="00DD2D31" w:rsidP="007D5585">
            <w:pPr>
              <w:pStyle w:val="Tabulka"/>
              <w:rPr>
                <w:rFonts w:cs="Calibri"/>
              </w:rPr>
            </w:pPr>
            <w:r w:rsidRPr="00DD47DF">
              <w:rPr>
                <w:rFonts w:cs="Calibri"/>
              </w:rPr>
              <w:t>300 000</w:t>
            </w:r>
          </w:p>
        </w:tc>
        <w:tc>
          <w:tcPr>
            <w:tcW w:w="997" w:type="dxa"/>
            <w:tcBorders>
              <w:top w:val="single" w:sz="4" w:space="0" w:color="000000"/>
              <w:left w:val="single" w:sz="4" w:space="0" w:color="000000"/>
              <w:bottom w:val="single" w:sz="4" w:space="0" w:color="000000"/>
              <w:right w:val="single" w:sz="4" w:space="0" w:color="000000"/>
            </w:tcBorders>
            <w:vAlign w:val="center"/>
          </w:tcPr>
          <w:p w14:paraId="3EC0B3F7" w14:textId="77777777" w:rsidR="00DD2D31" w:rsidRPr="00DD47DF" w:rsidRDefault="00DD2D31" w:rsidP="008F41A1">
            <w:pPr>
              <w:pStyle w:val="Tabulka"/>
              <w:keepNext/>
              <w:keepLines/>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01C4DEF4" w14:textId="77777777" w:rsidR="00DD2D31" w:rsidRPr="00DD47DF" w:rsidRDefault="00CE0DF7" w:rsidP="008F41A1">
            <w:pPr>
              <w:pStyle w:val="Tabulka"/>
              <w:keepNext/>
              <w:keepLines/>
              <w:rPr>
                <w:rFonts w:cs="Calibri"/>
              </w:rPr>
            </w:pPr>
            <w:r>
              <w:rPr>
                <w:rFonts w:cs="Calibri"/>
              </w:rPr>
              <w:t>průběžně</w:t>
            </w:r>
          </w:p>
        </w:tc>
      </w:tr>
      <w:tr w:rsidR="00DD2D31" w:rsidRPr="00DD47DF" w14:paraId="697539FA" w14:textId="77777777" w:rsidTr="0096415B">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2A78C7B6" w14:textId="77777777" w:rsidR="00DD2D31" w:rsidRPr="00DD47DF" w:rsidDel="00C75691" w:rsidRDefault="00DD2D31" w:rsidP="008F41A1">
            <w:pPr>
              <w:pStyle w:val="Tabulka"/>
              <w:keepNext/>
              <w:keepLines/>
              <w:rPr>
                <w:rFonts w:cs="Calibri"/>
              </w:rPr>
            </w:pPr>
            <w:r w:rsidRPr="00DD47DF">
              <w:rPr>
                <w:rFonts w:cs="Calibri"/>
              </w:rPr>
              <w:t>34601</w:t>
            </w:r>
          </w:p>
        </w:tc>
        <w:tc>
          <w:tcPr>
            <w:tcW w:w="0" w:type="auto"/>
            <w:tcBorders>
              <w:top w:val="single" w:sz="4" w:space="0" w:color="000000"/>
              <w:left w:val="single" w:sz="4" w:space="0" w:color="000000"/>
              <w:bottom w:val="single" w:sz="4" w:space="0" w:color="000000"/>
              <w:right w:val="single" w:sz="4" w:space="0" w:color="000000"/>
            </w:tcBorders>
            <w:vAlign w:val="center"/>
          </w:tcPr>
          <w:p w14:paraId="76925A52" w14:textId="77777777" w:rsidR="00DD2D31" w:rsidRPr="00DD47DF" w:rsidRDefault="00DD2D31" w:rsidP="008F41A1">
            <w:pPr>
              <w:pStyle w:val="Tabulka"/>
              <w:keepNext/>
              <w:keepLines/>
              <w:jc w:val="left"/>
              <w:rPr>
                <w:rFonts w:cs="Calibri"/>
              </w:rPr>
            </w:pPr>
            <w:r w:rsidRPr="00DD47DF">
              <w:rPr>
                <w:rFonts w:cs="Calibri"/>
              </w:rPr>
              <w:t>Soustrojí MVE</w:t>
            </w:r>
          </w:p>
        </w:tc>
        <w:tc>
          <w:tcPr>
            <w:tcW w:w="0" w:type="auto"/>
            <w:tcBorders>
              <w:top w:val="single" w:sz="4" w:space="0" w:color="000000"/>
              <w:left w:val="single" w:sz="4" w:space="0" w:color="000000"/>
              <w:bottom w:val="single" w:sz="4" w:space="0" w:color="000000"/>
              <w:right w:val="single" w:sz="4" w:space="0" w:color="000000"/>
            </w:tcBorders>
            <w:vAlign w:val="center"/>
          </w:tcPr>
          <w:p w14:paraId="679FE762" w14:textId="77777777" w:rsidR="00DD2D31" w:rsidRPr="00DD47DF" w:rsidRDefault="00DD2D31" w:rsidP="008F41A1">
            <w:pPr>
              <w:pStyle w:val="Tabulka"/>
              <w:keepNext/>
              <w:keepLines/>
              <w:rPr>
                <w:rFonts w:cs="Calibri"/>
              </w:rPr>
            </w:pPr>
            <w:r w:rsidRPr="00DD47DF">
              <w:rPr>
                <w:rFonts w:cs="Calibri"/>
              </w:rPr>
              <w:t>soustrojí</w:t>
            </w:r>
          </w:p>
        </w:tc>
        <w:tc>
          <w:tcPr>
            <w:tcW w:w="0" w:type="auto"/>
            <w:tcBorders>
              <w:top w:val="single" w:sz="4" w:space="0" w:color="000000"/>
              <w:left w:val="single" w:sz="4" w:space="0" w:color="000000"/>
              <w:bottom w:val="single" w:sz="4" w:space="0" w:color="000000"/>
              <w:right w:val="single" w:sz="4" w:space="0" w:color="000000"/>
            </w:tcBorders>
            <w:vAlign w:val="center"/>
          </w:tcPr>
          <w:p w14:paraId="7C7C9482" w14:textId="77777777" w:rsidR="00DD2D31" w:rsidRPr="00DD47DF" w:rsidRDefault="00DD2D31" w:rsidP="007D558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525A2D5F" w14:textId="77777777" w:rsidR="00DD2D31" w:rsidRPr="00DD47DF" w:rsidRDefault="00DD2D31" w:rsidP="007D5585">
            <w:pPr>
              <w:pStyle w:val="Tabulka"/>
              <w:rPr>
                <w:rFonts w:cs="Calibri"/>
              </w:rPr>
            </w:pPr>
            <w:r w:rsidRPr="00DD47DF">
              <w:rPr>
                <w:rFonts w:cs="Calibri"/>
              </w:rPr>
              <w:t>Méně rozvinuté regiony</w:t>
            </w:r>
          </w:p>
        </w:tc>
        <w:tc>
          <w:tcPr>
            <w:tcW w:w="1124" w:type="dxa"/>
            <w:tcBorders>
              <w:top w:val="single" w:sz="4" w:space="0" w:color="000000"/>
              <w:left w:val="single" w:sz="4" w:space="0" w:color="000000"/>
              <w:bottom w:val="single" w:sz="4" w:space="0" w:color="000000"/>
              <w:right w:val="single" w:sz="4" w:space="0" w:color="000000"/>
            </w:tcBorders>
            <w:vAlign w:val="center"/>
          </w:tcPr>
          <w:p w14:paraId="688B6FF3" w14:textId="38BAD1EB" w:rsidR="00DD2D31" w:rsidRPr="00DD47DF" w:rsidRDefault="0096415B" w:rsidP="007D5585">
            <w:pPr>
              <w:pStyle w:val="Tabulka"/>
              <w:rPr>
                <w:rFonts w:cs="Calibri"/>
              </w:rPr>
            </w:pPr>
            <w:r>
              <w:rPr>
                <w:rFonts w:cs="Calibri"/>
              </w:rPr>
              <w:t>60</w:t>
            </w:r>
          </w:p>
        </w:tc>
        <w:tc>
          <w:tcPr>
            <w:tcW w:w="997" w:type="dxa"/>
            <w:tcBorders>
              <w:top w:val="single" w:sz="4" w:space="0" w:color="000000"/>
              <w:left w:val="single" w:sz="4" w:space="0" w:color="000000"/>
              <w:bottom w:val="single" w:sz="4" w:space="0" w:color="000000"/>
              <w:right w:val="single" w:sz="4" w:space="0" w:color="000000"/>
            </w:tcBorders>
            <w:vAlign w:val="center"/>
          </w:tcPr>
          <w:p w14:paraId="4852A055" w14:textId="77777777" w:rsidR="00DD2D31" w:rsidRPr="00DD47DF" w:rsidRDefault="00DD2D31" w:rsidP="008F41A1">
            <w:pPr>
              <w:pStyle w:val="Tabulka"/>
              <w:keepNext/>
              <w:keepLines/>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24DDBBAA" w14:textId="77777777" w:rsidR="00DD2D31" w:rsidRPr="00DD47DF" w:rsidRDefault="00573C9E" w:rsidP="008F41A1">
            <w:pPr>
              <w:pStyle w:val="Tabulka"/>
              <w:keepNext/>
              <w:keepLines/>
              <w:rPr>
                <w:rFonts w:cs="Calibri"/>
              </w:rPr>
            </w:pPr>
            <w:r>
              <w:rPr>
                <w:rFonts w:cs="Calibri"/>
              </w:rPr>
              <w:t>průběžně</w:t>
            </w:r>
          </w:p>
        </w:tc>
      </w:tr>
      <w:tr w:rsidR="00DD2D31" w:rsidRPr="00DD47DF" w14:paraId="1083B696" w14:textId="77777777" w:rsidTr="0096415B">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513E2820" w14:textId="77777777" w:rsidR="00DD2D31" w:rsidRPr="00DD47DF" w:rsidDel="00C75691" w:rsidRDefault="00DD2D31" w:rsidP="008F41A1">
            <w:pPr>
              <w:pStyle w:val="Tabulka"/>
              <w:keepNext/>
              <w:keepLines/>
              <w:rPr>
                <w:rFonts w:cs="Calibri"/>
              </w:rPr>
            </w:pPr>
            <w:r w:rsidRPr="00DD47DF">
              <w:rPr>
                <w:rFonts w:cs="Calibri"/>
              </w:rPr>
              <w:t>33905</w:t>
            </w:r>
          </w:p>
        </w:tc>
        <w:tc>
          <w:tcPr>
            <w:tcW w:w="0" w:type="auto"/>
            <w:tcBorders>
              <w:top w:val="single" w:sz="4" w:space="0" w:color="000000"/>
              <w:left w:val="single" w:sz="4" w:space="0" w:color="000000"/>
              <w:bottom w:val="single" w:sz="4" w:space="0" w:color="000000"/>
              <w:right w:val="single" w:sz="4" w:space="0" w:color="000000"/>
            </w:tcBorders>
            <w:vAlign w:val="center"/>
          </w:tcPr>
          <w:p w14:paraId="58963A93" w14:textId="77777777" w:rsidR="00DD2D31" w:rsidRPr="00DD47DF" w:rsidRDefault="00DD2D31" w:rsidP="008F41A1">
            <w:pPr>
              <w:pStyle w:val="Tabulka"/>
              <w:keepNext/>
              <w:keepLines/>
              <w:jc w:val="left"/>
              <w:rPr>
                <w:rFonts w:cs="Calibri"/>
              </w:rPr>
            </w:pPr>
            <w:r w:rsidRPr="00DD47DF">
              <w:rPr>
                <w:rFonts w:cs="Calibri"/>
              </w:rPr>
              <w:t>Soustavy vyvedení tepla z bioplynových stanic</w:t>
            </w:r>
          </w:p>
        </w:tc>
        <w:tc>
          <w:tcPr>
            <w:tcW w:w="0" w:type="auto"/>
            <w:tcBorders>
              <w:top w:val="single" w:sz="4" w:space="0" w:color="000000"/>
              <w:left w:val="single" w:sz="4" w:space="0" w:color="000000"/>
              <w:bottom w:val="single" w:sz="4" w:space="0" w:color="000000"/>
              <w:right w:val="single" w:sz="4" w:space="0" w:color="000000"/>
            </w:tcBorders>
            <w:vAlign w:val="center"/>
          </w:tcPr>
          <w:p w14:paraId="16520946" w14:textId="77777777" w:rsidR="00DD2D31" w:rsidRPr="00DD47DF" w:rsidRDefault="00DD2D31" w:rsidP="008F41A1">
            <w:pPr>
              <w:pStyle w:val="Tabulka"/>
              <w:keepNext/>
              <w:keepLines/>
              <w:rPr>
                <w:rFonts w:cs="Calibri"/>
              </w:rPr>
            </w:pPr>
            <w:r w:rsidRPr="00DD47DF">
              <w:rPr>
                <w:rFonts w:cs="Calibri"/>
              </w:rPr>
              <w:t>soustava</w:t>
            </w:r>
          </w:p>
        </w:tc>
        <w:tc>
          <w:tcPr>
            <w:tcW w:w="0" w:type="auto"/>
            <w:tcBorders>
              <w:top w:val="single" w:sz="4" w:space="0" w:color="000000"/>
              <w:left w:val="single" w:sz="4" w:space="0" w:color="000000"/>
              <w:bottom w:val="single" w:sz="4" w:space="0" w:color="000000"/>
              <w:right w:val="single" w:sz="4" w:space="0" w:color="000000"/>
            </w:tcBorders>
            <w:vAlign w:val="center"/>
          </w:tcPr>
          <w:p w14:paraId="643A7D2C" w14:textId="77777777" w:rsidR="00DD2D31" w:rsidRPr="00DD47DF" w:rsidRDefault="00DD2D31" w:rsidP="007D558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32E0EA69" w14:textId="77777777" w:rsidR="00DD2D31" w:rsidRPr="00DD47DF" w:rsidRDefault="00DD2D31" w:rsidP="007D5585">
            <w:pPr>
              <w:pStyle w:val="Tabulka"/>
              <w:rPr>
                <w:rFonts w:cs="Calibri"/>
              </w:rPr>
            </w:pPr>
            <w:r w:rsidRPr="00DD47DF">
              <w:rPr>
                <w:rFonts w:cs="Calibri"/>
              </w:rPr>
              <w:t>Méně rozvinuté regiony</w:t>
            </w:r>
          </w:p>
        </w:tc>
        <w:tc>
          <w:tcPr>
            <w:tcW w:w="1124" w:type="dxa"/>
            <w:tcBorders>
              <w:top w:val="single" w:sz="4" w:space="0" w:color="000000"/>
              <w:left w:val="single" w:sz="4" w:space="0" w:color="000000"/>
              <w:bottom w:val="single" w:sz="4" w:space="0" w:color="000000"/>
              <w:right w:val="single" w:sz="4" w:space="0" w:color="000000"/>
            </w:tcBorders>
            <w:vAlign w:val="center"/>
          </w:tcPr>
          <w:p w14:paraId="798D876C" w14:textId="72140480" w:rsidR="00DD2D31" w:rsidRPr="00DD47DF" w:rsidRDefault="0096415B" w:rsidP="007D5585">
            <w:pPr>
              <w:pStyle w:val="Tabulka"/>
              <w:rPr>
                <w:rFonts w:cs="Calibri"/>
              </w:rPr>
            </w:pPr>
            <w:r>
              <w:rPr>
                <w:rFonts w:cs="Calibri"/>
              </w:rPr>
              <w:t>65</w:t>
            </w:r>
          </w:p>
        </w:tc>
        <w:tc>
          <w:tcPr>
            <w:tcW w:w="997" w:type="dxa"/>
            <w:tcBorders>
              <w:top w:val="single" w:sz="4" w:space="0" w:color="000000"/>
              <w:left w:val="single" w:sz="4" w:space="0" w:color="000000"/>
              <w:bottom w:val="single" w:sz="4" w:space="0" w:color="000000"/>
              <w:right w:val="single" w:sz="4" w:space="0" w:color="000000"/>
            </w:tcBorders>
            <w:vAlign w:val="center"/>
          </w:tcPr>
          <w:p w14:paraId="45912CCD" w14:textId="77777777" w:rsidR="00DD2D31" w:rsidRPr="00DD47DF" w:rsidRDefault="00DD2D31" w:rsidP="008F41A1">
            <w:pPr>
              <w:pStyle w:val="Tabulka"/>
              <w:keepNext/>
              <w:keepLines/>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6D7083F8" w14:textId="77777777" w:rsidR="00DD2D31" w:rsidRPr="00DD47DF" w:rsidRDefault="005355DA" w:rsidP="008F41A1">
            <w:pPr>
              <w:pStyle w:val="Tabulka"/>
              <w:keepNext/>
              <w:keepLines/>
              <w:rPr>
                <w:rFonts w:cs="Calibri"/>
              </w:rPr>
            </w:pPr>
            <w:r>
              <w:rPr>
                <w:rFonts w:cs="Calibri"/>
              </w:rPr>
              <w:t>průběžně</w:t>
            </w:r>
          </w:p>
        </w:tc>
      </w:tr>
      <w:tr w:rsidR="00DD2D31" w:rsidRPr="00DD47DF" w14:paraId="24B59ECE" w14:textId="77777777" w:rsidTr="0096415B">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280044C7" w14:textId="77777777" w:rsidR="00DD2D31" w:rsidRPr="00DD47DF" w:rsidDel="00C75691" w:rsidRDefault="00DD2D31" w:rsidP="008F41A1">
            <w:pPr>
              <w:pStyle w:val="Tabulka"/>
              <w:keepNext/>
              <w:keepLines/>
              <w:rPr>
                <w:rFonts w:cs="Calibri"/>
              </w:rPr>
            </w:pPr>
            <w:r w:rsidRPr="00DD47DF">
              <w:rPr>
                <w:rFonts w:cs="Calibri"/>
              </w:rPr>
              <w:t>34701</w:t>
            </w:r>
          </w:p>
        </w:tc>
        <w:tc>
          <w:tcPr>
            <w:tcW w:w="0" w:type="auto"/>
            <w:tcBorders>
              <w:top w:val="single" w:sz="4" w:space="0" w:color="000000"/>
              <w:left w:val="single" w:sz="4" w:space="0" w:color="000000"/>
              <w:bottom w:val="single" w:sz="4" w:space="0" w:color="000000"/>
              <w:right w:val="single" w:sz="4" w:space="0" w:color="000000"/>
            </w:tcBorders>
            <w:vAlign w:val="center"/>
          </w:tcPr>
          <w:p w14:paraId="2D5B472F" w14:textId="77777777" w:rsidR="00DD2D31" w:rsidRPr="00DD47DF" w:rsidRDefault="00DD2D31" w:rsidP="008600A4">
            <w:pPr>
              <w:pStyle w:val="Tabulka"/>
              <w:keepNext/>
              <w:keepLines/>
              <w:jc w:val="left"/>
              <w:rPr>
                <w:rFonts w:cs="Calibri"/>
              </w:rPr>
            </w:pPr>
            <w:r w:rsidRPr="00DD47DF">
              <w:rPr>
                <w:rFonts w:cs="Calibri"/>
              </w:rPr>
              <w:t>Nové nebo rekonstruované KVET</w:t>
            </w:r>
          </w:p>
        </w:tc>
        <w:tc>
          <w:tcPr>
            <w:tcW w:w="0" w:type="auto"/>
            <w:tcBorders>
              <w:top w:val="single" w:sz="4" w:space="0" w:color="000000"/>
              <w:left w:val="single" w:sz="4" w:space="0" w:color="000000"/>
              <w:bottom w:val="single" w:sz="4" w:space="0" w:color="000000"/>
              <w:right w:val="single" w:sz="4" w:space="0" w:color="000000"/>
            </w:tcBorders>
            <w:vAlign w:val="center"/>
          </w:tcPr>
          <w:p w14:paraId="21C69517" w14:textId="77777777" w:rsidR="00DD2D31" w:rsidRPr="00DD47DF" w:rsidRDefault="00DD2D31" w:rsidP="008F41A1">
            <w:pPr>
              <w:pStyle w:val="Tabulka"/>
              <w:keepNext/>
              <w:keepLines/>
              <w:rPr>
                <w:rFonts w:cs="Calibri"/>
              </w:rPr>
            </w:pPr>
            <w:r w:rsidRPr="00DD47DF">
              <w:rPr>
                <w:rFonts w:cs="Calibri"/>
              </w:rPr>
              <w:t>soustava KVET</w:t>
            </w:r>
          </w:p>
        </w:tc>
        <w:tc>
          <w:tcPr>
            <w:tcW w:w="0" w:type="auto"/>
            <w:tcBorders>
              <w:top w:val="single" w:sz="4" w:space="0" w:color="000000"/>
              <w:left w:val="single" w:sz="4" w:space="0" w:color="000000"/>
              <w:bottom w:val="single" w:sz="4" w:space="0" w:color="000000"/>
              <w:right w:val="single" w:sz="4" w:space="0" w:color="000000"/>
            </w:tcBorders>
            <w:vAlign w:val="center"/>
          </w:tcPr>
          <w:p w14:paraId="5A5263FA" w14:textId="77777777" w:rsidR="00DD2D31" w:rsidRPr="00DD47DF" w:rsidRDefault="00DD2D31" w:rsidP="007D558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25D258BF" w14:textId="77777777" w:rsidR="00DD2D31" w:rsidRPr="00DD47DF" w:rsidRDefault="00DD2D31" w:rsidP="007D5585">
            <w:pPr>
              <w:pStyle w:val="Tabulka"/>
              <w:rPr>
                <w:rFonts w:cs="Calibri"/>
              </w:rPr>
            </w:pPr>
            <w:r w:rsidRPr="00DD47DF">
              <w:rPr>
                <w:rFonts w:cs="Calibri"/>
              </w:rPr>
              <w:t>Méně rozvinuté regiony</w:t>
            </w:r>
          </w:p>
        </w:tc>
        <w:tc>
          <w:tcPr>
            <w:tcW w:w="1124" w:type="dxa"/>
            <w:tcBorders>
              <w:top w:val="single" w:sz="4" w:space="0" w:color="000000"/>
              <w:left w:val="single" w:sz="4" w:space="0" w:color="000000"/>
              <w:bottom w:val="single" w:sz="4" w:space="0" w:color="000000"/>
              <w:right w:val="single" w:sz="4" w:space="0" w:color="000000"/>
            </w:tcBorders>
            <w:vAlign w:val="center"/>
          </w:tcPr>
          <w:p w14:paraId="11A35295" w14:textId="04FDA46E" w:rsidR="00DD2D31" w:rsidRPr="00DD47DF" w:rsidRDefault="0096415B" w:rsidP="007D5585">
            <w:pPr>
              <w:pStyle w:val="Tabulka"/>
              <w:rPr>
                <w:rFonts w:cs="Calibri"/>
              </w:rPr>
            </w:pPr>
            <w:r>
              <w:rPr>
                <w:rFonts w:cs="Calibri"/>
              </w:rPr>
              <w:t>55</w:t>
            </w:r>
          </w:p>
        </w:tc>
        <w:tc>
          <w:tcPr>
            <w:tcW w:w="997" w:type="dxa"/>
            <w:tcBorders>
              <w:top w:val="single" w:sz="4" w:space="0" w:color="000000"/>
              <w:left w:val="single" w:sz="4" w:space="0" w:color="000000"/>
              <w:bottom w:val="single" w:sz="4" w:space="0" w:color="000000"/>
              <w:right w:val="single" w:sz="4" w:space="0" w:color="000000"/>
            </w:tcBorders>
            <w:vAlign w:val="center"/>
          </w:tcPr>
          <w:p w14:paraId="41A3E4A3" w14:textId="77777777" w:rsidR="00DD2D31" w:rsidRPr="00DD47DF" w:rsidRDefault="00DD2D31" w:rsidP="008F41A1">
            <w:pPr>
              <w:pStyle w:val="Tabulka"/>
              <w:keepNext/>
              <w:keepLines/>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47871822" w14:textId="77777777" w:rsidR="00DD2D31" w:rsidRPr="00DD47DF" w:rsidRDefault="00516928" w:rsidP="008F41A1">
            <w:pPr>
              <w:pStyle w:val="Tabulka"/>
              <w:keepNext/>
              <w:keepLines/>
              <w:rPr>
                <w:rFonts w:cs="Calibri"/>
              </w:rPr>
            </w:pPr>
            <w:r>
              <w:rPr>
                <w:rFonts w:cs="Calibri"/>
              </w:rPr>
              <w:t>průběžně</w:t>
            </w:r>
          </w:p>
        </w:tc>
      </w:tr>
      <w:tr w:rsidR="0096415B" w:rsidRPr="00DD47DF" w14:paraId="7571809E" w14:textId="77777777" w:rsidTr="0096415B">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655A9A38" w14:textId="2B429415" w:rsidR="0096415B" w:rsidRPr="00DD47DF" w:rsidRDefault="0096415B" w:rsidP="0096415B">
            <w:pPr>
              <w:pStyle w:val="Tabulka"/>
              <w:keepNext/>
              <w:keepLines/>
              <w:rPr>
                <w:rFonts w:cs="Calibri"/>
              </w:rPr>
            </w:pPr>
            <w:r w:rsidRPr="00230AA4">
              <w:rPr>
                <w:rFonts w:cs="Calibri"/>
              </w:rPr>
              <w:t>33907</w:t>
            </w:r>
          </w:p>
        </w:tc>
        <w:tc>
          <w:tcPr>
            <w:tcW w:w="0" w:type="auto"/>
            <w:tcBorders>
              <w:top w:val="single" w:sz="4" w:space="0" w:color="000000"/>
              <w:left w:val="single" w:sz="4" w:space="0" w:color="000000"/>
              <w:bottom w:val="single" w:sz="4" w:space="0" w:color="000000"/>
              <w:right w:val="single" w:sz="4" w:space="0" w:color="000000"/>
            </w:tcBorders>
            <w:vAlign w:val="center"/>
          </w:tcPr>
          <w:p w14:paraId="5FDB34E7" w14:textId="3437A56C" w:rsidR="0096415B" w:rsidRPr="00DD47DF" w:rsidRDefault="0096415B" w:rsidP="0096415B">
            <w:pPr>
              <w:pStyle w:val="Tabulka"/>
              <w:keepNext/>
              <w:keepLines/>
              <w:jc w:val="left"/>
              <w:rPr>
                <w:rFonts w:cs="Calibri"/>
              </w:rPr>
            </w:pPr>
            <w:r>
              <w:rPr>
                <w:rFonts w:cs="Calibri"/>
              </w:rPr>
              <w:t>Soustavy tepelných čerpadel</w:t>
            </w:r>
          </w:p>
        </w:tc>
        <w:tc>
          <w:tcPr>
            <w:tcW w:w="0" w:type="auto"/>
            <w:tcBorders>
              <w:top w:val="single" w:sz="4" w:space="0" w:color="000000"/>
              <w:left w:val="single" w:sz="4" w:space="0" w:color="000000"/>
              <w:bottom w:val="single" w:sz="4" w:space="0" w:color="000000"/>
              <w:right w:val="single" w:sz="4" w:space="0" w:color="000000"/>
            </w:tcBorders>
            <w:vAlign w:val="center"/>
          </w:tcPr>
          <w:p w14:paraId="77896498" w14:textId="55D1F820" w:rsidR="0096415B" w:rsidRPr="00DD47DF" w:rsidRDefault="0096415B" w:rsidP="0096415B">
            <w:pPr>
              <w:pStyle w:val="Tabulka"/>
              <w:keepNext/>
              <w:keepLines/>
              <w:rPr>
                <w:rFonts w:cs="Calibri"/>
              </w:rPr>
            </w:pPr>
            <w:r>
              <w:rPr>
                <w:rFonts w:cs="Calibri"/>
              </w:rPr>
              <w:t>soustava</w:t>
            </w:r>
          </w:p>
        </w:tc>
        <w:tc>
          <w:tcPr>
            <w:tcW w:w="0" w:type="auto"/>
            <w:tcBorders>
              <w:top w:val="single" w:sz="4" w:space="0" w:color="000000"/>
              <w:left w:val="single" w:sz="4" w:space="0" w:color="000000"/>
              <w:bottom w:val="single" w:sz="4" w:space="0" w:color="000000"/>
              <w:right w:val="single" w:sz="4" w:space="0" w:color="000000"/>
            </w:tcBorders>
            <w:vAlign w:val="center"/>
          </w:tcPr>
          <w:p w14:paraId="6CE523E3" w14:textId="7328BFEF" w:rsidR="0096415B" w:rsidRPr="00DD47DF" w:rsidRDefault="0096415B" w:rsidP="0096415B">
            <w:pPr>
              <w:pStyle w:val="Tabulka"/>
              <w:rPr>
                <w:rFonts w:cs="Calibri"/>
              </w:rPr>
            </w:pPr>
            <w:r w:rsidRPr="0026779D">
              <w:rPr>
                <w:rFonts w:cs="Calibri"/>
              </w:rPr>
              <w:t>EFRR</w:t>
            </w:r>
          </w:p>
        </w:tc>
        <w:tc>
          <w:tcPr>
            <w:tcW w:w="0" w:type="auto"/>
            <w:tcBorders>
              <w:top w:val="single" w:sz="4" w:space="0" w:color="000000"/>
              <w:left w:val="single" w:sz="4" w:space="0" w:color="000000"/>
              <w:bottom w:val="single" w:sz="4" w:space="0" w:color="000000"/>
              <w:right w:val="single" w:sz="4" w:space="0" w:color="000000"/>
            </w:tcBorders>
          </w:tcPr>
          <w:p w14:paraId="2D9EA14B" w14:textId="7D582BA2" w:rsidR="0096415B" w:rsidRPr="00DD47DF" w:rsidRDefault="0096415B" w:rsidP="0096415B">
            <w:pPr>
              <w:pStyle w:val="Tabulka"/>
              <w:rPr>
                <w:rFonts w:cs="Calibri"/>
              </w:rPr>
            </w:pPr>
            <w:r w:rsidRPr="0026779D">
              <w:t>Méně rozvinuté regiony</w:t>
            </w:r>
          </w:p>
        </w:tc>
        <w:tc>
          <w:tcPr>
            <w:tcW w:w="1124" w:type="dxa"/>
            <w:tcBorders>
              <w:top w:val="single" w:sz="4" w:space="0" w:color="000000"/>
              <w:left w:val="single" w:sz="4" w:space="0" w:color="000000"/>
              <w:bottom w:val="single" w:sz="4" w:space="0" w:color="000000"/>
              <w:right w:val="single" w:sz="4" w:space="0" w:color="000000"/>
            </w:tcBorders>
          </w:tcPr>
          <w:p w14:paraId="399E8E64" w14:textId="3A8ED0C6" w:rsidR="0096415B" w:rsidRPr="00DD47DF" w:rsidDel="0096415B" w:rsidRDefault="0096415B" w:rsidP="0096415B">
            <w:pPr>
              <w:pStyle w:val="Tabulka"/>
              <w:rPr>
                <w:rFonts w:cs="Calibri"/>
              </w:rPr>
            </w:pPr>
            <w:r w:rsidRPr="0026779D">
              <w:t>5</w:t>
            </w:r>
          </w:p>
        </w:tc>
        <w:tc>
          <w:tcPr>
            <w:tcW w:w="997" w:type="dxa"/>
            <w:tcBorders>
              <w:top w:val="single" w:sz="4" w:space="0" w:color="000000"/>
              <w:left w:val="single" w:sz="4" w:space="0" w:color="000000"/>
              <w:bottom w:val="single" w:sz="4" w:space="0" w:color="000000"/>
              <w:right w:val="single" w:sz="4" w:space="0" w:color="000000"/>
            </w:tcBorders>
          </w:tcPr>
          <w:p w14:paraId="12C96B7F" w14:textId="13EC1D90" w:rsidR="0096415B" w:rsidRPr="00DD47DF" w:rsidRDefault="0096415B" w:rsidP="0096415B">
            <w:pPr>
              <w:pStyle w:val="Tabulka"/>
              <w:keepNext/>
              <w:keepLines/>
              <w:rPr>
                <w:rFonts w:cs="Calibri"/>
              </w:rPr>
            </w:pPr>
            <w:r w:rsidRPr="0026779D">
              <w:t>Ž/P</w:t>
            </w:r>
          </w:p>
        </w:tc>
        <w:tc>
          <w:tcPr>
            <w:tcW w:w="0" w:type="auto"/>
            <w:tcBorders>
              <w:top w:val="single" w:sz="4" w:space="0" w:color="000000"/>
              <w:left w:val="single" w:sz="4" w:space="0" w:color="000000"/>
              <w:bottom w:val="single" w:sz="4" w:space="0" w:color="000000"/>
              <w:right w:val="single" w:sz="4" w:space="0" w:color="000000"/>
            </w:tcBorders>
          </w:tcPr>
          <w:p w14:paraId="542DA075" w14:textId="6436EAC9" w:rsidR="0096415B" w:rsidRDefault="0096415B" w:rsidP="0096415B">
            <w:pPr>
              <w:pStyle w:val="Tabulka"/>
              <w:keepNext/>
              <w:keepLines/>
              <w:rPr>
                <w:rFonts w:cs="Calibri"/>
              </w:rPr>
            </w:pPr>
            <w:r w:rsidRPr="0026779D">
              <w:t>průběžně</w:t>
            </w:r>
          </w:p>
        </w:tc>
      </w:tr>
      <w:tr w:rsidR="0096415B" w:rsidRPr="00DD47DF" w14:paraId="747D21F3" w14:textId="77777777" w:rsidTr="0096415B">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720787A1" w14:textId="29DA1A2E" w:rsidR="0096415B" w:rsidRPr="00DD47DF" w:rsidRDefault="0096415B" w:rsidP="0096415B">
            <w:pPr>
              <w:pStyle w:val="Tabulka"/>
              <w:keepNext/>
              <w:keepLines/>
              <w:rPr>
                <w:rFonts w:cs="Calibri"/>
              </w:rPr>
            </w:pPr>
            <w:r w:rsidRPr="00230AA4">
              <w:rPr>
                <w:rFonts w:cs="Calibri"/>
              </w:rPr>
              <w:t>33908</w:t>
            </w:r>
          </w:p>
        </w:tc>
        <w:tc>
          <w:tcPr>
            <w:tcW w:w="0" w:type="auto"/>
            <w:tcBorders>
              <w:top w:val="single" w:sz="4" w:space="0" w:color="000000"/>
              <w:left w:val="single" w:sz="4" w:space="0" w:color="000000"/>
              <w:bottom w:val="single" w:sz="4" w:space="0" w:color="000000"/>
              <w:right w:val="single" w:sz="4" w:space="0" w:color="000000"/>
            </w:tcBorders>
            <w:vAlign w:val="center"/>
          </w:tcPr>
          <w:p w14:paraId="25EB2F97" w14:textId="2F2B2589" w:rsidR="0096415B" w:rsidRPr="00DD47DF" w:rsidRDefault="0096415B" w:rsidP="0096415B">
            <w:pPr>
              <w:pStyle w:val="Tabulka"/>
              <w:keepNext/>
              <w:keepLines/>
              <w:jc w:val="left"/>
              <w:rPr>
                <w:rFonts w:cs="Calibri"/>
              </w:rPr>
            </w:pPr>
            <w:r>
              <w:rPr>
                <w:rFonts w:cs="Calibri"/>
              </w:rPr>
              <w:t>Soustavy solárních kolektorů</w:t>
            </w:r>
          </w:p>
        </w:tc>
        <w:tc>
          <w:tcPr>
            <w:tcW w:w="0" w:type="auto"/>
            <w:tcBorders>
              <w:top w:val="single" w:sz="4" w:space="0" w:color="000000"/>
              <w:left w:val="single" w:sz="4" w:space="0" w:color="000000"/>
              <w:bottom w:val="single" w:sz="4" w:space="0" w:color="000000"/>
              <w:right w:val="single" w:sz="4" w:space="0" w:color="000000"/>
            </w:tcBorders>
            <w:vAlign w:val="center"/>
          </w:tcPr>
          <w:p w14:paraId="4A8D7053" w14:textId="254BD5E8" w:rsidR="0096415B" w:rsidRPr="00DD47DF" w:rsidRDefault="0096415B" w:rsidP="0096415B">
            <w:pPr>
              <w:pStyle w:val="Tabulka"/>
              <w:keepNext/>
              <w:keepLines/>
              <w:rPr>
                <w:rFonts w:cs="Calibri"/>
              </w:rPr>
            </w:pPr>
            <w:r>
              <w:rPr>
                <w:rFonts w:cs="Calibri"/>
              </w:rPr>
              <w:t>soustava</w:t>
            </w:r>
          </w:p>
        </w:tc>
        <w:tc>
          <w:tcPr>
            <w:tcW w:w="0" w:type="auto"/>
            <w:tcBorders>
              <w:top w:val="single" w:sz="4" w:space="0" w:color="000000"/>
              <w:left w:val="single" w:sz="4" w:space="0" w:color="000000"/>
              <w:bottom w:val="single" w:sz="4" w:space="0" w:color="000000"/>
              <w:right w:val="single" w:sz="4" w:space="0" w:color="000000"/>
            </w:tcBorders>
            <w:vAlign w:val="center"/>
          </w:tcPr>
          <w:p w14:paraId="2F1AEA08" w14:textId="6959F6A7" w:rsidR="0096415B" w:rsidRPr="00DD47DF" w:rsidRDefault="0096415B" w:rsidP="0096415B">
            <w:pPr>
              <w:pStyle w:val="Tabulka"/>
              <w:rPr>
                <w:rFonts w:cs="Calibri"/>
              </w:rPr>
            </w:pPr>
            <w:r w:rsidRPr="0026779D">
              <w:rPr>
                <w:rFonts w:cs="Calibri"/>
              </w:rPr>
              <w:t>EFRR</w:t>
            </w:r>
          </w:p>
        </w:tc>
        <w:tc>
          <w:tcPr>
            <w:tcW w:w="0" w:type="auto"/>
            <w:tcBorders>
              <w:top w:val="single" w:sz="4" w:space="0" w:color="000000"/>
              <w:left w:val="single" w:sz="4" w:space="0" w:color="000000"/>
              <w:bottom w:val="single" w:sz="4" w:space="0" w:color="000000"/>
              <w:right w:val="single" w:sz="4" w:space="0" w:color="000000"/>
            </w:tcBorders>
          </w:tcPr>
          <w:p w14:paraId="3691127E" w14:textId="3B58488C" w:rsidR="0096415B" w:rsidRPr="00DD47DF" w:rsidRDefault="0096415B" w:rsidP="0096415B">
            <w:pPr>
              <w:pStyle w:val="Tabulka"/>
              <w:rPr>
                <w:rFonts w:cs="Calibri"/>
              </w:rPr>
            </w:pPr>
            <w:r w:rsidRPr="0026779D">
              <w:t>Méně rozvinuté regiony</w:t>
            </w:r>
          </w:p>
        </w:tc>
        <w:tc>
          <w:tcPr>
            <w:tcW w:w="1124" w:type="dxa"/>
            <w:tcBorders>
              <w:top w:val="single" w:sz="4" w:space="0" w:color="000000"/>
              <w:left w:val="single" w:sz="4" w:space="0" w:color="000000"/>
              <w:bottom w:val="single" w:sz="4" w:space="0" w:color="000000"/>
              <w:right w:val="single" w:sz="4" w:space="0" w:color="000000"/>
            </w:tcBorders>
          </w:tcPr>
          <w:p w14:paraId="767F4097" w14:textId="44E40192" w:rsidR="0096415B" w:rsidRPr="00DD47DF" w:rsidDel="0096415B" w:rsidRDefault="0096415B" w:rsidP="0096415B">
            <w:pPr>
              <w:pStyle w:val="Tabulka"/>
              <w:rPr>
                <w:rFonts w:cs="Calibri"/>
              </w:rPr>
            </w:pPr>
            <w:r w:rsidRPr="0026779D">
              <w:t>5</w:t>
            </w:r>
          </w:p>
        </w:tc>
        <w:tc>
          <w:tcPr>
            <w:tcW w:w="997" w:type="dxa"/>
            <w:tcBorders>
              <w:top w:val="single" w:sz="4" w:space="0" w:color="000000"/>
              <w:left w:val="single" w:sz="4" w:space="0" w:color="000000"/>
              <w:bottom w:val="single" w:sz="4" w:space="0" w:color="000000"/>
              <w:right w:val="single" w:sz="4" w:space="0" w:color="000000"/>
            </w:tcBorders>
          </w:tcPr>
          <w:p w14:paraId="0ADDD260" w14:textId="7A1D084A" w:rsidR="0096415B" w:rsidRPr="00DD47DF" w:rsidRDefault="0096415B" w:rsidP="0096415B">
            <w:pPr>
              <w:pStyle w:val="Tabulka"/>
              <w:keepNext/>
              <w:keepLines/>
              <w:rPr>
                <w:rFonts w:cs="Calibri"/>
              </w:rPr>
            </w:pPr>
            <w:r w:rsidRPr="0026779D">
              <w:t>Ž/P</w:t>
            </w:r>
          </w:p>
        </w:tc>
        <w:tc>
          <w:tcPr>
            <w:tcW w:w="0" w:type="auto"/>
            <w:tcBorders>
              <w:top w:val="single" w:sz="4" w:space="0" w:color="000000"/>
              <w:left w:val="single" w:sz="4" w:space="0" w:color="000000"/>
              <w:bottom w:val="single" w:sz="4" w:space="0" w:color="000000"/>
              <w:right w:val="single" w:sz="4" w:space="0" w:color="000000"/>
            </w:tcBorders>
          </w:tcPr>
          <w:p w14:paraId="7ADC678A" w14:textId="46D3FF4F" w:rsidR="0096415B" w:rsidRDefault="0096415B" w:rsidP="0096415B">
            <w:pPr>
              <w:pStyle w:val="Tabulka"/>
              <w:keepNext/>
              <w:keepLines/>
              <w:rPr>
                <w:rFonts w:cs="Calibri"/>
              </w:rPr>
            </w:pPr>
            <w:r w:rsidRPr="0026779D">
              <w:t>průběžně</w:t>
            </w:r>
          </w:p>
        </w:tc>
      </w:tr>
      <w:tr w:rsidR="0096415B" w:rsidRPr="00DD47DF" w14:paraId="456E0D50" w14:textId="77777777" w:rsidTr="0096415B">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260BD72A" w14:textId="4DF6606D" w:rsidR="0096415B" w:rsidRPr="00DD47DF" w:rsidRDefault="0096415B" w:rsidP="0096415B">
            <w:pPr>
              <w:pStyle w:val="Tabulka"/>
              <w:keepNext/>
              <w:keepLines/>
              <w:rPr>
                <w:rFonts w:cs="Calibri"/>
              </w:rPr>
            </w:pPr>
            <w:r w:rsidRPr="00230AA4">
              <w:rPr>
                <w:rFonts w:cs="Calibri"/>
              </w:rPr>
              <w:t>33909</w:t>
            </w:r>
          </w:p>
        </w:tc>
        <w:tc>
          <w:tcPr>
            <w:tcW w:w="0" w:type="auto"/>
            <w:tcBorders>
              <w:top w:val="single" w:sz="4" w:space="0" w:color="000000"/>
              <w:left w:val="single" w:sz="4" w:space="0" w:color="000000"/>
              <w:bottom w:val="single" w:sz="4" w:space="0" w:color="000000"/>
              <w:right w:val="single" w:sz="4" w:space="0" w:color="000000"/>
            </w:tcBorders>
            <w:vAlign w:val="center"/>
          </w:tcPr>
          <w:p w14:paraId="2F4A383B" w14:textId="7FDE108F" w:rsidR="0096415B" w:rsidRPr="00DD47DF" w:rsidRDefault="0096415B" w:rsidP="0096415B">
            <w:pPr>
              <w:pStyle w:val="Tabulka"/>
              <w:keepNext/>
              <w:keepLines/>
              <w:jc w:val="left"/>
              <w:rPr>
                <w:rFonts w:cs="Calibri"/>
              </w:rPr>
            </w:pPr>
            <w:r w:rsidRPr="0026779D">
              <w:rPr>
                <w:rFonts w:cs="Calibri"/>
              </w:rPr>
              <w:t>Větrný park</w:t>
            </w:r>
          </w:p>
        </w:tc>
        <w:tc>
          <w:tcPr>
            <w:tcW w:w="0" w:type="auto"/>
            <w:tcBorders>
              <w:top w:val="single" w:sz="4" w:space="0" w:color="000000"/>
              <w:left w:val="single" w:sz="4" w:space="0" w:color="000000"/>
              <w:bottom w:val="single" w:sz="4" w:space="0" w:color="000000"/>
              <w:right w:val="single" w:sz="4" w:space="0" w:color="000000"/>
            </w:tcBorders>
            <w:vAlign w:val="center"/>
          </w:tcPr>
          <w:p w14:paraId="4D5BFE55" w14:textId="052E2B6C" w:rsidR="0096415B" w:rsidRPr="00DD47DF" w:rsidRDefault="0096415B" w:rsidP="0096415B">
            <w:pPr>
              <w:pStyle w:val="Tabulka"/>
              <w:keepNext/>
              <w:keepLines/>
              <w:rPr>
                <w:rFonts w:cs="Calibri"/>
              </w:rPr>
            </w:pPr>
            <w:r w:rsidRPr="0026779D">
              <w:rPr>
                <w:rFonts w:cs="Calibri"/>
              </w:rPr>
              <w:t>park</w:t>
            </w:r>
          </w:p>
        </w:tc>
        <w:tc>
          <w:tcPr>
            <w:tcW w:w="0" w:type="auto"/>
            <w:tcBorders>
              <w:top w:val="single" w:sz="4" w:space="0" w:color="000000"/>
              <w:left w:val="single" w:sz="4" w:space="0" w:color="000000"/>
              <w:bottom w:val="single" w:sz="4" w:space="0" w:color="000000"/>
              <w:right w:val="single" w:sz="4" w:space="0" w:color="000000"/>
            </w:tcBorders>
            <w:vAlign w:val="center"/>
          </w:tcPr>
          <w:p w14:paraId="5D38E6FB" w14:textId="5744903F" w:rsidR="0096415B" w:rsidRPr="00DD47DF" w:rsidRDefault="0096415B" w:rsidP="0096415B">
            <w:pPr>
              <w:pStyle w:val="Tabulka"/>
              <w:rPr>
                <w:rFonts w:cs="Calibri"/>
              </w:rPr>
            </w:pPr>
            <w:r w:rsidRPr="0026779D">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6B021ECC" w14:textId="7C5E9BB2" w:rsidR="0096415B" w:rsidRPr="00DD47DF" w:rsidRDefault="0096415B" w:rsidP="0096415B">
            <w:pPr>
              <w:pStyle w:val="Tabulka"/>
              <w:rPr>
                <w:rFonts w:cs="Calibri"/>
              </w:rPr>
            </w:pPr>
            <w:r w:rsidRPr="0026779D">
              <w:rPr>
                <w:rFonts w:cs="Calibri"/>
              </w:rPr>
              <w:t>Méně rozvinuté regiony</w:t>
            </w:r>
          </w:p>
        </w:tc>
        <w:tc>
          <w:tcPr>
            <w:tcW w:w="1124" w:type="dxa"/>
            <w:tcBorders>
              <w:top w:val="single" w:sz="4" w:space="0" w:color="000000"/>
              <w:left w:val="single" w:sz="4" w:space="0" w:color="000000"/>
              <w:bottom w:val="single" w:sz="4" w:space="0" w:color="000000"/>
              <w:right w:val="single" w:sz="4" w:space="0" w:color="000000"/>
            </w:tcBorders>
            <w:vAlign w:val="center"/>
          </w:tcPr>
          <w:p w14:paraId="4B645C5D" w14:textId="5488018F" w:rsidR="0096415B" w:rsidRPr="00DD47DF" w:rsidDel="0096415B" w:rsidRDefault="0096415B" w:rsidP="0096415B">
            <w:pPr>
              <w:pStyle w:val="Tabulka"/>
              <w:rPr>
                <w:rFonts w:cs="Calibri"/>
              </w:rPr>
            </w:pPr>
            <w:r w:rsidRPr="0026779D">
              <w:rPr>
                <w:rFonts w:cs="Calibri"/>
              </w:rPr>
              <w:t>10</w:t>
            </w:r>
          </w:p>
        </w:tc>
        <w:tc>
          <w:tcPr>
            <w:tcW w:w="997" w:type="dxa"/>
            <w:tcBorders>
              <w:top w:val="single" w:sz="4" w:space="0" w:color="000000"/>
              <w:left w:val="single" w:sz="4" w:space="0" w:color="000000"/>
              <w:bottom w:val="single" w:sz="4" w:space="0" w:color="000000"/>
              <w:right w:val="single" w:sz="4" w:space="0" w:color="000000"/>
            </w:tcBorders>
          </w:tcPr>
          <w:p w14:paraId="6438371F" w14:textId="00B0BB92" w:rsidR="0096415B" w:rsidRPr="00DD47DF" w:rsidRDefault="0096415B" w:rsidP="0096415B">
            <w:pPr>
              <w:pStyle w:val="Tabulka"/>
              <w:keepNext/>
              <w:keepLines/>
              <w:rPr>
                <w:rFonts w:cs="Calibri"/>
              </w:rPr>
            </w:pPr>
            <w:r w:rsidRPr="0026779D">
              <w:t>Ž/P</w:t>
            </w:r>
          </w:p>
        </w:tc>
        <w:tc>
          <w:tcPr>
            <w:tcW w:w="0" w:type="auto"/>
            <w:tcBorders>
              <w:top w:val="single" w:sz="4" w:space="0" w:color="000000"/>
              <w:left w:val="single" w:sz="4" w:space="0" w:color="000000"/>
              <w:bottom w:val="single" w:sz="4" w:space="0" w:color="000000"/>
              <w:right w:val="single" w:sz="4" w:space="0" w:color="000000"/>
            </w:tcBorders>
          </w:tcPr>
          <w:p w14:paraId="5BA78A35" w14:textId="171883BE" w:rsidR="0096415B" w:rsidRDefault="0096415B" w:rsidP="0096415B">
            <w:pPr>
              <w:pStyle w:val="Tabulka"/>
              <w:keepNext/>
              <w:keepLines/>
              <w:rPr>
                <w:rFonts w:cs="Calibri"/>
              </w:rPr>
            </w:pPr>
            <w:r w:rsidRPr="0026779D">
              <w:t>průběžně</w:t>
            </w:r>
          </w:p>
        </w:tc>
      </w:tr>
    </w:tbl>
    <w:p w14:paraId="6699FF21" w14:textId="77777777" w:rsidR="00AA66A2" w:rsidRPr="00DD47DF" w:rsidRDefault="00AA66A2" w:rsidP="00DA3512">
      <w:pPr>
        <w:pStyle w:val="kapitola2A0"/>
        <w:numPr>
          <w:ilvl w:val="2"/>
          <w:numId w:val="65"/>
        </w:numPr>
      </w:pPr>
      <w:bookmarkStart w:id="67" w:name="_Toc520445280"/>
      <w:r w:rsidRPr="00DD47DF">
        <w:t>INVESTIČNÍ PRIORITA 2 prioritní osy 3: Podpora energetické účinnosti a využívání energie z obnovitelných zdrojů v podnicích</w:t>
      </w:r>
      <w:bookmarkEnd w:id="67"/>
    </w:p>
    <w:p w14:paraId="3CDD7AF7" w14:textId="77777777" w:rsidR="003B05CA" w:rsidRPr="00DD47DF" w:rsidRDefault="008C7D72" w:rsidP="00DA3512">
      <w:pPr>
        <w:pStyle w:val="kapitola2A0"/>
        <w:numPr>
          <w:ilvl w:val="2"/>
          <w:numId w:val="65"/>
        </w:numPr>
      </w:pPr>
      <w:bookmarkStart w:id="68" w:name="_Toc520445281"/>
      <w:r w:rsidRPr="00DD47DF">
        <w:lastRenderedPageBreak/>
        <w:t>Specifické cíle odpovídající investiční prioritě a očekávané výsledky</w:t>
      </w:r>
      <w:bookmarkEnd w:id="68"/>
    </w:p>
    <w:p w14:paraId="17C337BD" w14:textId="6C6FB253" w:rsidR="00EC0F1D" w:rsidRPr="00DD47DF" w:rsidRDefault="00EC0F1D" w:rsidP="00396141">
      <w:pPr>
        <w:pStyle w:val="Modrnadpis"/>
      </w:pPr>
      <w:r w:rsidRPr="00DD47DF">
        <w:t xml:space="preserve">SPECIFICKÝ CÍL </w:t>
      </w:r>
      <w:r w:rsidR="00C71E6F" w:rsidRPr="00DD47DF">
        <w:t>3.</w:t>
      </w:r>
      <w:r w:rsidRPr="00DD47DF">
        <w:t xml:space="preserve">2: </w:t>
      </w:r>
      <w:r w:rsidR="009E5C82">
        <w:t>Zvýšení energetické účinnosti a využívání energie z obnovitelných zdrojů v podnikatelském sektoru</w:t>
      </w:r>
    </w:p>
    <w:p w14:paraId="373E179E" w14:textId="6466E1D5" w:rsidR="00982AE9" w:rsidRPr="00DD47DF" w:rsidRDefault="00A22765" w:rsidP="00FB0590">
      <w:pPr>
        <w:pStyle w:val="Standardntext"/>
      </w:pPr>
      <w:r w:rsidRPr="00DD47DF">
        <w:t xml:space="preserve">Energetická účinnost </w:t>
      </w:r>
      <w:r w:rsidR="00315376" w:rsidRPr="00315376">
        <w:t>a využívání energie z obnovitelných zdrojů</w:t>
      </w:r>
      <w:r w:rsidR="00315376">
        <w:t xml:space="preserve"> </w:t>
      </w:r>
      <w:r w:rsidRPr="00DD47DF">
        <w:t xml:space="preserve">je jedním z faktorů ovlivňujících konkurenceschopnost podniků, resp. celé ekonomiky. </w:t>
      </w:r>
      <w:r w:rsidR="00727C15" w:rsidRPr="00DD47DF">
        <w:t xml:space="preserve">V oblasti snižování energetické náročnosti průmyslových procesů učinila Česká republika za dobu své existence zásadní pokrok. </w:t>
      </w:r>
      <w:r w:rsidR="00315376" w:rsidRPr="00315376">
        <w:t>Objem využití obnovitelných zdrojů pro vlastní spotřebu podniků se v ČR také postupně zvyšuje.</w:t>
      </w:r>
      <w:r w:rsidR="00315376">
        <w:t xml:space="preserve"> </w:t>
      </w:r>
      <w:r w:rsidR="00727C15" w:rsidRPr="00DD47DF">
        <w:t>Přesto je v ČR stále nevyčerpán ekonomický potenciál úspor energie v tomto sektoru</w:t>
      </w:r>
      <w:r w:rsidR="00315376">
        <w:t xml:space="preserve"> </w:t>
      </w:r>
      <w:r w:rsidR="00315376" w:rsidRPr="00315376">
        <w:t>a pro vlastní spotřebu energie z obnovitelných zdrojů energie zvláště</w:t>
      </w:r>
      <w:r w:rsidR="00727C15" w:rsidRPr="00DD47DF">
        <w:t>.</w:t>
      </w:r>
      <w:r w:rsidRPr="00DD47DF">
        <w:t xml:space="preserve"> </w:t>
      </w:r>
      <w:r w:rsidR="008A674D" w:rsidRPr="00DD47DF">
        <w:t>Hlavním cílem je podpora konkurenceschopnosti podnikatelských subjektů</w:t>
      </w:r>
      <w:r w:rsidR="00727C15" w:rsidRPr="00DD47DF">
        <w:t xml:space="preserve"> a udržitelnosti české ekonomiky</w:t>
      </w:r>
      <w:r w:rsidR="008A674D" w:rsidRPr="00DD47DF">
        <w:t xml:space="preserve"> prostřednictvím </w:t>
      </w:r>
      <w:r w:rsidR="00727C15" w:rsidRPr="00DD47DF">
        <w:t>snížení energetické náročnosti podnikatelského sektoru</w:t>
      </w:r>
      <w:r w:rsidR="00315376">
        <w:t xml:space="preserve"> </w:t>
      </w:r>
      <w:r w:rsidR="00315376" w:rsidRPr="00315376">
        <w:t>a vyššího využití obnovitelných zdrojů energie</w:t>
      </w:r>
      <w:r w:rsidR="00727C15" w:rsidRPr="00DD47DF">
        <w:t>.</w:t>
      </w:r>
    </w:p>
    <w:p w14:paraId="641CC696" w14:textId="77777777" w:rsidR="0056661C" w:rsidRPr="00DD47DF" w:rsidRDefault="003508A9" w:rsidP="0056661C">
      <w:pPr>
        <w:pStyle w:val="Modrnadpis"/>
      </w:pPr>
      <w:r w:rsidRPr="00DD47DF">
        <w:t>Výsledky, kterých chce ČR dosáhnout s podporou Unie</w:t>
      </w:r>
    </w:p>
    <w:p w14:paraId="3EFB5F8E" w14:textId="5DE511D4" w:rsidR="003F4488" w:rsidRDefault="00315376" w:rsidP="00315376">
      <w:pPr>
        <w:pStyle w:val="Standardntext"/>
        <w:numPr>
          <w:ilvl w:val="0"/>
          <w:numId w:val="43"/>
        </w:numPr>
      </w:pPr>
      <w:r>
        <w:t>Přispívá</w:t>
      </w:r>
      <w:r w:rsidRPr="00DD47DF">
        <w:t xml:space="preserve"> </w:t>
      </w:r>
      <w:r w:rsidR="00982AE9" w:rsidRPr="00DD47DF">
        <w:t>k naplněn</w:t>
      </w:r>
      <w:r w:rsidR="001F2A61" w:rsidRPr="00DD47DF">
        <w:t>í</w:t>
      </w:r>
      <w:r w:rsidR="00982AE9" w:rsidRPr="00DD47DF">
        <w:t xml:space="preserve"> Směrnice Evropského parlamentu a Rady 2012/27/EU o energetické účinnosti, která stanovuje zavedení orientačních vnitrostátních cílů energetické účinnosti do roku 2020. Vnitrostátní orientační cíl ČR je na základě současných analýz stanoven ve výši </w:t>
      </w:r>
      <w:r w:rsidRPr="00315376">
        <w:t>51,10 PJ (14,19 TWh)</w:t>
      </w:r>
      <w:r w:rsidR="00982AE9" w:rsidRPr="00DD47DF">
        <w:t xml:space="preserve"> úspor v konečné spotřebě energie.</w:t>
      </w:r>
    </w:p>
    <w:p w14:paraId="2413E8FD" w14:textId="07DD004E" w:rsidR="00315376" w:rsidRPr="00DD47DF" w:rsidRDefault="00315376" w:rsidP="00315376">
      <w:pPr>
        <w:pStyle w:val="Standardntext"/>
        <w:numPr>
          <w:ilvl w:val="0"/>
          <w:numId w:val="43"/>
        </w:numPr>
      </w:pPr>
      <w:r w:rsidRPr="00315376">
        <w:t>Přispívá k naplnění Směrnice Evropského parlamentu a Rady 2009/28/ES o podpoře využívání energie z obnovitelných zdrojů.</w:t>
      </w:r>
    </w:p>
    <w:p w14:paraId="4C8D961D" w14:textId="77777777" w:rsidR="00C61714" w:rsidRPr="00DD47DF" w:rsidRDefault="00C61714" w:rsidP="00D927A2">
      <w:pPr>
        <w:pStyle w:val="Standardntext"/>
        <w:numPr>
          <w:ilvl w:val="0"/>
          <w:numId w:val="43"/>
        </w:numPr>
      </w:pPr>
      <w:r w:rsidRPr="00DD47DF">
        <w:t>Přispívá k naplnění Směrnice 2008/50/EU a Plánů kvality ovzduší a směrnice o národních stropech.</w:t>
      </w:r>
    </w:p>
    <w:p w14:paraId="6EC4B3F8" w14:textId="77777777" w:rsidR="00557339" w:rsidRPr="00DD47DF" w:rsidRDefault="00727C15" w:rsidP="00D927A2">
      <w:pPr>
        <w:pStyle w:val="Standardntext"/>
        <w:numPr>
          <w:ilvl w:val="0"/>
          <w:numId w:val="43"/>
        </w:numPr>
      </w:pPr>
      <w:r w:rsidRPr="00DD47DF">
        <w:t xml:space="preserve">Zvýšení možnosti podniků rozvíjet svou činnost, investovat do výzkumu, vývoje a inovací </w:t>
      </w:r>
      <w:r w:rsidR="00557339" w:rsidRPr="00DD47DF">
        <w:t xml:space="preserve">tím, že podniky nebudou muset vynakládat takové množství prostředků na energie při výrobních procesech. </w:t>
      </w:r>
      <w:r w:rsidR="009B3FCE" w:rsidRPr="00DD47DF">
        <w:t>S tím souvisí s</w:t>
      </w:r>
      <w:r w:rsidR="00557339" w:rsidRPr="00DD47DF">
        <w:t xml:space="preserve">nížení citlivosti podnikatelských subjektů na změny vstupních nákladů, jejichž zvyšování, nebo udržování na současných hodnotách, by mohlo v důsledku ohrozit celkový výkon výroby ve prospěch levné zahraniční konkurence. </w:t>
      </w:r>
      <w:r w:rsidR="009B3FCE" w:rsidRPr="00DD47DF">
        <w:t>Výsledkem specifického cíle tak bude</w:t>
      </w:r>
      <w:r w:rsidR="00557339" w:rsidRPr="00DD47DF">
        <w:t xml:space="preserve"> posílení konkurenceschopnosti podnikatelských subjektů, resp. ekonomiky jako celku.</w:t>
      </w:r>
    </w:p>
    <w:p w14:paraId="0B391E58" w14:textId="77777777" w:rsidR="00557339" w:rsidRPr="00DD47DF" w:rsidRDefault="00557339" w:rsidP="00D927A2">
      <w:pPr>
        <w:pStyle w:val="Standardntext"/>
        <w:numPr>
          <w:ilvl w:val="0"/>
          <w:numId w:val="43"/>
        </w:numPr>
      </w:pPr>
      <w:r w:rsidRPr="00DD47DF">
        <w:t>Přiblížení se v úrovni energetické náročnosti průmyslové výroby k ostatním členským zemím EU, neboť česká ekonomika dosud vykazovala vyšší míru nákladovosti</w:t>
      </w:r>
      <w:r w:rsidR="001900F1" w:rsidRPr="00DD47DF">
        <w:t>,</w:t>
      </w:r>
      <w:r w:rsidRPr="00DD47DF">
        <w:t xml:space="preserve"> než činil průměr EU.</w:t>
      </w:r>
    </w:p>
    <w:p w14:paraId="294DC327" w14:textId="77777777" w:rsidR="004C2EE3" w:rsidRPr="00DD47DF" w:rsidRDefault="008A674D" w:rsidP="00D927A2">
      <w:pPr>
        <w:pStyle w:val="Standardntext"/>
        <w:numPr>
          <w:ilvl w:val="0"/>
          <w:numId w:val="43"/>
        </w:numPr>
      </w:pPr>
      <w:r w:rsidRPr="00DD47DF">
        <w:t>Rozvoj</w:t>
      </w:r>
      <w:r w:rsidR="004C2EE3" w:rsidRPr="00DD47DF">
        <w:t xml:space="preserve"> energetických služeb, které jsou důležitým nástrojem přispívajícím k nákladově efektivnímu způsobu zvyšování energetické účinnosti.</w:t>
      </w:r>
      <w:r w:rsidRPr="00DD47DF">
        <w:rPr>
          <w:rStyle w:val="Znakapoznpodarou"/>
        </w:rPr>
        <w:footnoteReference w:id="58"/>
      </w:r>
    </w:p>
    <w:p w14:paraId="274476F3" w14:textId="77777777" w:rsidR="00002031" w:rsidRPr="00DD47DF" w:rsidRDefault="00002031" w:rsidP="001D58DB">
      <w:pPr>
        <w:pStyle w:val="Titulek"/>
        <w:rPr>
          <w:rFonts w:cs="Calibri"/>
        </w:rPr>
      </w:pPr>
      <w:r w:rsidRPr="00DD47DF">
        <w:rPr>
          <w:rFonts w:cs="Calibri"/>
        </w:rPr>
        <w:t xml:space="preserve">Tabulka </w:t>
      </w:r>
      <w:r w:rsidR="002756E7" w:rsidRPr="00DD47DF">
        <w:rPr>
          <w:rFonts w:cs="Calibri"/>
        </w:rPr>
        <w:fldChar w:fldCharType="begin"/>
      </w:r>
      <w:r w:rsidR="00F7325F"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5000" w:type="pct"/>
        <w:tblCellMar>
          <w:left w:w="57" w:type="dxa"/>
          <w:right w:w="57" w:type="dxa"/>
        </w:tblCellMar>
        <w:tblLook w:val="01E0" w:firstRow="1" w:lastRow="1" w:firstColumn="1" w:lastColumn="1" w:noHBand="0" w:noVBand="0"/>
      </w:tblPr>
      <w:tblGrid>
        <w:gridCol w:w="1048"/>
        <w:gridCol w:w="1373"/>
        <w:gridCol w:w="946"/>
        <w:gridCol w:w="1141"/>
        <w:gridCol w:w="885"/>
        <w:gridCol w:w="872"/>
        <w:gridCol w:w="1065"/>
        <w:gridCol w:w="954"/>
        <w:gridCol w:w="1042"/>
      </w:tblGrid>
      <w:tr w:rsidR="00CF739D" w:rsidRPr="00DD47DF" w14:paraId="1CCBD92E" w14:textId="77777777">
        <w:trPr>
          <w:trHeight w:hRule="exact" w:val="1297"/>
        </w:trPr>
        <w:tc>
          <w:tcPr>
            <w:tcW w:w="573"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8942292" w14:textId="77777777" w:rsidR="00CF739D" w:rsidRPr="00DD47DF" w:rsidRDefault="00CF739D" w:rsidP="001D58DB">
            <w:pPr>
              <w:pStyle w:val="Tabulka"/>
              <w:rPr>
                <w:rFonts w:cs="Calibri"/>
                <w:b/>
                <w:bCs/>
              </w:rPr>
            </w:pPr>
            <w:r w:rsidRPr="00DD47DF">
              <w:rPr>
                <w:rFonts w:cs="Calibri"/>
                <w:b/>
                <w:bCs/>
              </w:rPr>
              <w:lastRenderedPageBreak/>
              <w:t>ID</w:t>
            </w:r>
          </w:p>
        </w:tc>
        <w:tc>
          <w:tcPr>
            <w:tcW w:w="669"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35FEE9CC" w14:textId="77777777" w:rsidR="00CF739D" w:rsidRPr="00DD47DF" w:rsidRDefault="00CF739D" w:rsidP="001D58DB">
            <w:pPr>
              <w:pStyle w:val="Tabulka"/>
              <w:rPr>
                <w:rFonts w:cs="Calibri"/>
                <w:b/>
                <w:bCs/>
              </w:rPr>
            </w:pPr>
            <w:r w:rsidRPr="00DD47DF">
              <w:rPr>
                <w:rFonts w:cs="Calibri"/>
                <w:b/>
                <w:bCs/>
              </w:rPr>
              <w:t>Ukazatel</w:t>
            </w:r>
          </w:p>
        </w:tc>
        <w:tc>
          <w:tcPr>
            <w:tcW w:w="50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F5BF7C7" w14:textId="77777777" w:rsidR="00CF739D" w:rsidRPr="00DD47DF" w:rsidRDefault="00CF739D" w:rsidP="001D58DB">
            <w:pPr>
              <w:pStyle w:val="Tabulka"/>
              <w:rPr>
                <w:rFonts w:cs="Calibri"/>
                <w:b/>
                <w:bCs/>
              </w:rPr>
            </w:pPr>
            <w:r w:rsidRPr="00DD47DF">
              <w:rPr>
                <w:rFonts w:cs="Calibri"/>
                <w:b/>
                <w:bCs/>
              </w:rPr>
              <w:t>Měrná</w:t>
            </w:r>
          </w:p>
          <w:p w14:paraId="563D3767" w14:textId="77777777" w:rsidR="00CF739D" w:rsidRPr="00DD47DF" w:rsidRDefault="00CF739D" w:rsidP="001D58DB">
            <w:pPr>
              <w:pStyle w:val="Tabulka"/>
              <w:rPr>
                <w:rFonts w:cs="Calibri"/>
                <w:b/>
                <w:bCs/>
              </w:rPr>
            </w:pPr>
            <w:r w:rsidRPr="00DD47DF">
              <w:rPr>
                <w:rFonts w:cs="Calibri"/>
                <w:b/>
                <w:bCs/>
              </w:rPr>
              <w:t>jednotka</w:t>
            </w:r>
          </w:p>
        </w:tc>
        <w:tc>
          <w:tcPr>
            <w:tcW w:w="61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5834768" w14:textId="77777777" w:rsidR="00CF739D" w:rsidRPr="00DD47DF" w:rsidRDefault="00CF739D" w:rsidP="001D58DB">
            <w:pPr>
              <w:pStyle w:val="Tabulka"/>
              <w:rPr>
                <w:rFonts w:cs="Calibri"/>
                <w:b/>
                <w:bCs/>
              </w:rPr>
            </w:pPr>
            <w:r w:rsidRPr="00DD47DF">
              <w:rPr>
                <w:rFonts w:cs="Calibri"/>
                <w:b/>
                <w:bCs/>
              </w:rPr>
              <w:t>Kategorie regionů (je-li relevantní)</w:t>
            </w:r>
          </w:p>
        </w:tc>
        <w:tc>
          <w:tcPr>
            <w:tcW w:w="474"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18572438" w14:textId="77777777" w:rsidR="00CF739D" w:rsidRPr="00DD47DF" w:rsidRDefault="004B0854" w:rsidP="001D58DB">
            <w:pPr>
              <w:pStyle w:val="Tabulka"/>
              <w:rPr>
                <w:rFonts w:cs="Calibri"/>
                <w:b/>
                <w:bCs/>
              </w:rPr>
            </w:pPr>
            <w:r w:rsidRPr="00DD47DF">
              <w:rPr>
                <w:rFonts w:cs="Calibri"/>
                <w:b/>
                <w:bCs/>
              </w:rPr>
              <w:t>Výchozí hodnota</w:t>
            </w:r>
          </w:p>
        </w:tc>
        <w:tc>
          <w:tcPr>
            <w:tcW w:w="468"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2153E1A" w14:textId="77777777" w:rsidR="00CF739D" w:rsidRPr="00DD47DF" w:rsidRDefault="004B0854" w:rsidP="001D58DB">
            <w:pPr>
              <w:pStyle w:val="Tabulka"/>
              <w:rPr>
                <w:rFonts w:cs="Calibri"/>
                <w:b/>
                <w:bCs/>
              </w:rPr>
            </w:pPr>
            <w:r w:rsidRPr="00DD47DF">
              <w:rPr>
                <w:rFonts w:cs="Calibri"/>
                <w:b/>
                <w:bCs/>
              </w:rPr>
              <w:t xml:space="preserve">Výchozí </w:t>
            </w:r>
            <w:r w:rsidR="00CF739D" w:rsidRPr="00DD47DF">
              <w:rPr>
                <w:rFonts w:cs="Calibri"/>
                <w:b/>
                <w:bCs/>
              </w:rPr>
              <w:t>rok</w:t>
            </w:r>
          </w:p>
        </w:tc>
        <w:tc>
          <w:tcPr>
            <w:tcW w:w="599"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3FC4967" w14:textId="77777777" w:rsidR="00CF739D" w:rsidRPr="00DD47DF" w:rsidRDefault="00CF739D" w:rsidP="001D58DB">
            <w:pPr>
              <w:pStyle w:val="Tabulka"/>
              <w:rPr>
                <w:rFonts w:cs="Calibri"/>
                <w:b/>
                <w:bCs/>
              </w:rPr>
            </w:pPr>
            <w:r w:rsidRPr="00DD47DF">
              <w:rPr>
                <w:rFonts w:cs="Calibri"/>
                <w:b/>
                <w:bCs/>
              </w:rPr>
              <w:t>Cílová hodnota (2023)</w:t>
            </w:r>
          </w:p>
        </w:tc>
        <w:tc>
          <w:tcPr>
            <w:tcW w:w="523"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098EC14" w14:textId="77777777" w:rsidR="00CF739D" w:rsidRPr="00DD47DF" w:rsidRDefault="00CF739D" w:rsidP="001D58DB">
            <w:pPr>
              <w:pStyle w:val="Tabulka"/>
              <w:rPr>
                <w:rFonts w:cs="Calibri"/>
                <w:b/>
                <w:bCs/>
              </w:rPr>
            </w:pPr>
            <w:r w:rsidRPr="00DD47DF">
              <w:rPr>
                <w:rFonts w:cs="Calibri"/>
                <w:b/>
                <w:bCs/>
              </w:rPr>
              <w:t>Zdroj údajů</w:t>
            </w:r>
          </w:p>
        </w:tc>
        <w:tc>
          <w:tcPr>
            <w:tcW w:w="570"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5A5982D" w14:textId="77777777" w:rsidR="00CF739D" w:rsidRPr="00DD47DF" w:rsidRDefault="00CF739D" w:rsidP="001D58DB">
            <w:pPr>
              <w:pStyle w:val="Tabulka"/>
              <w:rPr>
                <w:rFonts w:cs="Calibri"/>
                <w:b/>
                <w:bCs/>
              </w:rPr>
            </w:pPr>
            <w:r w:rsidRPr="00DD47DF">
              <w:rPr>
                <w:rFonts w:cs="Calibri"/>
                <w:b/>
                <w:bCs/>
              </w:rPr>
              <w:t>Četnost podávání zpráv</w:t>
            </w:r>
          </w:p>
        </w:tc>
      </w:tr>
      <w:tr w:rsidR="00EC0F1D" w:rsidRPr="00DD47DF" w14:paraId="6F6AF742" w14:textId="77777777" w:rsidTr="00997228">
        <w:trPr>
          <w:trHeight w:hRule="exact" w:val="1453"/>
        </w:trPr>
        <w:tc>
          <w:tcPr>
            <w:tcW w:w="573" w:type="pct"/>
            <w:tcBorders>
              <w:top w:val="single" w:sz="4" w:space="0" w:color="000000"/>
              <w:left w:val="single" w:sz="4" w:space="0" w:color="000000"/>
              <w:bottom w:val="single" w:sz="4" w:space="0" w:color="000000"/>
              <w:right w:val="single" w:sz="4" w:space="0" w:color="000000"/>
            </w:tcBorders>
            <w:vAlign w:val="center"/>
          </w:tcPr>
          <w:p w14:paraId="53578397" w14:textId="77777777" w:rsidR="00EC0F1D" w:rsidRPr="00DD47DF" w:rsidRDefault="007E40DB" w:rsidP="001D58DB">
            <w:pPr>
              <w:pStyle w:val="Tabulka"/>
              <w:rPr>
                <w:rFonts w:cs="Calibri"/>
              </w:rPr>
            </w:pPr>
            <w:r w:rsidRPr="00DD47DF">
              <w:rPr>
                <w:rFonts w:cs="Calibri"/>
              </w:rPr>
              <w:t>322</w:t>
            </w:r>
            <w:r w:rsidR="008600A4" w:rsidRPr="00DD47DF">
              <w:rPr>
                <w:rFonts w:cs="Calibri"/>
              </w:rPr>
              <w:t>1</w:t>
            </w:r>
            <w:r w:rsidRPr="00DD47DF">
              <w:rPr>
                <w:rFonts w:cs="Calibri"/>
              </w:rPr>
              <w:t>0</w:t>
            </w:r>
          </w:p>
        </w:tc>
        <w:tc>
          <w:tcPr>
            <w:tcW w:w="669" w:type="pct"/>
            <w:tcBorders>
              <w:top w:val="single" w:sz="4" w:space="0" w:color="000000"/>
              <w:left w:val="single" w:sz="4" w:space="0" w:color="000000"/>
              <w:bottom w:val="single" w:sz="4" w:space="0" w:color="000000"/>
              <w:right w:val="single" w:sz="4" w:space="0" w:color="000000"/>
            </w:tcBorders>
            <w:vAlign w:val="center"/>
          </w:tcPr>
          <w:p w14:paraId="5F601570" w14:textId="77777777" w:rsidR="00EC0F1D" w:rsidRPr="00DD47DF" w:rsidRDefault="000C37B9" w:rsidP="001D58DB">
            <w:pPr>
              <w:pStyle w:val="Tabulka"/>
              <w:jc w:val="left"/>
              <w:rPr>
                <w:rFonts w:cs="Calibri"/>
              </w:rPr>
            </w:pPr>
            <w:r w:rsidRPr="00DD47DF">
              <w:rPr>
                <w:rFonts w:cs="Calibri"/>
              </w:rPr>
              <w:t>Čistá konečná spotřeba energie</w:t>
            </w:r>
            <w:r w:rsidR="00B1446E" w:rsidRPr="00DD47DF">
              <w:rPr>
                <w:rFonts w:cs="Calibri"/>
              </w:rPr>
              <w:t xml:space="preserve"> v průmyslu</w:t>
            </w:r>
          </w:p>
        </w:tc>
        <w:tc>
          <w:tcPr>
            <w:tcW w:w="507" w:type="pct"/>
            <w:tcBorders>
              <w:top w:val="single" w:sz="4" w:space="0" w:color="000000"/>
              <w:left w:val="single" w:sz="4" w:space="0" w:color="000000"/>
              <w:bottom w:val="single" w:sz="4" w:space="0" w:color="000000"/>
              <w:right w:val="single" w:sz="4" w:space="0" w:color="000000"/>
            </w:tcBorders>
            <w:vAlign w:val="center"/>
          </w:tcPr>
          <w:p w14:paraId="042364E0" w14:textId="77777777" w:rsidR="00EC0F1D" w:rsidRPr="00DD47DF" w:rsidRDefault="000C37B9" w:rsidP="001D58DB">
            <w:pPr>
              <w:pStyle w:val="Tabulka"/>
              <w:rPr>
                <w:rFonts w:cs="Calibri"/>
              </w:rPr>
            </w:pPr>
            <w:r w:rsidRPr="00DD47DF">
              <w:rPr>
                <w:rFonts w:cs="Calibri"/>
              </w:rPr>
              <w:t>TJ</w:t>
            </w:r>
          </w:p>
        </w:tc>
        <w:tc>
          <w:tcPr>
            <w:tcW w:w="617" w:type="pct"/>
            <w:tcBorders>
              <w:top w:val="single" w:sz="4" w:space="0" w:color="000000"/>
              <w:left w:val="single" w:sz="4" w:space="0" w:color="000000"/>
              <w:bottom w:val="single" w:sz="4" w:space="0" w:color="000000"/>
              <w:right w:val="single" w:sz="4" w:space="0" w:color="000000"/>
            </w:tcBorders>
            <w:vAlign w:val="center"/>
          </w:tcPr>
          <w:p w14:paraId="5CE18A2A" w14:textId="77777777" w:rsidR="00EC0F1D" w:rsidRPr="00DD47DF" w:rsidRDefault="006C17A1" w:rsidP="001D58DB">
            <w:pPr>
              <w:pStyle w:val="Tabulka"/>
              <w:rPr>
                <w:rFonts w:cs="Calibri"/>
              </w:rPr>
            </w:pPr>
            <w:r w:rsidRPr="00DD47DF">
              <w:rPr>
                <w:rFonts w:cs="Calibri"/>
              </w:rPr>
              <w:t>Méně rozvinuté regiony</w:t>
            </w:r>
          </w:p>
        </w:tc>
        <w:tc>
          <w:tcPr>
            <w:tcW w:w="474" w:type="pct"/>
            <w:tcBorders>
              <w:top w:val="single" w:sz="4" w:space="0" w:color="000000"/>
              <w:left w:val="single" w:sz="4" w:space="0" w:color="000000"/>
              <w:bottom w:val="single" w:sz="4" w:space="0" w:color="000000"/>
              <w:right w:val="single" w:sz="4" w:space="0" w:color="000000"/>
            </w:tcBorders>
            <w:vAlign w:val="center"/>
          </w:tcPr>
          <w:p w14:paraId="537E4E37" w14:textId="37E9D167" w:rsidR="00EC0F1D" w:rsidRPr="00DD47DF" w:rsidRDefault="005820D7" w:rsidP="001D58DB">
            <w:pPr>
              <w:pStyle w:val="Tabulka"/>
              <w:rPr>
                <w:rFonts w:cs="Calibri"/>
              </w:rPr>
            </w:pPr>
            <w:r w:rsidRPr="00116EF6">
              <w:rPr>
                <w:rFonts w:cs="Calibri"/>
              </w:rPr>
              <w:t>325</w:t>
            </w:r>
            <w:r>
              <w:rPr>
                <w:rFonts w:cs="Calibri"/>
              </w:rPr>
              <w:t xml:space="preserve"> </w:t>
            </w:r>
            <w:r w:rsidRPr="00116EF6">
              <w:rPr>
                <w:rFonts w:cs="Calibri"/>
              </w:rPr>
              <w:t>903</w:t>
            </w:r>
          </w:p>
        </w:tc>
        <w:tc>
          <w:tcPr>
            <w:tcW w:w="468" w:type="pct"/>
            <w:tcBorders>
              <w:top w:val="single" w:sz="4" w:space="0" w:color="000000"/>
              <w:left w:val="single" w:sz="4" w:space="0" w:color="000000"/>
              <w:bottom w:val="single" w:sz="4" w:space="0" w:color="000000"/>
              <w:right w:val="single" w:sz="4" w:space="0" w:color="000000"/>
            </w:tcBorders>
            <w:vAlign w:val="center"/>
          </w:tcPr>
          <w:p w14:paraId="2F8B6F78" w14:textId="77777777" w:rsidR="00EC0F1D" w:rsidRPr="00DD47DF" w:rsidRDefault="000C37B9" w:rsidP="001D58DB">
            <w:pPr>
              <w:pStyle w:val="Tabulka"/>
              <w:rPr>
                <w:rFonts w:cs="Calibri"/>
              </w:rPr>
            </w:pPr>
            <w:r w:rsidRPr="00DD47DF">
              <w:rPr>
                <w:rFonts w:cs="Calibri"/>
              </w:rPr>
              <w:t>201</w:t>
            </w:r>
            <w:r w:rsidR="00D502CC" w:rsidRPr="00DD47DF">
              <w:rPr>
                <w:rFonts w:cs="Calibri"/>
              </w:rPr>
              <w:t>2</w:t>
            </w:r>
          </w:p>
        </w:tc>
        <w:tc>
          <w:tcPr>
            <w:tcW w:w="599" w:type="pct"/>
            <w:tcBorders>
              <w:top w:val="single" w:sz="4" w:space="0" w:color="000000"/>
              <w:left w:val="single" w:sz="4" w:space="0" w:color="000000"/>
              <w:bottom w:val="single" w:sz="4" w:space="0" w:color="000000"/>
              <w:right w:val="single" w:sz="4" w:space="0" w:color="000000"/>
            </w:tcBorders>
            <w:vAlign w:val="center"/>
          </w:tcPr>
          <w:p w14:paraId="1340201E" w14:textId="20132420" w:rsidR="00EC0F1D" w:rsidRPr="00DD47DF" w:rsidRDefault="005820D7" w:rsidP="001D58DB">
            <w:pPr>
              <w:pStyle w:val="Tabulka"/>
              <w:rPr>
                <w:rFonts w:cs="Calibri"/>
              </w:rPr>
            </w:pPr>
            <w:r w:rsidRPr="00116EF6">
              <w:rPr>
                <w:rFonts w:cs="Calibri"/>
              </w:rPr>
              <w:t>336</w:t>
            </w:r>
            <w:r>
              <w:rPr>
                <w:rFonts w:cs="Calibri"/>
              </w:rPr>
              <w:t xml:space="preserve"> </w:t>
            </w:r>
            <w:r w:rsidRPr="00116EF6">
              <w:rPr>
                <w:rFonts w:cs="Calibri"/>
              </w:rPr>
              <w:t>838</w:t>
            </w:r>
            <w:r w:rsidR="00C61714" w:rsidRPr="00DD47DF">
              <w:rPr>
                <w:rStyle w:val="Znakapoznpodarou"/>
                <w:rFonts w:cs="Calibri"/>
              </w:rPr>
              <w:footnoteReference w:id="59"/>
            </w:r>
          </w:p>
        </w:tc>
        <w:tc>
          <w:tcPr>
            <w:tcW w:w="523" w:type="pct"/>
            <w:tcBorders>
              <w:top w:val="single" w:sz="4" w:space="0" w:color="000000"/>
              <w:left w:val="single" w:sz="4" w:space="0" w:color="000000"/>
              <w:bottom w:val="single" w:sz="4" w:space="0" w:color="000000"/>
              <w:right w:val="single" w:sz="4" w:space="0" w:color="000000"/>
            </w:tcBorders>
            <w:vAlign w:val="center"/>
          </w:tcPr>
          <w:p w14:paraId="1E1CEA5B" w14:textId="77777777" w:rsidR="00EC0F1D" w:rsidRPr="00DD47DF" w:rsidRDefault="00AC072C" w:rsidP="001D58DB">
            <w:pPr>
              <w:pStyle w:val="Tabulka"/>
              <w:rPr>
                <w:rFonts w:cs="Calibri"/>
              </w:rPr>
            </w:pPr>
            <w:r w:rsidRPr="00DD47DF">
              <w:rPr>
                <w:rFonts w:cs="Calibri"/>
              </w:rPr>
              <w:t>ČSÚ</w:t>
            </w:r>
          </w:p>
        </w:tc>
        <w:tc>
          <w:tcPr>
            <w:tcW w:w="570" w:type="pct"/>
            <w:tcBorders>
              <w:top w:val="single" w:sz="4" w:space="0" w:color="000000"/>
              <w:left w:val="single" w:sz="4" w:space="0" w:color="000000"/>
              <w:bottom w:val="single" w:sz="4" w:space="0" w:color="000000"/>
              <w:right w:val="single" w:sz="4" w:space="0" w:color="000000"/>
            </w:tcBorders>
            <w:vAlign w:val="center"/>
          </w:tcPr>
          <w:p w14:paraId="56575529" w14:textId="77777777" w:rsidR="00EC0F1D" w:rsidRPr="00DD47DF" w:rsidRDefault="000C37B9" w:rsidP="001D58DB">
            <w:pPr>
              <w:pStyle w:val="Tabulka"/>
              <w:rPr>
                <w:rFonts w:cs="Calibri"/>
              </w:rPr>
            </w:pPr>
            <w:r w:rsidRPr="00DD47DF">
              <w:rPr>
                <w:rFonts w:cs="Calibri"/>
              </w:rPr>
              <w:t>ročně</w:t>
            </w:r>
          </w:p>
        </w:tc>
      </w:tr>
      <w:tr w:rsidR="00B1446E" w:rsidRPr="00DD47DF" w14:paraId="1D835BCD" w14:textId="77777777" w:rsidTr="00997228">
        <w:trPr>
          <w:trHeight w:hRule="exact" w:val="1417"/>
        </w:trPr>
        <w:tc>
          <w:tcPr>
            <w:tcW w:w="573" w:type="pct"/>
            <w:tcBorders>
              <w:top w:val="single" w:sz="4" w:space="0" w:color="000000"/>
              <w:left w:val="single" w:sz="4" w:space="0" w:color="000000"/>
              <w:bottom w:val="single" w:sz="4" w:space="0" w:color="000000"/>
              <w:right w:val="single" w:sz="4" w:space="0" w:color="000000"/>
            </w:tcBorders>
            <w:vAlign w:val="center"/>
          </w:tcPr>
          <w:p w14:paraId="759C985C" w14:textId="77777777" w:rsidR="00B1446E" w:rsidRPr="00DD47DF" w:rsidRDefault="008600A4" w:rsidP="001D58DB">
            <w:pPr>
              <w:pStyle w:val="Tabulka"/>
              <w:rPr>
                <w:rFonts w:cs="Calibri"/>
              </w:rPr>
            </w:pPr>
            <w:r w:rsidRPr="00DD47DF">
              <w:rPr>
                <w:rFonts w:cs="Calibri"/>
              </w:rPr>
              <w:t>32220</w:t>
            </w:r>
          </w:p>
        </w:tc>
        <w:tc>
          <w:tcPr>
            <w:tcW w:w="669" w:type="pct"/>
            <w:tcBorders>
              <w:top w:val="single" w:sz="4" w:space="0" w:color="000000"/>
              <w:left w:val="single" w:sz="4" w:space="0" w:color="000000"/>
              <w:bottom w:val="single" w:sz="4" w:space="0" w:color="000000"/>
              <w:right w:val="single" w:sz="4" w:space="0" w:color="000000"/>
            </w:tcBorders>
            <w:vAlign w:val="center"/>
          </w:tcPr>
          <w:p w14:paraId="138DE528" w14:textId="77777777" w:rsidR="00B1446E" w:rsidRPr="00DD47DF" w:rsidRDefault="00B1446E" w:rsidP="001D58DB">
            <w:pPr>
              <w:pStyle w:val="Tabulka"/>
              <w:jc w:val="left"/>
              <w:rPr>
                <w:rFonts w:cs="Calibri"/>
              </w:rPr>
            </w:pPr>
            <w:r w:rsidRPr="00DD47DF">
              <w:rPr>
                <w:rFonts w:cs="Calibri"/>
              </w:rPr>
              <w:t>Čistá konečná spotřeba energie ve službách</w:t>
            </w:r>
          </w:p>
        </w:tc>
        <w:tc>
          <w:tcPr>
            <w:tcW w:w="507" w:type="pct"/>
            <w:tcBorders>
              <w:top w:val="single" w:sz="4" w:space="0" w:color="000000"/>
              <w:left w:val="single" w:sz="4" w:space="0" w:color="000000"/>
              <w:bottom w:val="single" w:sz="4" w:space="0" w:color="000000"/>
              <w:right w:val="single" w:sz="4" w:space="0" w:color="000000"/>
            </w:tcBorders>
            <w:vAlign w:val="center"/>
          </w:tcPr>
          <w:p w14:paraId="459CDA04" w14:textId="77777777" w:rsidR="00B1446E" w:rsidRPr="00DD47DF" w:rsidRDefault="00B1446E" w:rsidP="001D58DB">
            <w:pPr>
              <w:pStyle w:val="Tabulka"/>
              <w:rPr>
                <w:rFonts w:cs="Calibri"/>
              </w:rPr>
            </w:pPr>
            <w:r w:rsidRPr="00DD47DF">
              <w:rPr>
                <w:rFonts w:cs="Calibri"/>
              </w:rPr>
              <w:t>TJ</w:t>
            </w:r>
          </w:p>
        </w:tc>
        <w:tc>
          <w:tcPr>
            <w:tcW w:w="617" w:type="pct"/>
            <w:tcBorders>
              <w:top w:val="single" w:sz="4" w:space="0" w:color="000000"/>
              <w:left w:val="single" w:sz="4" w:space="0" w:color="000000"/>
              <w:bottom w:val="single" w:sz="4" w:space="0" w:color="000000"/>
              <w:right w:val="single" w:sz="4" w:space="0" w:color="000000"/>
            </w:tcBorders>
            <w:vAlign w:val="center"/>
          </w:tcPr>
          <w:p w14:paraId="2D64A4EB" w14:textId="77777777" w:rsidR="00B1446E" w:rsidRPr="00DD47DF" w:rsidRDefault="00B1446E" w:rsidP="001D58DB">
            <w:pPr>
              <w:pStyle w:val="Tabulka"/>
              <w:rPr>
                <w:rFonts w:cs="Calibri"/>
              </w:rPr>
            </w:pPr>
            <w:r w:rsidRPr="00DD47DF">
              <w:rPr>
                <w:rFonts w:cs="Calibri"/>
              </w:rPr>
              <w:t>Méně rozvinuté regiony</w:t>
            </w:r>
          </w:p>
        </w:tc>
        <w:tc>
          <w:tcPr>
            <w:tcW w:w="474" w:type="pct"/>
            <w:tcBorders>
              <w:top w:val="single" w:sz="4" w:space="0" w:color="000000"/>
              <w:left w:val="single" w:sz="4" w:space="0" w:color="000000"/>
              <w:bottom w:val="single" w:sz="4" w:space="0" w:color="000000"/>
              <w:right w:val="single" w:sz="4" w:space="0" w:color="000000"/>
            </w:tcBorders>
            <w:vAlign w:val="center"/>
          </w:tcPr>
          <w:p w14:paraId="0917A091" w14:textId="195DB2F3" w:rsidR="00B1446E" w:rsidRPr="00DD47DF" w:rsidRDefault="005820D7" w:rsidP="001D58DB">
            <w:pPr>
              <w:pStyle w:val="Tabulka"/>
              <w:rPr>
                <w:rFonts w:cs="Calibri"/>
              </w:rPr>
            </w:pPr>
            <w:r w:rsidRPr="00116EF6">
              <w:rPr>
                <w:rFonts w:cs="Calibri"/>
              </w:rPr>
              <w:t>122 935</w:t>
            </w:r>
          </w:p>
        </w:tc>
        <w:tc>
          <w:tcPr>
            <w:tcW w:w="468" w:type="pct"/>
            <w:tcBorders>
              <w:top w:val="single" w:sz="4" w:space="0" w:color="000000"/>
              <w:left w:val="single" w:sz="4" w:space="0" w:color="000000"/>
              <w:bottom w:val="single" w:sz="4" w:space="0" w:color="000000"/>
              <w:right w:val="single" w:sz="4" w:space="0" w:color="000000"/>
            </w:tcBorders>
            <w:vAlign w:val="center"/>
          </w:tcPr>
          <w:p w14:paraId="6A77A24E" w14:textId="77777777" w:rsidR="00B1446E" w:rsidRPr="00DD47DF" w:rsidRDefault="00B1446E" w:rsidP="001D58DB">
            <w:pPr>
              <w:pStyle w:val="Tabulka"/>
              <w:rPr>
                <w:rFonts w:cs="Calibri"/>
              </w:rPr>
            </w:pPr>
            <w:r w:rsidRPr="00DD47DF">
              <w:rPr>
                <w:rFonts w:cs="Calibri"/>
              </w:rPr>
              <w:t>2012</w:t>
            </w:r>
          </w:p>
        </w:tc>
        <w:tc>
          <w:tcPr>
            <w:tcW w:w="599" w:type="pct"/>
            <w:tcBorders>
              <w:top w:val="single" w:sz="4" w:space="0" w:color="000000"/>
              <w:left w:val="single" w:sz="4" w:space="0" w:color="000000"/>
              <w:bottom w:val="single" w:sz="4" w:space="0" w:color="000000"/>
              <w:right w:val="single" w:sz="4" w:space="0" w:color="000000"/>
            </w:tcBorders>
            <w:vAlign w:val="center"/>
          </w:tcPr>
          <w:p w14:paraId="0A9A7D0E" w14:textId="3AA6C728" w:rsidR="00B1446E" w:rsidRPr="00DD47DF" w:rsidRDefault="005820D7" w:rsidP="001D58DB">
            <w:pPr>
              <w:pStyle w:val="Tabulka"/>
              <w:rPr>
                <w:rFonts w:cs="Calibri"/>
              </w:rPr>
            </w:pPr>
            <w:r w:rsidRPr="00116EF6">
              <w:rPr>
                <w:rFonts w:cs="Calibri"/>
              </w:rPr>
              <w:t>145</w:t>
            </w:r>
            <w:r>
              <w:rPr>
                <w:rFonts w:cs="Calibri"/>
              </w:rPr>
              <w:t xml:space="preserve"> </w:t>
            </w:r>
            <w:r w:rsidRPr="00116EF6">
              <w:rPr>
                <w:rFonts w:cs="Calibri"/>
              </w:rPr>
              <w:t>87</w:t>
            </w:r>
            <w:r>
              <w:rPr>
                <w:rFonts w:cs="Calibri"/>
              </w:rPr>
              <w:t>2</w:t>
            </w:r>
            <w:r w:rsidR="00C61714" w:rsidRPr="00DD47DF">
              <w:rPr>
                <w:rStyle w:val="Znakapoznpodarou"/>
                <w:rFonts w:cs="Calibri"/>
              </w:rPr>
              <w:footnoteReference w:id="60"/>
            </w:r>
          </w:p>
        </w:tc>
        <w:tc>
          <w:tcPr>
            <w:tcW w:w="523" w:type="pct"/>
            <w:tcBorders>
              <w:top w:val="single" w:sz="4" w:space="0" w:color="000000"/>
              <w:left w:val="single" w:sz="4" w:space="0" w:color="000000"/>
              <w:bottom w:val="single" w:sz="4" w:space="0" w:color="000000"/>
              <w:right w:val="single" w:sz="4" w:space="0" w:color="000000"/>
            </w:tcBorders>
            <w:vAlign w:val="center"/>
          </w:tcPr>
          <w:p w14:paraId="63BC3915" w14:textId="77777777" w:rsidR="00B1446E" w:rsidRPr="00DD47DF" w:rsidRDefault="00B1446E" w:rsidP="001D58DB">
            <w:pPr>
              <w:pStyle w:val="Tabulka"/>
              <w:rPr>
                <w:rFonts w:cs="Calibri"/>
              </w:rPr>
            </w:pPr>
            <w:r w:rsidRPr="00DD47DF">
              <w:rPr>
                <w:rFonts w:cs="Calibri"/>
              </w:rPr>
              <w:t>ČSÚ</w:t>
            </w:r>
          </w:p>
        </w:tc>
        <w:tc>
          <w:tcPr>
            <w:tcW w:w="570" w:type="pct"/>
            <w:tcBorders>
              <w:top w:val="single" w:sz="4" w:space="0" w:color="000000"/>
              <w:left w:val="single" w:sz="4" w:space="0" w:color="000000"/>
              <w:bottom w:val="single" w:sz="4" w:space="0" w:color="000000"/>
              <w:right w:val="single" w:sz="4" w:space="0" w:color="000000"/>
            </w:tcBorders>
            <w:vAlign w:val="center"/>
          </w:tcPr>
          <w:p w14:paraId="46E6C0E8" w14:textId="77777777" w:rsidR="00B1446E" w:rsidRPr="00DD47DF" w:rsidRDefault="00B1446E" w:rsidP="001D58DB">
            <w:pPr>
              <w:pStyle w:val="Tabulka"/>
              <w:rPr>
                <w:rFonts w:cs="Calibri"/>
              </w:rPr>
            </w:pPr>
            <w:r w:rsidRPr="00DD47DF">
              <w:rPr>
                <w:rFonts w:cs="Calibri"/>
              </w:rPr>
              <w:t>ročně</w:t>
            </w:r>
          </w:p>
        </w:tc>
      </w:tr>
      <w:tr w:rsidR="00C71DCD" w:rsidRPr="00DD47DF" w14:paraId="12EEFE4D" w14:textId="77777777" w:rsidTr="00997228">
        <w:trPr>
          <w:trHeight w:hRule="exact" w:val="1417"/>
        </w:trPr>
        <w:tc>
          <w:tcPr>
            <w:tcW w:w="573" w:type="pct"/>
            <w:tcBorders>
              <w:top w:val="single" w:sz="4" w:space="0" w:color="000000"/>
              <w:left w:val="single" w:sz="4" w:space="0" w:color="000000"/>
              <w:bottom w:val="single" w:sz="4" w:space="0" w:color="000000"/>
              <w:right w:val="single" w:sz="4" w:space="0" w:color="000000"/>
            </w:tcBorders>
            <w:vAlign w:val="center"/>
          </w:tcPr>
          <w:p w14:paraId="606ACBF9" w14:textId="11E08674" w:rsidR="00C71DCD" w:rsidRPr="00C71DCD" w:rsidRDefault="00C71DCD" w:rsidP="00C71DCD">
            <w:pPr>
              <w:pStyle w:val="Tabulka"/>
              <w:rPr>
                <w:rFonts w:cs="Calibri"/>
              </w:rPr>
            </w:pPr>
            <w:r w:rsidRPr="00C71DCD">
              <w:rPr>
                <w:rFonts w:cs="Calibri"/>
              </w:rPr>
              <w:t>34502</w:t>
            </w:r>
          </w:p>
        </w:tc>
        <w:tc>
          <w:tcPr>
            <w:tcW w:w="669" w:type="pct"/>
            <w:tcBorders>
              <w:top w:val="single" w:sz="4" w:space="0" w:color="000000"/>
              <w:left w:val="single" w:sz="4" w:space="0" w:color="000000"/>
              <w:bottom w:val="single" w:sz="4" w:space="0" w:color="000000"/>
              <w:right w:val="single" w:sz="4" w:space="0" w:color="000000"/>
            </w:tcBorders>
            <w:vAlign w:val="center"/>
          </w:tcPr>
          <w:p w14:paraId="7C1FFBE0" w14:textId="6D92DD04" w:rsidR="00C71DCD" w:rsidRPr="00C71DCD" w:rsidRDefault="00C71DCD" w:rsidP="00C71DCD">
            <w:pPr>
              <w:pStyle w:val="Tabulka"/>
              <w:jc w:val="left"/>
              <w:rPr>
                <w:rFonts w:cs="Calibri"/>
              </w:rPr>
            </w:pPr>
            <w:r w:rsidRPr="00C71DCD">
              <w:rPr>
                <w:rFonts w:cs="Calibri"/>
              </w:rPr>
              <w:t>Podíl obnovitelných zdrojů na konečné spotřebě</w:t>
            </w:r>
          </w:p>
        </w:tc>
        <w:tc>
          <w:tcPr>
            <w:tcW w:w="507" w:type="pct"/>
            <w:tcBorders>
              <w:top w:val="single" w:sz="4" w:space="0" w:color="000000"/>
              <w:left w:val="single" w:sz="4" w:space="0" w:color="000000"/>
              <w:bottom w:val="single" w:sz="4" w:space="0" w:color="000000"/>
              <w:right w:val="single" w:sz="4" w:space="0" w:color="000000"/>
            </w:tcBorders>
            <w:vAlign w:val="center"/>
          </w:tcPr>
          <w:p w14:paraId="720EBA35" w14:textId="3635CA3B" w:rsidR="00C71DCD" w:rsidRPr="00C71DCD" w:rsidRDefault="00C71DCD" w:rsidP="00C71DCD">
            <w:pPr>
              <w:pStyle w:val="Tabulka"/>
              <w:rPr>
                <w:rFonts w:cs="Calibri"/>
              </w:rPr>
            </w:pPr>
            <w:r w:rsidRPr="00C71DCD">
              <w:rPr>
                <w:rFonts w:cs="Calibri"/>
              </w:rPr>
              <w:t>TJ</w:t>
            </w:r>
          </w:p>
        </w:tc>
        <w:tc>
          <w:tcPr>
            <w:tcW w:w="617" w:type="pct"/>
            <w:tcBorders>
              <w:top w:val="single" w:sz="4" w:space="0" w:color="000000"/>
              <w:left w:val="single" w:sz="4" w:space="0" w:color="000000"/>
              <w:bottom w:val="single" w:sz="4" w:space="0" w:color="000000"/>
              <w:right w:val="single" w:sz="4" w:space="0" w:color="000000"/>
            </w:tcBorders>
            <w:vAlign w:val="center"/>
          </w:tcPr>
          <w:p w14:paraId="3A0A6A95" w14:textId="489C02F0" w:rsidR="00C71DCD" w:rsidRPr="00C71DCD" w:rsidRDefault="00C71DCD" w:rsidP="00C71DCD">
            <w:pPr>
              <w:pStyle w:val="Tabulka"/>
              <w:rPr>
                <w:rFonts w:cs="Calibri"/>
              </w:rPr>
            </w:pPr>
            <w:r w:rsidRPr="00C71DCD">
              <w:rPr>
                <w:rFonts w:cs="Calibri"/>
              </w:rPr>
              <w:t>Méně rozvinuté regiony</w:t>
            </w:r>
          </w:p>
        </w:tc>
        <w:tc>
          <w:tcPr>
            <w:tcW w:w="474" w:type="pct"/>
            <w:tcBorders>
              <w:top w:val="single" w:sz="4" w:space="0" w:color="000000"/>
              <w:left w:val="single" w:sz="4" w:space="0" w:color="000000"/>
              <w:bottom w:val="single" w:sz="4" w:space="0" w:color="000000"/>
              <w:right w:val="single" w:sz="4" w:space="0" w:color="000000"/>
            </w:tcBorders>
            <w:vAlign w:val="center"/>
          </w:tcPr>
          <w:p w14:paraId="3CA79C30" w14:textId="2429924C" w:rsidR="00C71DCD" w:rsidRPr="00C71DCD" w:rsidRDefault="00C71DCD" w:rsidP="00C71DCD">
            <w:pPr>
              <w:pStyle w:val="Tabulka"/>
              <w:rPr>
                <w:rFonts w:cs="Calibri"/>
              </w:rPr>
            </w:pPr>
            <w:r w:rsidRPr="00C71DCD">
              <w:rPr>
                <w:rFonts w:cs="Calibri"/>
              </w:rPr>
              <w:t>164 666</w:t>
            </w:r>
          </w:p>
        </w:tc>
        <w:tc>
          <w:tcPr>
            <w:tcW w:w="468" w:type="pct"/>
            <w:tcBorders>
              <w:top w:val="single" w:sz="4" w:space="0" w:color="000000"/>
              <w:left w:val="single" w:sz="4" w:space="0" w:color="000000"/>
              <w:bottom w:val="single" w:sz="4" w:space="0" w:color="000000"/>
              <w:right w:val="single" w:sz="4" w:space="0" w:color="000000"/>
            </w:tcBorders>
            <w:vAlign w:val="center"/>
          </w:tcPr>
          <w:p w14:paraId="051FB0E9" w14:textId="69DE30AB" w:rsidR="00C71DCD" w:rsidRPr="00C71DCD" w:rsidRDefault="00C71DCD" w:rsidP="00C71DCD">
            <w:pPr>
              <w:pStyle w:val="Tabulka"/>
              <w:rPr>
                <w:rFonts w:cs="Calibri"/>
              </w:rPr>
            </w:pPr>
            <w:r w:rsidRPr="00C71DCD">
              <w:rPr>
                <w:rFonts w:cs="Calibri"/>
              </w:rPr>
              <w:t>2016</w:t>
            </w:r>
          </w:p>
        </w:tc>
        <w:tc>
          <w:tcPr>
            <w:tcW w:w="599" w:type="pct"/>
            <w:tcBorders>
              <w:top w:val="single" w:sz="4" w:space="0" w:color="000000"/>
              <w:left w:val="single" w:sz="4" w:space="0" w:color="000000"/>
              <w:bottom w:val="single" w:sz="4" w:space="0" w:color="000000"/>
              <w:right w:val="single" w:sz="4" w:space="0" w:color="000000"/>
            </w:tcBorders>
            <w:vAlign w:val="center"/>
          </w:tcPr>
          <w:p w14:paraId="2BD29B76" w14:textId="0C70DBE5" w:rsidR="00C71DCD" w:rsidRPr="00C71DCD" w:rsidRDefault="00C71DCD" w:rsidP="00C71DCD">
            <w:pPr>
              <w:pStyle w:val="Tabulka"/>
              <w:rPr>
                <w:rFonts w:cs="Calibri"/>
              </w:rPr>
            </w:pPr>
            <w:r w:rsidRPr="00C71DCD">
              <w:rPr>
                <w:rFonts w:cs="Calibri"/>
              </w:rPr>
              <w:t>185 300</w:t>
            </w:r>
            <w:r w:rsidRPr="00C71DCD">
              <w:rPr>
                <w:rStyle w:val="Znakapoznpodarou"/>
                <w:rFonts w:cs="Calibri"/>
              </w:rPr>
              <w:footnoteReference w:id="61"/>
            </w:r>
          </w:p>
        </w:tc>
        <w:tc>
          <w:tcPr>
            <w:tcW w:w="523" w:type="pct"/>
            <w:tcBorders>
              <w:top w:val="single" w:sz="4" w:space="0" w:color="000000"/>
              <w:left w:val="single" w:sz="4" w:space="0" w:color="000000"/>
              <w:bottom w:val="single" w:sz="4" w:space="0" w:color="000000"/>
              <w:right w:val="single" w:sz="4" w:space="0" w:color="000000"/>
            </w:tcBorders>
            <w:vAlign w:val="center"/>
          </w:tcPr>
          <w:p w14:paraId="49A2B5EA" w14:textId="73234183" w:rsidR="00C71DCD" w:rsidRPr="00C71DCD" w:rsidRDefault="00C71DCD" w:rsidP="00C71DCD">
            <w:pPr>
              <w:pStyle w:val="Tabulka"/>
              <w:rPr>
                <w:rFonts w:cs="Calibri"/>
              </w:rPr>
            </w:pPr>
            <w:r w:rsidRPr="00C71DCD">
              <w:rPr>
                <w:rFonts w:cs="Calibri"/>
              </w:rPr>
              <w:t>MPO</w:t>
            </w:r>
          </w:p>
        </w:tc>
        <w:tc>
          <w:tcPr>
            <w:tcW w:w="570" w:type="pct"/>
            <w:tcBorders>
              <w:top w:val="single" w:sz="4" w:space="0" w:color="000000"/>
              <w:left w:val="single" w:sz="4" w:space="0" w:color="000000"/>
              <w:bottom w:val="single" w:sz="4" w:space="0" w:color="000000"/>
              <w:right w:val="single" w:sz="4" w:space="0" w:color="000000"/>
            </w:tcBorders>
            <w:vAlign w:val="center"/>
          </w:tcPr>
          <w:p w14:paraId="0229A6C1" w14:textId="2A953175" w:rsidR="00C71DCD" w:rsidRPr="00C71DCD" w:rsidRDefault="00C71DCD" w:rsidP="00C71DCD">
            <w:pPr>
              <w:pStyle w:val="Tabulka"/>
              <w:rPr>
                <w:rFonts w:cs="Calibri"/>
              </w:rPr>
            </w:pPr>
            <w:r w:rsidRPr="00C71DCD">
              <w:rPr>
                <w:rFonts w:cs="Calibri"/>
              </w:rPr>
              <w:t>ročně</w:t>
            </w:r>
          </w:p>
        </w:tc>
      </w:tr>
    </w:tbl>
    <w:p w14:paraId="536580F1" w14:textId="77777777" w:rsidR="00AA66A2" w:rsidRPr="00DD47DF" w:rsidRDefault="00AA66A2" w:rsidP="00DA3512">
      <w:pPr>
        <w:pStyle w:val="kapitola2A0"/>
        <w:keepNext w:val="0"/>
        <w:keepLines w:val="0"/>
        <w:numPr>
          <w:ilvl w:val="2"/>
          <w:numId w:val="65"/>
        </w:numPr>
      </w:pPr>
      <w:bookmarkStart w:id="69" w:name="_Toc520445282"/>
      <w:r w:rsidRPr="00DD47DF">
        <w:t>Opatření, jež má být podpořeno v rámci investiční priority</w:t>
      </w:r>
      <w:bookmarkEnd w:id="69"/>
    </w:p>
    <w:p w14:paraId="7810839A" w14:textId="77777777" w:rsidR="0058402E" w:rsidRPr="00DD47DF" w:rsidRDefault="00D479AF" w:rsidP="001D58DB">
      <w:pPr>
        <w:pStyle w:val="Nadpis5"/>
        <w:keepNext w:val="0"/>
        <w:keepLines w:val="0"/>
        <w:numPr>
          <w:ilvl w:val="4"/>
          <w:numId w:val="21"/>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2C9593EC" w14:textId="77777777" w:rsidR="0058402E" w:rsidRPr="00DD47DF" w:rsidRDefault="000A2EB4" w:rsidP="0056661C">
      <w:pPr>
        <w:pStyle w:val="Standardntext"/>
        <w:rPr>
          <w:b/>
        </w:rPr>
      </w:pPr>
      <w:r w:rsidRPr="00DD47DF">
        <w:rPr>
          <w:b/>
        </w:rPr>
        <w:t>Aktivity pro tento specifický cíl:</w:t>
      </w:r>
      <w:r w:rsidR="0058402E" w:rsidRPr="00DD47DF">
        <w:rPr>
          <w:b/>
        </w:rPr>
        <w:t xml:space="preserve"> </w:t>
      </w:r>
    </w:p>
    <w:p w14:paraId="01588AA6" w14:textId="77777777" w:rsidR="00334BD2" w:rsidRPr="00DD47DF" w:rsidRDefault="00622C4A" w:rsidP="00334BD2">
      <w:pPr>
        <w:pStyle w:val="Standardntext"/>
        <w:numPr>
          <w:ilvl w:val="0"/>
          <w:numId w:val="8"/>
        </w:numPr>
      </w:pPr>
      <w:r w:rsidRPr="00DD47DF">
        <w:t>Modernizace</w:t>
      </w:r>
      <w:r w:rsidR="00334BD2" w:rsidRPr="00DD47DF">
        <w:t xml:space="preserve"> a rekonstrukce rozvodů elektřiny, plynu a tepla v budovách a v energetických hospodářstvích výrobních závodů za účelem zvýšení účinnosti</w:t>
      </w:r>
    </w:p>
    <w:p w14:paraId="3CCBA17A" w14:textId="77777777" w:rsidR="0058402E" w:rsidRPr="00DD47DF" w:rsidRDefault="0058402E" w:rsidP="005F43DF">
      <w:pPr>
        <w:pStyle w:val="Standardntext"/>
        <w:numPr>
          <w:ilvl w:val="0"/>
          <w:numId w:val="8"/>
        </w:numPr>
      </w:pPr>
      <w:r w:rsidRPr="00DD47DF">
        <w:t>zavádění a modernizace systémů měření a regulace,</w:t>
      </w:r>
    </w:p>
    <w:p w14:paraId="6AFE8E60" w14:textId="77777777" w:rsidR="0058402E" w:rsidRPr="00DD47DF" w:rsidRDefault="0058402E" w:rsidP="005F43DF">
      <w:pPr>
        <w:pStyle w:val="Standardntext"/>
        <w:numPr>
          <w:ilvl w:val="0"/>
          <w:numId w:val="8"/>
        </w:numPr>
      </w:pPr>
      <w:r w:rsidRPr="00DD47DF">
        <w:t>modernizace, rekonstrukce</w:t>
      </w:r>
      <w:r w:rsidR="0020357B" w:rsidRPr="00DD47DF">
        <w:t xml:space="preserve"> stávajících zařízení na výrobu energie pro vlastní spotřebu vedoucí ke zvýšení její účinnosti,</w:t>
      </w:r>
    </w:p>
    <w:p w14:paraId="42A8E200" w14:textId="77777777" w:rsidR="0020357B" w:rsidRPr="00DD47DF" w:rsidRDefault="00771A39" w:rsidP="005F43DF">
      <w:pPr>
        <w:pStyle w:val="Standardntext"/>
        <w:numPr>
          <w:ilvl w:val="0"/>
          <w:numId w:val="8"/>
        </w:numPr>
      </w:pPr>
      <w:r w:rsidRPr="00DD47DF">
        <w:t>modernizace soustav osvětlení budov a průmyslových areálů (pouze v případě náhrady zastaralých technologií za nové vysoce efektivní osvětlovací systémy, např. světelných diod (LED)</w:t>
      </w:r>
      <w:r w:rsidR="0020357B" w:rsidRPr="00DD47DF">
        <w:t>,</w:t>
      </w:r>
    </w:p>
    <w:p w14:paraId="63F2EDD8" w14:textId="5C9200F7" w:rsidR="0058402E" w:rsidRPr="00DD47DF" w:rsidRDefault="00322C22" w:rsidP="00AD1E7B">
      <w:pPr>
        <w:pStyle w:val="Standardntext"/>
        <w:numPr>
          <w:ilvl w:val="0"/>
          <w:numId w:val="8"/>
        </w:numPr>
      </w:pPr>
      <w:r w:rsidRPr="00DD47DF">
        <w:t xml:space="preserve">realizace opatření ke snižování </w:t>
      </w:r>
      <w:r w:rsidR="00A22765" w:rsidRPr="00DD47DF">
        <w:t>energetické náročnosti budov v podnikatelském sektoru (zateplení obvodového pláště, výměna a renovace otvorových výplní, další stavební opatření mající prokazatelně vliv na energetickou náročnost budovy</w:t>
      </w:r>
      <w:r w:rsidR="00AD1E7B">
        <w:t xml:space="preserve"> </w:t>
      </w:r>
      <w:r w:rsidR="00AD1E7B" w:rsidRPr="00AD1E7B">
        <w:t xml:space="preserve">(v případě podpory prostřednictvím finančních nástrojů i další stavební opatření spojená s nižší budoucí </w:t>
      </w:r>
      <w:r w:rsidR="00AD1E7B" w:rsidRPr="00AD1E7B">
        <w:lastRenderedPageBreak/>
        <w:t>energetickou náročností budovy v režimu de minimis)</w:t>
      </w:r>
      <w:r w:rsidR="00A22765" w:rsidRPr="00DD47DF">
        <w:t>, instalace vzduchotechniky</w:t>
      </w:r>
      <w:r w:rsidR="0056661C" w:rsidRPr="00DD47DF">
        <w:t xml:space="preserve"> s rekuperací odpadního tepla</w:t>
      </w:r>
      <w:r w:rsidR="00A22765" w:rsidRPr="00DD47DF">
        <w:t>)</w:t>
      </w:r>
      <w:r w:rsidR="0058402E" w:rsidRPr="00DD47DF">
        <w:t>,</w:t>
      </w:r>
    </w:p>
    <w:p w14:paraId="799B5B1F" w14:textId="77777777" w:rsidR="0058402E" w:rsidRPr="00DD47DF" w:rsidRDefault="0058402E" w:rsidP="005F43DF">
      <w:pPr>
        <w:pStyle w:val="Standardntext"/>
        <w:numPr>
          <w:ilvl w:val="0"/>
          <w:numId w:val="8"/>
        </w:numPr>
      </w:pPr>
      <w:r w:rsidRPr="00DD47DF">
        <w:t>využití odpadní energie</w:t>
      </w:r>
      <w:r w:rsidR="00526991" w:rsidRPr="00DD47DF">
        <w:t xml:space="preserve"> </w:t>
      </w:r>
      <w:r w:rsidRPr="00DD47DF">
        <w:t>ve výrobních procesech,</w:t>
      </w:r>
    </w:p>
    <w:p w14:paraId="5803A46E" w14:textId="77777777" w:rsidR="0058402E" w:rsidRPr="00DD47DF" w:rsidRDefault="0058402E" w:rsidP="005F43DF">
      <w:pPr>
        <w:pStyle w:val="Standardntext"/>
        <w:numPr>
          <w:ilvl w:val="0"/>
          <w:numId w:val="8"/>
        </w:numPr>
      </w:pPr>
      <w:r w:rsidRPr="00DD47DF">
        <w:t>snižování energetické náročnosti/zvyšování energetické účinnosti výrobních a technologických procesů</w:t>
      </w:r>
      <w:r w:rsidR="0056661C" w:rsidRPr="00DD47DF">
        <w:t>,</w:t>
      </w:r>
    </w:p>
    <w:p w14:paraId="1EC7E6A8" w14:textId="77777777" w:rsidR="0056661C" w:rsidRPr="00DD47DF" w:rsidRDefault="0056661C" w:rsidP="005F43DF">
      <w:pPr>
        <w:pStyle w:val="Standardntext"/>
        <w:numPr>
          <w:ilvl w:val="0"/>
          <w:numId w:val="8"/>
        </w:numPr>
      </w:pPr>
      <w:r w:rsidRPr="00DD47DF">
        <w:t>instalace OZE pro vlastní spotřebu podniku,</w:t>
      </w:r>
    </w:p>
    <w:p w14:paraId="71CD186C" w14:textId="14634C8D" w:rsidR="00C5217B" w:rsidRDefault="0056661C" w:rsidP="00C5217B">
      <w:pPr>
        <w:pStyle w:val="Standardntext"/>
        <w:numPr>
          <w:ilvl w:val="0"/>
          <w:numId w:val="8"/>
        </w:numPr>
      </w:pPr>
      <w:r w:rsidRPr="00DD47DF">
        <w:t>instalace kogenerační jednotky s maximálním využití</w:t>
      </w:r>
      <w:r w:rsidR="001900F1" w:rsidRPr="00DD47DF">
        <w:t>m</w:t>
      </w:r>
      <w:r w:rsidRPr="00DD47DF">
        <w:t xml:space="preserve"> elektrické a tepelné energ</w:t>
      </w:r>
      <w:r w:rsidR="00B36879" w:rsidRPr="00DD47DF">
        <w:t>ie pro vlastní spotřebu podniku,</w:t>
      </w:r>
    </w:p>
    <w:p w14:paraId="7A276D71" w14:textId="559E9284" w:rsidR="00933C64" w:rsidRPr="00DD47DF" w:rsidRDefault="00933C64" w:rsidP="00C5217B">
      <w:pPr>
        <w:pStyle w:val="Standardntext"/>
        <w:numPr>
          <w:ilvl w:val="0"/>
          <w:numId w:val="8"/>
        </w:numPr>
      </w:pPr>
      <w:r>
        <w:t>akumulace elektrické energie,</w:t>
      </w:r>
    </w:p>
    <w:p w14:paraId="642ECC29" w14:textId="0D8E0041" w:rsidR="00C56A67" w:rsidRPr="00DD47DF" w:rsidRDefault="0083236C" w:rsidP="0083236C">
      <w:pPr>
        <w:pStyle w:val="Standardntext"/>
        <w:numPr>
          <w:ilvl w:val="0"/>
          <w:numId w:val="8"/>
        </w:numPr>
      </w:pPr>
      <w:r>
        <w:t>b</w:t>
      </w:r>
      <w:r w:rsidRPr="0083236C">
        <w:t>ude podporována výstavba budov s téměř nulovou spotřebou energie (viz doporučení Komise (EU) 2016/1318) a s nižší energetickou náročností, než jsou platné vnitrostátní minimální požadavky pro budovy s téměř nulovou spotřebou energie. Částečně budou podporovány dodatečné náklady na dosažení nižší energetické náročnosti, než jsou platné požadavky týkající se budov s téměř nulovou spotřebou energie. Tato oblast podpory je určena na podporu provádění článku 9 směrnice 2010/31/EU o energetické náročnosti budov (a § 7 prováděcího zákona č. 406/2000 Sb., o hospodaření energií</w:t>
      </w:r>
      <w:r w:rsidR="0062777F" w:rsidRPr="00DD47DF">
        <w:t>.</w:t>
      </w:r>
    </w:p>
    <w:p w14:paraId="725B3482" w14:textId="77777777" w:rsidR="00FF7D38" w:rsidRPr="00DD47DF" w:rsidRDefault="00526991" w:rsidP="00EB6615">
      <w:pPr>
        <w:pStyle w:val="Standardntext"/>
      </w:pPr>
      <w:r w:rsidRPr="00DD47DF">
        <w:t xml:space="preserve">V rámci </w:t>
      </w:r>
      <w:r w:rsidR="009D1769" w:rsidRPr="00DD47DF">
        <w:t>tohoto specifického cíle budou v maximální míře aplikovány zkušenosti</w:t>
      </w:r>
      <w:r w:rsidR="003D3A17" w:rsidRPr="00DD47DF">
        <w:t xml:space="preserve"> (</w:t>
      </w:r>
      <w:r w:rsidR="009D1769" w:rsidRPr="00DD47DF">
        <w:t>„good practices“</w:t>
      </w:r>
      <w:r w:rsidR="003D3A17" w:rsidRPr="00DD47DF">
        <w:t>)</w:t>
      </w:r>
      <w:r w:rsidR="009D1769" w:rsidRPr="00DD47DF">
        <w:t xml:space="preserve"> z programovacího období 2007 - 2013, konkrétně z prioritní osy 3 OPPI, oblasti podpory </w:t>
      </w:r>
      <w:r w:rsidR="009D1769" w:rsidRPr="00DD47DF">
        <w:rPr>
          <w:i/>
        </w:rPr>
        <w:t>Efektivní energie</w:t>
      </w:r>
      <w:r w:rsidR="009D1769" w:rsidRPr="00DD47DF">
        <w:t xml:space="preserve">. </w:t>
      </w:r>
      <w:r w:rsidR="00627F71" w:rsidRPr="00DD47DF">
        <w:t xml:space="preserve">Vzhledem k dlouhodobé poptávce ze strany podnikatelských subjektů z předchozího programovacího období budou realizována zejména níže uvedená úsporná </w:t>
      </w:r>
      <w:r w:rsidR="00FF7D38" w:rsidRPr="00DD47DF">
        <w:t xml:space="preserve">opatření. Jedná se např. o zateplování vnitřních a vnějších obálek budov, výměna starých kotlů na uhlí, nebo mazuty za nové kotle na biomasu či instalace tepelných čerpadel, také instalace solárních kolektorů na ohřev vody, výměna oken, </w:t>
      </w:r>
      <w:r w:rsidR="00B95DC1" w:rsidRPr="00DD47DF">
        <w:t>dveří</w:t>
      </w:r>
      <w:r w:rsidR="00FF7D38" w:rsidRPr="00DD47DF">
        <w:t>, využití odpadního tepla v průmyslových procesech, rekonstrukce tepelných</w:t>
      </w:r>
      <w:r w:rsidR="00334BD2" w:rsidRPr="00DD47DF">
        <w:t xml:space="preserve">, plynových </w:t>
      </w:r>
      <w:r w:rsidR="00FF7D38" w:rsidRPr="00DD47DF">
        <w:t>i elekt</w:t>
      </w:r>
      <w:r w:rsidR="00C776B7" w:rsidRPr="00DD47DF">
        <w:t>rických rozvodů v rámci podniku</w:t>
      </w:r>
      <w:r w:rsidR="00FF7D38" w:rsidRPr="00DD47DF">
        <w:t xml:space="preserve"> atd.</w:t>
      </w:r>
    </w:p>
    <w:p w14:paraId="2FFA437B" w14:textId="77777777" w:rsidR="002C72B3" w:rsidRPr="00DD47DF" w:rsidRDefault="002C72B3" w:rsidP="002C72B3">
      <w:pPr>
        <w:pStyle w:val="Standardntext"/>
      </w:pPr>
      <w:r w:rsidRPr="00DD47DF">
        <w:t>Podpora je poskytována na investice do vysoce účinných zařízení na kombinovanou výrobu tepla a elektřiny, jejichž cílem je dosažení co nejnižších emisí CO</w:t>
      </w:r>
      <w:r w:rsidRPr="00DD47DF">
        <w:rPr>
          <w:vertAlign w:val="subscript"/>
        </w:rPr>
        <w:t>2</w:t>
      </w:r>
      <w:r w:rsidRPr="00DD47DF">
        <w:t xml:space="preserve"> a maximální snížení znečištění ovzduší a zajištění ekonomické udržitelnosti. Kromě těchto podmínek by veškeré investice do modernizace stávajících zařízení na vysoce účinná zařízení na kombinovanou výrobu tepla a elektřiny měly vést ke snížení emisí CO</w:t>
      </w:r>
      <w:r w:rsidRPr="00DD47DF">
        <w:rPr>
          <w:vertAlign w:val="subscript"/>
        </w:rPr>
        <w:t>2</w:t>
      </w:r>
      <w:r w:rsidRPr="00DD47DF">
        <w:t xml:space="preserve"> nejméně o 30 % ve srovnání se stávajícími zařízeními. Tento požadavek na snížení emisí CO</w:t>
      </w:r>
      <w:r w:rsidRPr="00DD47DF">
        <w:rPr>
          <w:vertAlign w:val="subscript"/>
        </w:rPr>
        <w:t>2</w:t>
      </w:r>
      <w:r w:rsidRPr="00DD47DF">
        <w:t xml:space="preserve"> bude vztažen pouze k výrobě tepla odpovídající výrobě navrhované kogenerace, tj. pouze části z celkové výroby tepla daného zdroje, přičemž předmětem hodnocení by mělo být porovnání globálních emisí odpovídajících oddělené výrobě elektřiny a tepla a navrhované výrobě kogenerační.</w:t>
      </w:r>
    </w:p>
    <w:p w14:paraId="2EFBA106" w14:textId="77777777" w:rsidR="002C72B3" w:rsidRPr="00DD47DF" w:rsidRDefault="002C72B3" w:rsidP="002C72B3">
      <w:pPr>
        <w:pStyle w:val="Standardntext"/>
      </w:pPr>
      <w:r w:rsidRPr="00DD47DF">
        <w:t>V případě nových zařízení by mělo být dosaženo alespoň 10% nárůstu energetické účinnosti ve srovnání s oddělenou výrobou elektřiny a tepla při využití nejlepších dostupných technologií. Investiční podporu pro vysoce účinnou kombinovanou výrobu tepla a elektřiny na bázi zemního plynu lze poskytnout, pokud to nebude mít za následek vytlačení nízkouhlíkových řešení a pokud by alternativní řešení bylo méně účinné a s vyšším obsahem uhlíku.</w:t>
      </w:r>
    </w:p>
    <w:p w14:paraId="065D26C5" w14:textId="77777777" w:rsidR="00526991" w:rsidRPr="00DD47DF" w:rsidRDefault="002C72B3" w:rsidP="002C72B3">
      <w:pPr>
        <w:pStyle w:val="Standardntext"/>
      </w:pPr>
      <w:r w:rsidRPr="00DD47DF">
        <w:t>V řádně odůvodněných případech mohou být investice určeny i pro kotle na biomasu nebo plynná paliva, pokud je v těchto případech dosažené zvýšení energetické účinnosti významné a jejich potřeba je zvláště naléhavá. Investice by měly přispět ke snížení emisí CO</w:t>
      </w:r>
      <w:r w:rsidRPr="00DD47DF">
        <w:rPr>
          <w:vertAlign w:val="subscript"/>
        </w:rPr>
        <w:t>2</w:t>
      </w:r>
      <w:r w:rsidRPr="00DD47DF">
        <w:t xml:space="preserve"> a ke značným úsporám energie. Mohou být podporovány pouze v případě, kdy není rozšíření centrálního </w:t>
      </w:r>
      <w:r w:rsidRPr="00DD47DF">
        <w:lastRenderedPageBreak/>
        <w:t>zásobování teplem ekonomicky proveditelné. Podpora by měla být přednostně prováděna prostřednictvím finančních nástrojů na základě výsledků předběžných posouzení.</w:t>
      </w:r>
    </w:p>
    <w:p w14:paraId="3EA500E6" w14:textId="25FA2A1B" w:rsidR="008614C4" w:rsidRPr="00DD47DF" w:rsidRDefault="00627F71" w:rsidP="00627F71">
      <w:pPr>
        <w:pStyle w:val="Standardntext"/>
      </w:pPr>
      <w:r w:rsidRPr="00DD47DF">
        <w:t xml:space="preserve">Výše uvedená opatření budou realizována jako souhrn několika opatření (komplexní projekty) dle doporučení vyplývající z energetického auditu. </w:t>
      </w:r>
      <w:r w:rsidR="008614C4" w:rsidRPr="00DD47DF">
        <w:t>Prioritně budou podporovány projekty komplexních opatřeních, doporučených v energetickém auditu či energetickém posudku, za účelem maximalizace úspor energie</w:t>
      </w:r>
      <w:r w:rsidR="00080C36">
        <w:t xml:space="preserve"> </w:t>
      </w:r>
      <w:r w:rsidR="00080C36" w:rsidRPr="00080C36">
        <w:t>a využití obnovitelných zdrojů energie pro vlastní spotřebu</w:t>
      </w:r>
      <w:r w:rsidR="008614C4" w:rsidRPr="00DD47DF">
        <w:t>.</w:t>
      </w:r>
    </w:p>
    <w:p w14:paraId="5B204D45" w14:textId="36126545" w:rsidR="008614C4" w:rsidRDefault="00627F71" w:rsidP="008614C4">
      <w:pPr>
        <w:pStyle w:val="Standardntext"/>
      </w:pPr>
      <w:r w:rsidRPr="00DD47DF">
        <w:t>Způsobilé výdaje budou veškeré investiční náklady mající vliv na úsporu energie</w:t>
      </w:r>
      <w:r w:rsidR="00080C36">
        <w:t xml:space="preserve"> </w:t>
      </w:r>
      <w:r w:rsidR="00080C36" w:rsidRPr="00080C36">
        <w:t>a využití obnovitelných zdrojů energie pro vlastní spotřebu</w:t>
      </w:r>
      <w:r w:rsidRPr="00DD47DF">
        <w:t>, stavební náklady, pořízení technologie, zpracování projektové dokumentace a energetického auditu</w:t>
      </w:r>
      <w:r w:rsidR="0020357B" w:rsidRPr="00DD47DF">
        <w:t>, energetického posudku</w:t>
      </w:r>
      <w:r w:rsidRPr="00DD47DF">
        <w:t xml:space="preserve"> atd.</w:t>
      </w:r>
      <w:r w:rsidR="008614C4" w:rsidRPr="00DD47DF">
        <w:t xml:space="preserve"> Podpora se nesmí poskytnout velkým podnikům na energetické audity prováděné podle čl. 8 odst. 4 směrnice 2012/27/EU.</w:t>
      </w:r>
    </w:p>
    <w:p w14:paraId="00E0F435" w14:textId="77777777" w:rsidR="00933C64" w:rsidRDefault="00933C64" w:rsidP="00933C64">
      <w:pPr>
        <w:jc w:val="both"/>
        <w:rPr>
          <w:sz w:val="24"/>
          <w:szCs w:val="24"/>
        </w:rPr>
      </w:pPr>
      <w:r w:rsidRPr="00933C64">
        <w:rPr>
          <w:sz w:val="24"/>
          <w:szCs w:val="24"/>
        </w:rPr>
        <w:t>V případě projektu, který bude obsahovat podporu instalace akumulace elektrické energie, musí být akumulátor provozován v energetickém hospodářství, které má vlastní zdroj elektrické energie z obnovitelných zdrojů (např. FVE), nebo z kombinované výroby elektřiny a tepla (mimo uhlí, LTO, TTO). Současně musí být splněna komplexnost projektu. Tzn., že nebude podpořena samostatná instalace akumulátoru elektřiny, resp. projekt musí obsahovat více opatření. Smyslem podpory baterií je zvýšení využití elektřiny z obnovitelných zdrojů (intermitentní zdroj) na úkor spotřeby elektřiny z distribučních nebo přenosové soustavy, kdy podíl elektřiny z fosilních zdrojů v ČR stále v rámci energetického mixu výroby elektřiny představuje kolem 50 %. Současně spotřebou elektřiny vyrobené v místě spotřeby dochází ke snižování ztrát při distribuci a přenosu elektřiny od výrobce k spotřebiteli. Dochází tedy ke zvýšení účinnosti celého řetězce transformace energií až po konečnou spotřebu.</w:t>
      </w:r>
    </w:p>
    <w:p w14:paraId="5298E18C" w14:textId="77777777" w:rsidR="00933C64" w:rsidRPr="00933C64" w:rsidRDefault="00933C64" w:rsidP="00933C64">
      <w:pPr>
        <w:jc w:val="both"/>
        <w:rPr>
          <w:sz w:val="24"/>
          <w:szCs w:val="24"/>
        </w:rPr>
      </w:pPr>
    </w:p>
    <w:p w14:paraId="3F67C591" w14:textId="5105479B" w:rsidR="00933C64" w:rsidRPr="00DD47DF" w:rsidRDefault="00933C64" w:rsidP="00933C64">
      <w:pPr>
        <w:pStyle w:val="Standardntext"/>
      </w:pPr>
      <w:r w:rsidRPr="00933C64">
        <w:t>Z pohledu provozního režimu využití se předpokládá pravidelné cyklické zatěžování akumulátorů v rámci aplikací vykrývání energetických špiček pro lepší stanovení příkonových hodnot z distribuční soustavy a efektivnějšího využití zdroje, využívání sluneční energie získané z FVE například v noci (osvětlení) nebo v nočním provozu, pro překlenutí pravidelného času v době energetické špičky či energetické nedostatečnosti atd. V těchto aplikacích se pravidelně akumulátory dobíjejí volnými (plánovanými) přebytky z výroby a pravidelně a plánovaně se také z těchto akumulátorů dodává v příkladném shora uvedených případech energie ke spotřebě.</w:t>
      </w:r>
    </w:p>
    <w:p w14:paraId="0141487B" w14:textId="780EB814" w:rsidR="00D01FDB" w:rsidRPr="00DD47DF" w:rsidRDefault="00BC7187" w:rsidP="00D01FDB">
      <w:pPr>
        <w:pStyle w:val="Standardntext"/>
      </w:pPr>
      <w:r w:rsidRPr="004617EF">
        <w:t>Podpora na výstavbu budov s téměř nulovou spotřebou</w:t>
      </w:r>
      <w:r w:rsidR="00D01FDB" w:rsidRPr="00DD47DF">
        <w:t xml:space="preserve"> bude poskytnuta v takovém objemu, aby investoři nebyli motivováni k výstavbě nových budov, nýbrž pouze ke zlepšení energetické účinnosti těch, které by beztak byly postaveny. V některých případech lze novostavbu na opuštěném průmyslovém pozemku podle českého stavebního zákona považovat za rozsáhlou rekonstrukci, i pokud je původní nefunkční budova stržena. Takovéto případy budou posuzovány jednotlivě. Je-li budova používána a spotřebovává energii, bude způsobilá k podpoře na energeticky účinnou renovaci podle téhož specifického cíle.</w:t>
      </w:r>
    </w:p>
    <w:p w14:paraId="40864630" w14:textId="77777777" w:rsidR="00D01FDB" w:rsidRPr="00DD47DF" w:rsidRDefault="00D01FDB" w:rsidP="00D01FDB">
      <w:pPr>
        <w:pStyle w:val="Standardntext"/>
      </w:pPr>
      <w:r w:rsidRPr="00DD47DF">
        <w:t>Úroveň podpory bude vypočtena na základě modelových případů a stanovena jako fixní částka na metr čtvereční podlahové plochy (relevantní z energetického hlediska). Tento přístup by měl pomoci zabránit a) tomu, že budou podporovány předražené investice, b) zvýšené administrativní zátěži.</w:t>
      </w:r>
    </w:p>
    <w:p w14:paraId="7A3F7F6B" w14:textId="77777777" w:rsidR="00526991" w:rsidRPr="00DD47DF" w:rsidRDefault="00D01FDB" w:rsidP="00526991">
      <w:pPr>
        <w:pStyle w:val="Standardntext"/>
      </w:pPr>
      <w:r w:rsidRPr="00DD47DF">
        <w:t>Toto opatření je třeba vnímat jako propagaci výstavby budov s téměř nulovou spotřebou energie v souladu s článkem 9 směrnice o energetické účinnosti budov (2010/31/EU)</w:t>
      </w:r>
      <w:r w:rsidR="00DD4877" w:rsidRPr="00DD47DF">
        <w:t>.</w:t>
      </w:r>
    </w:p>
    <w:p w14:paraId="71082B52" w14:textId="77777777" w:rsidR="00627F71" w:rsidRPr="00DD47DF" w:rsidRDefault="00526991" w:rsidP="008614C4">
      <w:pPr>
        <w:pStyle w:val="Standardntext"/>
      </w:pPr>
      <w:r w:rsidRPr="00DD47DF">
        <w:lastRenderedPageBreak/>
        <w:t xml:space="preserve">Způsobilé výdaje budou definovány </w:t>
      </w:r>
      <w:r w:rsidR="008614C4" w:rsidRPr="00DD47DF">
        <w:t>v souladu s Nařízením Komise (EU) č. 651/2014 ze dne 17. června 2014,  oddílem  7 – Podpora na ochranu životního prostředí.</w:t>
      </w:r>
    </w:p>
    <w:p w14:paraId="6172E7F1" w14:textId="3C8DA4C0" w:rsidR="00FF7D38" w:rsidRPr="00DD47DF" w:rsidRDefault="00C776B7" w:rsidP="00FF7D38">
      <w:pPr>
        <w:pStyle w:val="Standardntext"/>
      </w:pPr>
      <w:r w:rsidRPr="00DD47DF">
        <w:t xml:space="preserve">Výstupy </w:t>
      </w:r>
      <w:r w:rsidR="00FF7D38" w:rsidRPr="00DD47DF">
        <w:t xml:space="preserve">všech těchto opatření </w:t>
      </w:r>
      <w:r w:rsidR="00E37DD9" w:rsidRPr="00DD47DF">
        <w:t xml:space="preserve">představují </w:t>
      </w:r>
      <w:r w:rsidRPr="00DD47DF">
        <w:t>zásadní příspěvek k naplnění směrnice 2012/27/EU o energetické účinnosti</w:t>
      </w:r>
      <w:r w:rsidR="00080C36">
        <w:t xml:space="preserve"> </w:t>
      </w:r>
      <w:r w:rsidR="00080C36" w:rsidRPr="00080C36">
        <w:t>a Směrnice Evropského parlamentu a Rady 2009/28/ES o podpoře využívání energie z obnovitelných zdrojů</w:t>
      </w:r>
      <w:r w:rsidRPr="00DD47DF">
        <w:t xml:space="preserve">, což je </w:t>
      </w:r>
      <w:r w:rsidR="00E37DD9" w:rsidRPr="00DD47DF">
        <w:t>i výsledkem</w:t>
      </w:r>
      <w:r w:rsidRPr="00DD47DF">
        <w:t xml:space="preserve"> tohoto specifického cíle.</w:t>
      </w:r>
    </w:p>
    <w:p w14:paraId="1038EBD6" w14:textId="77777777" w:rsidR="0058402E" w:rsidRPr="00DD47DF" w:rsidRDefault="0058402E" w:rsidP="001D35B1">
      <w:pPr>
        <w:pStyle w:val="Standardntext"/>
      </w:pPr>
      <w:r w:rsidRPr="00DD47DF">
        <w:rPr>
          <w:b/>
        </w:rPr>
        <w:t xml:space="preserve">Hlavní cílová skupina: </w:t>
      </w:r>
      <w:r w:rsidR="00127389" w:rsidRPr="00DD47DF">
        <w:t>P</w:t>
      </w:r>
      <w:r w:rsidRPr="00DD47DF">
        <w:t>odnikatelé z oblasti především MSP,</w:t>
      </w:r>
      <w:r w:rsidR="00A22765" w:rsidRPr="00DD47DF">
        <w:t xml:space="preserve"> ale i možných velkých podniků.</w:t>
      </w:r>
    </w:p>
    <w:p w14:paraId="72BC17B4" w14:textId="77777777" w:rsidR="0058402E" w:rsidRPr="00DD47DF" w:rsidRDefault="0058402E" w:rsidP="001D35B1">
      <w:pPr>
        <w:pStyle w:val="Standardntext"/>
        <w:rPr>
          <w:color w:val="FF0000"/>
        </w:rPr>
      </w:pPr>
      <w:r w:rsidRPr="00DD47DF">
        <w:rPr>
          <w:b/>
        </w:rPr>
        <w:t xml:space="preserve">Cílové území: </w:t>
      </w:r>
      <w:r w:rsidR="001E0AA2" w:rsidRPr="00DD47DF">
        <w:t xml:space="preserve">Území České republiky, </w:t>
      </w:r>
      <w:r w:rsidR="008771A5" w:rsidRPr="00DD47DF">
        <w:t xml:space="preserve">mimo </w:t>
      </w:r>
      <w:r w:rsidR="000D70DC" w:rsidRPr="00DD47DF">
        <w:t xml:space="preserve">hl. m. Prahy. </w:t>
      </w:r>
      <w:r w:rsidR="00015039" w:rsidRPr="00DD47DF">
        <w:t>Předpokládá se plošné směrování intervencí bez vymezení územní dimenze (bude vymezeno sektory průmyslové činnosti).</w:t>
      </w:r>
    </w:p>
    <w:p w14:paraId="34E63F9D" w14:textId="77777777" w:rsidR="00545498" w:rsidRPr="00DD47DF" w:rsidRDefault="00545498" w:rsidP="00627F71">
      <w:pPr>
        <w:pStyle w:val="Standardntext"/>
      </w:pPr>
      <w:r w:rsidRPr="00DD47DF">
        <w:rPr>
          <w:b/>
        </w:rPr>
        <w:t xml:space="preserve">Typy příjemců: </w:t>
      </w:r>
      <w:r w:rsidRPr="00DD47DF">
        <w:t>Podnikatelské subjekty (malé, střední a případně velké podniky); pro intervence v oblasti úspor energie (zateplování výrobních a podnikatelských objektů</w:t>
      </w:r>
      <w:r w:rsidR="00112C3A" w:rsidRPr="00DD47DF">
        <w:t>, komplexní řešení úspor energie</w:t>
      </w:r>
      <w:r w:rsidRPr="00DD47DF">
        <w:t>) rovněž zemědělští podnikatelé, podnikatelé v potravinářství, a maloobchodní organizace</w:t>
      </w:r>
      <w:r w:rsidR="00E24193" w:rsidRPr="00DD47DF">
        <w:t>, podnikatelé v oblasti akvakultury</w:t>
      </w:r>
      <w:r w:rsidRPr="00DD47DF">
        <w:t>.</w:t>
      </w:r>
    </w:p>
    <w:p w14:paraId="0023412E" w14:textId="4DB41B33" w:rsidR="00627F71" w:rsidRPr="00DD47DF" w:rsidRDefault="00627F71" w:rsidP="00627F71">
      <w:pPr>
        <w:pStyle w:val="Standardntext"/>
      </w:pPr>
      <w:r w:rsidRPr="00DD47DF">
        <w:t xml:space="preserve">K začlenění velkých podniků mezi podporované typy příjemců (dle čl. 3 odst. 1 písm. b) nařízení o EFRR) je nutné upozornit na specifickou situaci České republiky, tj. vysoký podíl velkých firem vzhledem ke struktuře ekonomiky a nadprůměrný podíl průmyslu a jeho dlouhodobý význam a tradice. Vzhledem k tomuto vysokému podílu velkých podniků a zejména jejich značnému potenciálu úspory energie </w:t>
      </w:r>
      <w:r w:rsidR="00846BF2" w:rsidRPr="00846BF2">
        <w:t>a využití obnovitelných zdrojů energie pro vlastní spotřebu</w:t>
      </w:r>
      <w:r w:rsidR="00846BF2">
        <w:t xml:space="preserve"> </w:t>
      </w:r>
      <w:r w:rsidRPr="00DD47DF">
        <w:t>je nezbytné jejich začlenění mezi podporované subjekty. Vyloučení či omezení podpory velkých podniků může ohrozit splnění směrnice o energetické účinnosti</w:t>
      </w:r>
      <w:r w:rsidR="00846BF2">
        <w:t xml:space="preserve"> </w:t>
      </w:r>
      <w:r w:rsidR="00846BF2" w:rsidRPr="00846BF2">
        <w:t>a směrnice o podpoře využívání energie z obnovitelných zdrojů v ČR</w:t>
      </w:r>
      <w:r w:rsidRPr="00DD47DF">
        <w:t xml:space="preserve"> a tím pádem i plnění společných cílů EU v oblasti </w:t>
      </w:r>
      <w:r w:rsidR="00846BF2" w:rsidRPr="00846BF2">
        <w:t>klimaticko - energetické politiky</w:t>
      </w:r>
      <w:r w:rsidRPr="00DD47DF">
        <w:t>.</w:t>
      </w:r>
    </w:p>
    <w:p w14:paraId="63883EB3" w14:textId="77777777" w:rsidR="0058402E" w:rsidRPr="00DD47DF" w:rsidRDefault="00627F71" w:rsidP="00627F71">
      <w:pPr>
        <w:pStyle w:val="Standardntext"/>
      </w:pPr>
      <w:r w:rsidRPr="00DD47DF">
        <w:t xml:space="preserve">V souvislosti s podporou velkých podniků je také důležité zmínit, že při realizaci projektů (např. při zpracování projektové dokumentace, samotných stavebních pracích či různých dodávkách zařízení) se vytváří prostor pro dodávky či subdodávky ze strany MSP, a tudíž podpora velkých podniků </w:t>
      </w:r>
      <w:r w:rsidR="009D1769" w:rsidRPr="00DD47DF">
        <w:t>má pozitivní efekty i pro sektor MSP</w:t>
      </w:r>
      <w:r w:rsidRPr="00DD47DF">
        <w:t>.</w:t>
      </w:r>
    </w:p>
    <w:p w14:paraId="7CDA53AF" w14:textId="77777777" w:rsidR="0058402E" w:rsidRPr="00DD47DF" w:rsidRDefault="00BA6461" w:rsidP="005F43DF">
      <w:pPr>
        <w:pStyle w:val="Nadpis5"/>
        <w:numPr>
          <w:ilvl w:val="4"/>
          <w:numId w:val="21"/>
        </w:numPr>
      </w:pPr>
      <w:r w:rsidRPr="00DD47DF">
        <w:t>Hlavní zásady pro výběr operací</w:t>
      </w:r>
    </w:p>
    <w:p w14:paraId="5EC9560F" w14:textId="77777777" w:rsidR="0042487A" w:rsidRPr="00DD47DF" w:rsidRDefault="00FE3385" w:rsidP="0042487A">
      <w:pPr>
        <w:pStyle w:val="Standardntext"/>
      </w:pPr>
      <w:r w:rsidRPr="00DD47DF">
        <w:t>Společné obecné zásady pro výběr operací pro všechny investiční priority celého OP PIK jsou uvedeny v prioritní ose 1 v oddíle 2.A.6.2.</w:t>
      </w:r>
    </w:p>
    <w:p w14:paraId="6CF77675" w14:textId="77777777" w:rsidR="00B12F31" w:rsidRPr="00DD47DF" w:rsidRDefault="00B12F31" w:rsidP="00B12F31">
      <w:pPr>
        <w:pStyle w:val="Standardntext"/>
      </w:pPr>
      <w:r w:rsidRPr="00DD47DF">
        <w:t>V rámci výběru a hodnocení projektů budou posuzována především následující kritéria:</w:t>
      </w:r>
    </w:p>
    <w:p w14:paraId="6C884DC1" w14:textId="0B41630E" w:rsidR="00B12F31" w:rsidRPr="00DD47DF" w:rsidRDefault="00B12F31" w:rsidP="00E17A60">
      <w:pPr>
        <w:pStyle w:val="Standardntext"/>
        <w:numPr>
          <w:ilvl w:val="0"/>
          <w:numId w:val="43"/>
        </w:numPr>
      </w:pPr>
      <w:r w:rsidRPr="00DD47DF">
        <w:t xml:space="preserve">Kvalita a potřebnost </w:t>
      </w:r>
      <w:r w:rsidR="00C0640C" w:rsidRPr="00DD47DF">
        <w:t xml:space="preserve">projektu </w:t>
      </w:r>
      <w:r w:rsidRPr="00DD47DF">
        <w:t xml:space="preserve">s ohledem na </w:t>
      </w:r>
      <w:r w:rsidR="00DC4382" w:rsidRPr="00DD47DF">
        <w:t>jeho</w:t>
      </w:r>
      <w:r w:rsidRPr="00DD47DF">
        <w:t xml:space="preserve"> ekologické příno</w:t>
      </w:r>
      <w:r w:rsidR="00DC4382" w:rsidRPr="00DD47DF">
        <w:t>sy a nově zavedené technologie; z</w:t>
      </w:r>
      <w:r w:rsidRPr="00DD47DF">
        <w:t>ejména bude kladen důraz na poměr investičních nákladů k úspoře energii</w:t>
      </w:r>
      <w:r w:rsidR="00E17A60">
        <w:t xml:space="preserve">, </w:t>
      </w:r>
      <w:r w:rsidR="00E17A60" w:rsidRPr="00E17A60">
        <w:t>poměr investičních nákladů na instalovaný výkon obnovitelného zdroje energie</w:t>
      </w:r>
      <w:r w:rsidRPr="00DD47DF">
        <w:t xml:space="preserve"> a redukci emisí znečišťujících látek.</w:t>
      </w:r>
    </w:p>
    <w:p w14:paraId="441BCAA4" w14:textId="77777777" w:rsidR="00B12F31" w:rsidRPr="00DD47DF" w:rsidRDefault="00B12F31" w:rsidP="00D927A2">
      <w:pPr>
        <w:pStyle w:val="Standardntext"/>
        <w:numPr>
          <w:ilvl w:val="0"/>
          <w:numId w:val="43"/>
        </w:numPr>
        <w:ind w:left="714" w:hanging="357"/>
      </w:pPr>
      <w:r w:rsidRPr="00DD47DF">
        <w:t xml:space="preserve">Soulad projektu s horizontálními principy, mezi něž patří udržitelný rozvoj, rovné příležitosti a ochrana před diskriminací. Projekt, který bude v rozporu s těmito principy, nebude v rámci OP PIK podpořen (blíže viz oddíl 11). </w:t>
      </w:r>
    </w:p>
    <w:p w14:paraId="7939D436" w14:textId="47CB73E0" w:rsidR="00B12F31" w:rsidRPr="00DD47DF" w:rsidRDefault="00B12F31" w:rsidP="00DC0681">
      <w:pPr>
        <w:pStyle w:val="Standardntext"/>
        <w:numPr>
          <w:ilvl w:val="0"/>
          <w:numId w:val="43"/>
        </w:numPr>
      </w:pPr>
      <w:r w:rsidRPr="00DD47DF">
        <w:t>Vliv projektu na oblast klimatu a ovzduší. Nad rámec výše uvedených indikátorů specifického cíle bude na projektové úrovni interně monitorován</w:t>
      </w:r>
      <w:r w:rsidR="001E054A" w:rsidRPr="00DD47DF">
        <w:t xml:space="preserve"> a vykazován EK</w:t>
      </w:r>
      <w:r w:rsidRPr="00DD47DF">
        <w:t xml:space="preserve"> vliv daného projektu na oblast klimatu prostřednictvím indikátoru „Snížení emisí CO2“</w:t>
      </w:r>
      <w:r w:rsidR="00C306CB" w:rsidRPr="00DD47DF">
        <w:t xml:space="preserve"> (3 61 13)</w:t>
      </w:r>
      <w:r w:rsidRPr="00DD47DF">
        <w:t xml:space="preserve"> a dále na vliv na oblast ovzduší prostřednictvím indikátoru „</w:t>
      </w:r>
      <w:r w:rsidR="00DC0681" w:rsidRPr="00DC0681">
        <w:t xml:space="preserve">Množství emisí </w:t>
      </w:r>
      <w:r w:rsidR="00DC0681" w:rsidRPr="00DC0681">
        <w:lastRenderedPageBreak/>
        <w:t>primárních částic a prekurzorů sekundárních částic</w:t>
      </w:r>
      <w:r w:rsidRPr="00DD47DF">
        <w:t>“</w:t>
      </w:r>
      <w:r w:rsidR="00C306CB" w:rsidRPr="00DD47DF">
        <w:t xml:space="preserve"> (3 61 11)</w:t>
      </w:r>
      <w:r w:rsidR="00E624A1" w:rsidRPr="00DD47DF">
        <w:rPr>
          <w:rStyle w:val="Znakapoznpodarou"/>
        </w:rPr>
        <w:footnoteReference w:id="62"/>
      </w:r>
      <w:r w:rsidRPr="00DD47DF">
        <w:t xml:space="preserve">. Tyto </w:t>
      </w:r>
      <w:r w:rsidR="00032047" w:rsidRPr="00DD47DF">
        <w:t xml:space="preserve">environmentální </w:t>
      </w:r>
      <w:r w:rsidRPr="00DD47DF">
        <w:t>indikátory budou dále agregovány pro potřeby Dohody o partnerství</w:t>
      </w:r>
      <w:r w:rsidR="00E624A1" w:rsidRPr="00DD47DF">
        <w:t xml:space="preserve"> a Výročních zpráv OP PIK</w:t>
      </w:r>
      <w:r w:rsidRPr="00DD47DF">
        <w:t>.</w:t>
      </w:r>
    </w:p>
    <w:p w14:paraId="3A8F0544" w14:textId="77777777" w:rsidR="0038435E" w:rsidRPr="00DD47DF" w:rsidRDefault="0038435E" w:rsidP="0038435E">
      <w:pPr>
        <w:pStyle w:val="Standardntext"/>
        <w:numPr>
          <w:ilvl w:val="0"/>
          <w:numId w:val="43"/>
        </w:numPr>
      </w:pPr>
      <w:r w:rsidRPr="00DD47DF">
        <w:t>Projekt musí splňovat alespoň požadavky na úrovni kladené spodní polovinou intervalu nejlepších dostupných technik</w:t>
      </w:r>
      <w:r w:rsidRPr="00DD47DF" w:rsidDel="00A808D6">
        <w:t xml:space="preserve"> </w:t>
      </w:r>
      <w:r w:rsidRPr="00DD47DF">
        <w:rPr>
          <w:rStyle w:val="Znakapoznpodarou"/>
        </w:rPr>
        <w:footnoteReference w:id="63"/>
      </w:r>
      <w:r w:rsidRPr="00DD47DF">
        <w:t>.</w:t>
      </w:r>
    </w:p>
    <w:p w14:paraId="1BC9E00A" w14:textId="77777777" w:rsidR="001B4E71" w:rsidRPr="00DD47DF" w:rsidRDefault="001B4E71" w:rsidP="00D927A2">
      <w:pPr>
        <w:pStyle w:val="Standardntext"/>
        <w:numPr>
          <w:ilvl w:val="0"/>
          <w:numId w:val="43"/>
        </w:numPr>
      </w:pPr>
      <w:r w:rsidRPr="00DD47DF">
        <w:t>Projekt musí splnit nákladově optimální úroveň, která bude stanovena v prováděcí dokumentaci.</w:t>
      </w:r>
    </w:p>
    <w:p w14:paraId="2AA4AD69" w14:textId="77777777" w:rsidR="00D3112E" w:rsidRPr="00DD47DF" w:rsidRDefault="00D3112E" w:rsidP="00441D67">
      <w:pPr>
        <w:pStyle w:val="Odstavecseseznamem"/>
        <w:numPr>
          <w:ilvl w:val="0"/>
          <w:numId w:val="43"/>
        </w:numPr>
        <w:spacing w:after="120"/>
        <w:ind w:left="714" w:hanging="357"/>
        <w:contextualSpacing w:val="0"/>
        <w:jc w:val="both"/>
      </w:pPr>
      <w:r w:rsidRPr="00DD47DF">
        <w:rPr>
          <w:sz w:val="24"/>
          <w:szCs w:val="24"/>
        </w:rPr>
        <w:t>Projekty obsahující kombinovanou výrobu elektřiny a tepla budou podporovány jenom v případě, pokud splní kritéria vysokoúčinné výroby elektřiny a tepla.</w:t>
      </w:r>
    </w:p>
    <w:p w14:paraId="0A9D5D74" w14:textId="1AEE20DD" w:rsidR="000B12B7" w:rsidRPr="00DD47DF" w:rsidRDefault="000B12B7" w:rsidP="00E17A60">
      <w:pPr>
        <w:pStyle w:val="Standardntext"/>
        <w:numPr>
          <w:ilvl w:val="0"/>
          <w:numId w:val="43"/>
        </w:numPr>
      </w:pPr>
      <w:r w:rsidRPr="00DD47DF">
        <w:t xml:space="preserve">Energetický audit, energetický posudek a průkaz energetické náročnosti budovy bude sloužit k určení předpokládané výše úspor </w:t>
      </w:r>
      <w:r w:rsidR="00E17A60" w:rsidRPr="00E17A60">
        <w:t>a objemu využití obnovitelných zdrojů energie pro vlastní spotřebu</w:t>
      </w:r>
      <w:r w:rsidR="00E17A60">
        <w:t xml:space="preserve"> </w:t>
      </w:r>
      <w:r w:rsidRPr="00DD47DF">
        <w:t>dle opatření a následně po realizaci také k jeho monitoringu a verifikaci.</w:t>
      </w:r>
    </w:p>
    <w:p w14:paraId="5216E97B" w14:textId="4B77CD2F" w:rsidR="00D3112E" w:rsidRPr="00DD47DF" w:rsidRDefault="00AC1814" w:rsidP="00AC1814">
      <w:pPr>
        <w:pStyle w:val="Odstavecseseznamem"/>
        <w:numPr>
          <w:ilvl w:val="0"/>
          <w:numId w:val="43"/>
        </w:numPr>
        <w:spacing w:after="120"/>
        <w:contextualSpacing w:val="0"/>
        <w:jc w:val="both"/>
      </w:pPr>
      <w:r w:rsidRPr="00AC1814">
        <w:rPr>
          <w:sz w:val="24"/>
          <w:szCs w:val="24"/>
        </w:rPr>
        <w:t>Modernizace soustav osvětlení budov a průmyslových areálů bude podpořena dotací pouze v případě, že bude součástí komplexního projektu. Jako samostatné opatření lze podpořit formou finančního nástroje.</w:t>
      </w:r>
    </w:p>
    <w:p w14:paraId="5407F251" w14:textId="77777777" w:rsidR="000B12B7" w:rsidRPr="00DD47DF" w:rsidRDefault="000B12B7" w:rsidP="00D01FDB">
      <w:pPr>
        <w:pStyle w:val="Standardntext"/>
        <w:numPr>
          <w:ilvl w:val="0"/>
          <w:numId w:val="43"/>
        </w:numPr>
      </w:pPr>
      <w:r w:rsidRPr="00DD47DF">
        <w:t xml:space="preserve">Podpořen nebude projekt </w:t>
      </w:r>
      <w:r w:rsidR="00DE7B56" w:rsidRPr="00DD47DF">
        <w:t xml:space="preserve">instalace a </w:t>
      </w:r>
      <w:r w:rsidRPr="00DD47DF">
        <w:t>rekonstrukce zařízení (zdroje) nad 20MW tepelného příkon (po rekonstrukci)</w:t>
      </w:r>
      <w:r w:rsidR="00DE7B56" w:rsidRPr="00DD47DF">
        <w:t xml:space="preserve">, </w:t>
      </w:r>
      <w:r w:rsidR="00D01FDB" w:rsidRPr="00DD47DF">
        <w:t>s výjimkou zařízení využívajících výhradně biomasu</w:t>
      </w:r>
      <w:r w:rsidRPr="00DD47DF">
        <w:t>.</w:t>
      </w:r>
    </w:p>
    <w:p w14:paraId="4FE7F713" w14:textId="77777777" w:rsidR="008614C4" w:rsidRPr="00DD47DF" w:rsidRDefault="00D01FDB" w:rsidP="00DE7B56">
      <w:pPr>
        <w:pStyle w:val="Standardntext"/>
        <w:numPr>
          <w:ilvl w:val="0"/>
          <w:numId w:val="43"/>
        </w:numPr>
      </w:pPr>
      <w:r w:rsidRPr="00DD47DF">
        <w:t>Žádná podpora nebude poskytnuta na spolufinancování zařízení, na něž se vztahuje směrnice o průmyslových emisích, která je použitelná na zařízení pro výrobu energie a dálkové vytápění nad 50 MW.</w:t>
      </w:r>
    </w:p>
    <w:p w14:paraId="10FE7217" w14:textId="77777777" w:rsidR="00D3112E" w:rsidRPr="00DD47DF" w:rsidRDefault="002C72B3" w:rsidP="00441D67">
      <w:pPr>
        <w:pStyle w:val="Odstavecseseznamem"/>
        <w:numPr>
          <w:ilvl w:val="0"/>
          <w:numId w:val="43"/>
        </w:numPr>
        <w:spacing w:after="120"/>
        <w:ind w:left="714" w:hanging="357"/>
        <w:contextualSpacing w:val="0"/>
        <w:jc w:val="both"/>
      </w:pPr>
      <w:r w:rsidRPr="00DD47DF">
        <w:rPr>
          <w:sz w:val="24"/>
        </w:rPr>
        <w:t>Životnost investic v tomto odvětví se počítá na desítky let, a měly by proto odpovídat příslušným ustanovením a politikám právních předpisů EU. Systémy vytápění finančně podporované z OP musí již od počátku programového období splňovat minimální požadavky na energetickou účinnost a na emise platné ke konci roku 2020, jak to stanoví prováděcí opatření směrnice o ekodesignu 2009/125/ES.</w:t>
      </w:r>
    </w:p>
    <w:p w14:paraId="0C6B9C33" w14:textId="56B8F46B" w:rsidR="00D3112E" w:rsidRPr="00DD47DF" w:rsidRDefault="00E37A33" w:rsidP="00E37A33">
      <w:pPr>
        <w:pStyle w:val="Odstavecseseznamem"/>
        <w:numPr>
          <w:ilvl w:val="0"/>
          <w:numId w:val="43"/>
        </w:numPr>
        <w:spacing w:after="120"/>
        <w:contextualSpacing w:val="0"/>
        <w:jc w:val="both"/>
      </w:pPr>
      <w:r w:rsidRPr="00E37A33">
        <w:rPr>
          <w:sz w:val="24"/>
          <w:szCs w:val="24"/>
        </w:rPr>
        <w:t>Podpořeny budou pouze projekty, které splňují požadavky mezních hodnot emisí pro spalovací zařízení podle Směrnice 2015/2193/ES o omezení emisí některých znečišťujících látek do ovzduší ze středních spalovacích zařízení. Prioritně budou podporovány projekty, které přispívají k plnění směrnice o nových národních emisních stropech, která vstoupila v platnost dne 31. prosince 2016.</w:t>
      </w:r>
    </w:p>
    <w:p w14:paraId="1753FAB7" w14:textId="77777777" w:rsidR="000B12B7" w:rsidRPr="00DD47DF" w:rsidRDefault="000B12B7" w:rsidP="00D3112E">
      <w:pPr>
        <w:pStyle w:val="Standardntext"/>
        <w:numPr>
          <w:ilvl w:val="0"/>
          <w:numId w:val="43"/>
        </w:numPr>
      </w:pPr>
      <w:r w:rsidRPr="00DD47DF">
        <w:lastRenderedPageBreak/>
        <w:t xml:space="preserve">Podpořeny nebudou projekty zaměřené na rekonstrukci/výstavbu zdroje kombinované výroby elektřiny a tepla a monovýroby tepla, která využívá jako palivo uhlí včetně  spoluspalování uhlí a biomasy. </w:t>
      </w:r>
    </w:p>
    <w:p w14:paraId="0BC5FC13" w14:textId="77777777" w:rsidR="008614C4" w:rsidRPr="00DD47DF" w:rsidRDefault="000B12B7" w:rsidP="00D927A2">
      <w:pPr>
        <w:pStyle w:val="Standardntext"/>
        <w:numPr>
          <w:ilvl w:val="0"/>
          <w:numId w:val="43"/>
        </w:numPr>
      </w:pPr>
      <w:r w:rsidRPr="00DD47DF">
        <w:t>Projekt nesmí být financován provozní podporou obnovitelných zdrojů energie.</w:t>
      </w:r>
    </w:p>
    <w:p w14:paraId="45642437" w14:textId="77777777" w:rsidR="000B12B7" w:rsidRPr="00DD47DF" w:rsidRDefault="000B12B7" w:rsidP="00D927A2">
      <w:pPr>
        <w:pStyle w:val="Standardntext"/>
        <w:numPr>
          <w:ilvl w:val="0"/>
          <w:numId w:val="43"/>
        </w:numPr>
      </w:pPr>
      <w:r w:rsidRPr="00DD47DF">
        <w:t>V případě přechodu z uhelného zdroje na biomasu musí být projekt v souladu se Zprávou EK z července 2014 „o současném stavu udržitelnosti pevné a plynné biomasy používání pro výrobu elektrické energie, vytápění a chlazení v EU“.</w:t>
      </w:r>
    </w:p>
    <w:p w14:paraId="2DCE3E7A" w14:textId="77777777" w:rsidR="00351AB8" w:rsidRPr="00DD47DF" w:rsidRDefault="00D01FDB" w:rsidP="00351AB8">
      <w:pPr>
        <w:pStyle w:val="Standardntext"/>
        <w:numPr>
          <w:ilvl w:val="0"/>
          <w:numId w:val="43"/>
        </w:numPr>
      </w:pPr>
      <w:r w:rsidRPr="00DD47DF">
        <w:t>Projekty musí být v souladu s udržitelným využíváním dřevní biomasy a působnost bude stanovena na regionální úrovni, aby se zajistilo, že využívání dřevní biomasy nepřekročí funkční mez umožňující obnovu přirozených ekosystémů</w:t>
      </w:r>
      <w:r w:rsidR="00351AB8" w:rsidRPr="00DD47DF">
        <w:t>.</w:t>
      </w:r>
    </w:p>
    <w:p w14:paraId="5C3FA8C2" w14:textId="77777777" w:rsidR="007C6B14" w:rsidRPr="00DD47DF" w:rsidRDefault="007C6B14" w:rsidP="007C6B14">
      <w:pPr>
        <w:pStyle w:val="Standardntext"/>
        <w:numPr>
          <w:ilvl w:val="0"/>
          <w:numId w:val="43"/>
        </w:numPr>
      </w:pPr>
      <w:r w:rsidRPr="00DD47DF">
        <w:t>Pro podporovaná tepelná čerpadla a solární kolektory budou respektovány požadavky na energetickou účinnost stanovené prováděcím opatřením směrnice 2009/125/ES o ekodesignu pro rok 2020.</w:t>
      </w:r>
    </w:p>
    <w:p w14:paraId="1139FD89" w14:textId="77777777" w:rsidR="002C72B3" w:rsidRPr="00DD47DF" w:rsidRDefault="002C72B3" w:rsidP="002C72B3">
      <w:pPr>
        <w:pStyle w:val="Standardntext"/>
        <w:numPr>
          <w:ilvl w:val="0"/>
          <w:numId w:val="43"/>
        </w:numPr>
      </w:pPr>
      <w:r w:rsidRPr="00DD47DF">
        <w:t>Hlavní zásady týkající se investic do vysoce účinné kombinované výroby tepla a elektřiny:</w:t>
      </w:r>
    </w:p>
    <w:p w14:paraId="78C02930" w14:textId="77777777" w:rsidR="002C72B3" w:rsidRPr="00DD47DF" w:rsidRDefault="002C72B3" w:rsidP="00F44C65">
      <w:pPr>
        <w:pStyle w:val="Standardntext"/>
        <w:numPr>
          <w:ilvl w:val="1"/>
          <w:numId w:val="43"/>
        </w:numPr>
      </w:pPr>
      <w:r w:rsidRPr="00DD47DF">
        <w:t>Měly by být vybírány projekty, které zajišťují nejnižší emise CO</w:t>
      </w:r>
      <w:r w:rsidRPr="00DD47DF">
        <w:rPr>
          <w:vertAlign w:val="subscript"/>
        </w:rPr>
        <w:t>2</w:t>
      </w:r>
      <w:r w:rsidRPr="00DD47DF">
        <w:t xml:space="preserve"> a nejmenší znečištění ovzduší – zejména PM10.</w:t>
      </w:r>
    </w:p>
    <w:p w14:paraId="7EF90E05" w14:textId="77777777" w:rsidR="002C72B3" w:rsidRPr="00DD47DF" w:rsidRDefault="002C72B3" w:rsidP="00F44C65">
      <w:pPr>
        <w:pStyle w:val="Standardntext"/>
        <w:numPr>
          <w:ilvl w:val="1"/>
          <w:numId w:val="43"/>
        </w:numPr>
      </w:pPr>
      <w:r w:rsidRPr="00DD47DF">
        <w:t xml:space="preserve">Projekty by měly prokázat ekonomickou udržitelnost </w:t>
      </w:r>
    </w:p>
    <w:p w14:paraId="339BD220" w14:textId="77777777" w:rsidR="002C72B3" w:rsidRPr="00DD47DF" w:rsidRDefault="002C72B3" w:rsidP="00F44C65">
      <w:pPr>
        <w:pStyle w:val="Standardntext"/>
        <w:numPr>
          <w:ilvl w:val="1"/>
          <w:numId w:val="43"/>
        </w:numPr>
      </w:pPr>
      <w:r w:rsidRPr="00DD47DF">
        <w:t xml:space="preserve">Přednost by měly dostat projekty využívající energii z obnovitelných zdrojů. </w:t>
      </w:r>
    </w:p>
    <w:p w14:paraId="7BD8D649" w14:textId="77777777" w:rsidR="002C72B3" w:rsidRPr="00DD47DF" w:rsidRDefault="002C72B3" w:rsidP="00F44C65">
      <w:pPr>
        <w:pStyle w:val="Standardntext"/>
        <w:numPr>
          <w:ilvl w:val="1"/>
          <w:numId w:val="43"/>
        </w:numPr>
      </w:pPr>
      <w:r w:rsidRPr="00DD47DF">
        <w:t xml:space="preserve">Projekty by měly prokázat, že byly realizovány investice do zvýšení energetické účinnosti a snížení energetické náročnosti budov, jimž tato zařízení slouží, a tím bylo zajištěno, že investice se zakládají na poptávce po užitečném teple. </w:t>
      </w:r>
    </w:p>
    <w:p w14:paraId="48A1A55B" w14:textId="77777777" w:rsidR="002C72B3" w:rsidRPr="00DD47DF" w:rsidRDefault="002C72B3" w:rsidP="00F44C65">
      <w:pPr>
        <w:pStyle w:val="Standardntext"/>
        <w:numPr>
          <w:ilvl w:val="1"/>
          <w:numId w:val="43"/>
        </w:numPr>
      </w:pPr>
      <w:r w:rsidRPr="00DD47DF">
        <w:t>Všechny investice musí být v souladu s normami a právními předpisy EU v oblasti životního prostředí.</w:t>
      </w:r>
    </w:p>
    <w:p w14:paraId="7C517131" w14:textId="77777777" w:rsidR="002C72B3" w:rsidRPr="00DD47DF" w:rsidRDefault="002C72B3" w:rsidP="00F44C65">
      <w:pPr>
        <w:pStyle w:val="Standardntext"/>
        <w:numPr>
          <w:ilvl w:val="1"/>
          <w:numId w:val="43"/>
        </w:numPr>
      </w:pPr>
      <w:r w:rsidRPr="00DD47DF">
        <w:t>Mělo by být podporováno využívání poskytovatelů energetických služeb a finančních nástrojů.</w:t>
      </w:r>
    </w:p>
    <w:p w14:paraId="5B705C89" w14:textId="77777777" w:rsidR="002C72B3" w:rsidRPr="00DD47DF" w:rsidRDefault="002C72B3" w:rsidP="002C72B3">
      <w:pPr>
        <w:pStyle w:val="Standardntext"/>
        <w:numPr>
          <w:ilvl w:val="0"/>
          <w:numId w:val="43"/>
        </w:numPr>
      </w:pPr>
      <w:r w:rsidRPr="00DD47DF">
        <w:t>Hlavní zásady týkající se investic do individuálních kotlů a mikrokogeneračních jednotek:</w:t>
      </w:r>
    </w:p>
    <w:p w14:paraId="009AD7CE" w14:textId="77777777" w:rsidR="00D3112E" w:rsidRPr="00DD47DF" w:rsidRDefault="002C72B3" w:rsidP="00F44C65">
      <w:pPr>
        <w:pStyle w:val="Standardntext"/>
        <w:numPr>
          <w:ilvl w:val="1"/>
          <w:numId w:val="43"/>
        </w:numPr>
      </w:pPr>
      <w:r w:rsidRPr="00DD47DF">
        <w:t>Investice by měly vést k významnému snížení emisí CO</w:t>
      </w:r>
      <w:r w:rsidRPr="00DD47DF">
        <w:rPr>
          <w:vertAlign w:val="subscript"/>
        </w:rPr>
        <w:t>2</w:t>
      </w:r>
      <w:r w:rsidRPr="00DD47DF">
        <w:t xml:space="preserve"> v porovnání se stávajícími zařízeními (v případě přechodu na jiná paliva minimálně o 30 %).</w:t>
      </w:r>
      <w:r w:rsidR="00D3112E" w:rsidRPr="00DD47DF">
        <w:t xml:space="preserve"> Tento požadavek na snížení emisí CO2 bude vztažen pouze k výrobě tepla odpovídající výrobě navrhované mikrokogenerace, tj. pouze části z celkové výroby tepla daného zdroje, přičemž předmětem hodnocení by mělo být porovnání globálních emisí odpovídajících oddělené výrobě elektřiny a tepla a navrhované výrobě kogenerační.</w:t>
      </w:r>
    </w:p>
    <w:p w14:paraId="4F5599C1" w14:textId="77777777" w:rsidR="002C72B3" w:rsidRPr="00DD47DF" w:rsidRDefault="002C72B3" w:rsidP="00D01FDB">
      <w:pPr>
        <w:pStyle w:val="Standardntext"/>
        <w:numPr>
          <w:ilvl w:val="1"/>
          <w:numId w:val="43"/>
        </w:numPr>
      </w:pPr>
      <w:r w:rsidRPr="00DD47DF">
        <w:t>Investice by měly vést k významnému snížení emisí CO</w:t>
      </w:r>
      <w:r w:rsidRPr="00DD47DF">
        <w:rPr>
          <w:vertAlign w:val="subscript"/>
        </w:rPr>
        <w:t>2</w:t>
      </w:r>
      <w:r w:rsidRPr="00DD47DF">
        <w:t xml:space="preserve"> v porovnání se stávajícími zařízeními (v případě přechodu na </w:t>
      </w:r>
      <w:r w:rsidR="00F44C65" w:rsidRPr="00DD47DF">
        <w:t xml:space="preserve">jiná paliva minimálně o 30 %). </w:t>
      </w:r>
      <w:r w:rsidRPr="00DD47DF">
        <w:t>U individuálních kotlů, pouze v případě přechodu na jiné palivo (například z tuhých fosilních paliv na zemní plyn), neměla by se však vztahovat na výměnu stávajících plynových kotlů s novými jednotkami (vysoce účinné kondenzační kotle).</w:t>
      </w:r>
      <w:r w:rsidR="00351AB8" w:rsidRPr="00DD47DF">
        <w:t xml:space="preserve"> </w:t>
      </w:r>
      <w:r w:rsidR="00D01FDB" w:rsidRPr="00DD47DF">
        <w:t xml:space="preserve">Investice mohou zahrnovat kotle na biomasu, nebo v řádně </w:t>
      </w:r>
      <w:r w:rsidR="00D01FDB" w:rsidRPr="00DD47DF">
        <w:lastRenderedPageBreak/>
        <w:t>odůvodněných případech na plynná paliva, pokud tak dojde k významnému navýšení energetické účinnosti a potřeba je obzvláště naléhavá</w:t>
      </w:r>
      <w:r w:rsidR="00351AB8" w:rsidRPr="00DD47DF">
        <w:t>.</w:t>
      </w:r>
    </w:p>
    <w:p w14:paraId="21F8697E" w14:textId="77777777" w:rsidR="002C72B3" w:rsidRPr="00DD47DF" w:rsidRDefault="002C72B3" w:rsidP="00F44C65">
      <w:pPr>
        <w:pStyle w:val="Standardntext"/>
        <w:numPr>
          <w:ilvl w:val="1"/>
          <w:numId w:val="43"/>
        </w:numPr>
      </w:pPr>
      <w:r w:rsidRPr="00DD47DF">
        <w:t xml:space="preserve">Investice by měly být sociálně i ekonomicky udržitelné. </w:t>
      </w:r>
    </w:p>
    <w:p w14:paraId="51F3C6B0" w14:textId="77777777" w:rsidR="002C72B3" w:rsidRPr="00DD47DF" w:rsidRDefault="002C72B3" w:rsidP="00F44C65">
      <w:pPr>
        <w:pStyle w:val="Standardntext"/>
        <w:numPr>
          <w:ilvl w:val="1"/>
          <w:numId w:val="43"/>
        </w:numPr>
      </w:pPr>
      <w:r w:rsidRPr="00DD47DF">
        <w:t>Přednost by měly dostat projekty využívající energii z obnovitelných zdrojů.</w:t>
      </w:r>
    </w:p>
    <w:p w14:paraId="101A2575" w14:textId="77777777" w:rsidR="002C72B3" w:rsidRPr="00DD47DF" w:rsidRDefault="002C72B3" w:rsidP="00F44C65">
      <w:pPr>
        <w:pStyle w:val="Standardntext"/>
        <w:numPr>
          <w:ilvl w:val="1"/>
          <w:numId w:val="43"/>
        </w:numPr>
      </w:pPr>
      <w:r w:rsidRPr="00DD47DF">
        <w:t>Investice by měly být podmíněny zlepšením energetické účinnosti a snížením energetické náročnosti budov, pro které jsou tato zařízení určena.</w:t>
      </w:r>
    </w:p>
    <w:p w14:paraId="561BB2F9" w14:textId="77777777" w:rsidR="002C72B3" w:rsidRPr="00DD47DF" w:rsidRDefault="002C72B3" w:rsidP="00F44C65">
      <w:pPr>
        <w:pStyle w:val="Standardntext"/>
        <w:numPr>
          <w:ilvl w:val="1"/>
          <w:numId w:val="43"/>
        </w:numPr>
      </w:pPr>
      <w:r w:rsidRPr="00DD47DF">
        <w:t>Všechny investice musí být v souladu s normami a právními předpisy EU v oblasti životního prostředí.</w:t>
      </w:r>
    </w:p>
    <w:p w14:paraId="7FADE081" w14:textId="77777777" w:rsidR="00D3112E" w:rsidRPr="00DD47DF" w:rsidRDefault="002C72B3" w:rsidP="00F44C65">
      <w:pPr>
        <w:pStyle w:val="Standardntext"/>
        <w:numPr>
          <w:ilvl w:val="1"/>
          <w:numId w:val="43"/>
        </w:numPr>
      </w:pPr>
      <w:r w:rsidRPr="00DD47DF">
        <w:t>Mělo být podporováno využívání poskytovatelů energetických služeb a finančních nástrojů.</w:t>
      </w:r>
    </w:p>
    <w:p w14:paraId="4C8AC433" w14:textId="70E09F82" w:rsidR="00832CB9" w:rsidRPr="00DD47DF" w:rsidRDefault="002B6D7C" w:rsidP="002B6D7C">
      <w:pPr>
        <w:pStyle w:val="Standardntext"/>
        <w:numPr>
          <w:ilvl w:val="0"/>
          <w:numId w:val="43"/>
        </w:numPr>
      </w:pPr>
      <w:r w:rsidRPr="002B6D7C">
        <w:rPr>
          <w:lang w:eastAsia="x-none"/>
        </w:rPr>
        <w:t>V případě podpory formou finančních nástrojů bude výběr operací a příjemců proveden ŘO podle výběrových kritérií schválených MV OP PIK, v souladu s výsledky předběžného posouzení FN. Výběr konečných příjemců bude provádět správce finančního nástroje.</w:t>
      </w:r>
    </w:p>
    <w:p w14:paraId="0295C4CE" w14:textId="77777777" w:rsidR="00516E97" w:rsidRPr="00DD47DF" w:rsidRDefault="00516E97" w:rsidP="00D927A2">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46ABB202" w14:textId="77777777" w:rsidR="0058402E" w:rsidRPr="00DD47DF" w:rsidRDefault="00BA6461" w:rsidP="005F43DF">
      <w:pPr>
        <w:pStyle w:val="Nadpis5"/>
        <w:numPr>
          <w:ilvl w:val="4"/>
          <w:numId w:val="21"/>
        </w:numPr>
        <w:rPr>
          <w:rFonts w:cs="Calibri"/>
        </w:rPr>
      </w:pPr>
      <w:r w:rsidRPr="00DD47DF">
        <w:t xml:space="preserve">Plánované využití finančních nástrojů </w:t>
      </w:r>
    </w:p>
    <w:p w14:paraId="43D8BFC9" w14:textId="77777777" w:rsidR="0058402E" w:rsidRPr="00DD47DF" w:rsidRDefault="001049C5" w:rsidP="002A4D1D">
      <w:pPr>
        <w:pStyle w:val="Standardntext"/>
      </w:pPr>
      <w:r w:rsidRPr="00DD47DF">
        <w:t>Při provádění této investiční priority budou koneční příjemci podpořeni finančními nástroji. Detaily stanoví Řídící orgán OP PIK na základě předběžného posouzení finančních nástrojů OP PIK dle čl. 37 odst. 2 obecného nařízení, případně jeho revize podle čl. 37 odst. 2 písm. g) obecného nařízení. Předběžné posouzení finančních nástrojů musí být dokončeno dříve, než řídicí orgán rozhodne, že finanční nástroj obdrží příspěvek z programu.</w:t>
      </w:r>
    </w:p>
    <w:p w14:paraId="6D425051" w14:textId="77777777" w:rsidR="0058402E" w:rsidRPr="00DD47DF" w:rsidRDefault="00BA6461" w:rsidP="005F43DF">
      <w:pPr>
        <w:pStyle w:val="Nadpis5"/>
        <w:numPr>
          <w:ilvl w:val="4"/>
          <w:numId w:val="21"/>
        </w:numPr>
      </w:pPr>
      <w:r w:rsidRPr="00DD47DF">
        <w:t>Plánované využití velkých projektů (použije-li se)</w:t>
      </w:r>
    </w:p>
    <w:p w14:paraId="24102C83" w14:textId="77777777" w:rsidR="002A4D1D" w:rsidRPr="00DD47DF" w:rsidRDefault="002A4D1D" w:rsidP="002A4D1D">
      <w:pPr>
        <w:pStyle w:val="Standardntext"/>
      </w:pPr>
      <w:r w:rsidRPr="00DD47DF">
        <w:t xml:space="preserve">Velké projekty ve smyslu čl. </w:t>
      </w:r>
      <w:r w:rsidR="008F52F8" w:rsidRPr="00DD47DF">
        <w:t>10</w:t>
      </w:r>
      <w:r w:rsidRPr="00DD47DF">
        <w:t>0 obecného nařízení nejsou plánovány.</w:t>
      </w:r>
    </w:p>
    <w:p w14:paraId="1B886573" w14:textId="77777777" w:rsidR="0058402E" w:rsidRPr="00DD47DF" w:rsidRDefault="00BA6461" w:rsidP="005F43DF">
      <w:pPr>
        <w:pStyle w:val="Nadpis5"/>
        <w:numPr>
          <w:ilvl w:val="4"/>
          <w:numId w:val="21"/>
        </w:numPr>
      </w:pPr>
      <w:r w:rsidRPr="00DD47DF">
        <w:t>Ukazatele výstupů podle investiční priority a případně podle kategorie regionů</w:t>
      </w:r>
    </w:p>
    <w:p w14:paraId="5AA8A7AB" w14:textId="77777777" w:rsidR="0058402E" w:rsidRPr="00DD47DF" w:rsidRDefault="0058402E" w:rsidP="00AA66A2">
      <w:pPr>
        <w:pStyle w:val="Titulek"/>
        <w:keepNext/>
        <w:keepLines/>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462"/>
        <w:gridCol w:w="2321"/>
        <w:gridCol w:w="1345"/>
        <w:gridCol w:w="665"/>
        <w:gridCol w:w="1222"/>
        <w:gridCol w:w="1083"/>
        <w:gridCol w:w="1038"/>
        <w:gridCol w:w="1190"/>
      </w:tblGrid>
      <w:tr w:rsidR="001B2E5C" w:rsidRPr="00DD47DF" w14:paraId="448C8263" w14:textId="77777777" w:rsidTr="00081C97">
        <w:trPr>
          <w:trHeight w:hRule="exact" w:val="1032"/>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335427C" w14:textId="77777777" w:rsidR="001B2E5C" w:rsidRPr="00DD47DF" w:rsidRDefault="001B2E5C" w:rsidP="00AA66A2">
            <w:pPr>
              <w:pStyle w:val="Tabulka"/>
              <w:keepNext/>
              <w:keepLines/>
              <w:rPr>
                <w:rFonts w:cs="Calibri"/>
                <w:b/>
              </w:rPr>
            </w:pPr>
            <w:r w:rsidRPr="00DD47DF">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D445015" w14:textId="77777777" w:rsidR="001B2E5C" w:rsidRPr="00DD47DF" w:rsidRDefault="001B2E5C" w:rsidP="00AA66A2">
            <w:pPr>
              <w:pStyle w:val="Tabulka"/>
              <w:keepNext/>
              <w:keepLines/>
              <w:rPr>
                <w:rFonts w:cs="Calibri"/>
                <w:b/>
              </w:rPr>
            </w:pPr>
            <w:r w:rsidRPr="00DD47DF">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0C128F2" w14:textId="77777777" w:rsidR="001B2E5C" w:rsidRPr="00DD47DF" w:rsidRDefault="001B2E5C" w:rsidP="00AA66A2">
            <w:pPr>
              <w:pStyle w:val="Tabulka"/>
              <w:keepNext/>
              <w:keepLines/>
              <w:rPr>
                <w:rFonts w:cs="Calibri"/>
                <w:b/>
              </w:rPr>
            </w:pPr>
            <w:r w:rsidRPr="00DD47DF">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D4C945F" w14:textId="77777777" w:rsidR="001B2E5C" w:rsidRPr="00DD47DF" w:rsidRDefault="001B2E5C" w:rsidP="00AA66A2">
            <w:pPr>
              <w:pStyle w:val="Tabulka"/>
              <w:keepNext/>
              <w:keepLines/>
              <w:rPr>
                <w:rFonts w:cs="Calibri"/>
                <w:b/>
              </w:rPr>
            </w:pPr>
            <w:r w:rsidRPr="00DD47DF">
              <w:rPr>
                <w:rFonts w:cs="Calibri"/>
                <w:b/>
              </w:rPr>
              <w:t>Fond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DE4CCCB" w14:textId="77777777" w:rsidR="001B2E5C" w:rsidRPr="00DD47DF" w:rsidRDefault="001B2E5C" w:rsidP="00AA66A2">
            <w:pPr>
              <w:pStyle w:val="Tabulka"/>
              <w:keepNext/>
              <w:keepLines/>
              <w:rPr>
                <w:rFonts w:cs="Calibri"/>
                <w:b/>
              </w:rPr>
            </w:pPr>
            <w:r w:rsidRPr="00DD47DF">
              <w:rPr>
                <w:rFonts w:cs="Calibri"/>
                <w:b/>
              </w:rPr>
              <w:t>Kategorie regionu</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D9137C7" w14:textId="77777777" w:rsidR="001B2E5C" w:rsidRPr="00DD47DF" w:rsidRDefault="001B2E5C" w:rsidP="009F18F5">
            <w:pPr>
              <w:pStyle w:val="Tabulka"/>
              <w:keepNext/>
              <w:keepLines/>
              <w:rPr>
                <w:rFonts w:cs="Calibri"/>
                <w:b/>
              </w:rPr>
            </w:pPr>
            <w:r w:rsidRPr="00DD47DF">
              <w:rPr>
                <w:rFonts w:cs="Calibri"/>
                <w:b/>
              </w:rPr>
              <w:t>Cílová hodnota</w:t>
            </w:r>
            <w:r w:rsidR="009F18F5" w:rsidRPr="00DD47DF">
              <w:rPr>
                <w:rFonts w:cs="Calibri"/>
                <w:b/>
              </w:rPr>
              <w:t xml:space="preserve"> </w:t>
            </w:r>
            <w:r w:rsidRPr="00DD47DF">
              <w:rPr>
                <w:rFonts w:cs="Calibri"/>
                <w:b/>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7159153" w14:textId="77777777" w:rsidR="001B2E5C" w:rsidRPr="00DD47DF" w:rsidRDefault="001B2E5C" w:rsidP="00AA66A2">
            <w:pPr>
              <w:pStyle w:val="Tabulka"/>
              <w:keepNext/>
              <w:keepLines/>
              <w:rPr>
                <w:rFonts w:cs="Calibri"/>
                <w:b/>
              </w:rPr>
            </w:pPr>
            <w:r w:rsidRPr="00DD47DF">
              <w:rPr>
                <w:rFonts w:cs="Calibri"/>
                <w:b/>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1751AA8" w14:textId="77777777" w:rsidR="001B2E5C" w:rsidRPr="00DD47DF" w:rsidRDefault="001B2E5C" w:rsidP="00AA66A2">
            <w:pPr>
              <w:pStyle w:val="Tabulka"/>
              <w:keepNext/>
              <w:keepLines/>
              <w:rPr>
                <w:rFonts w:cs="Calibri"/>
                <w:b/>
              </w:rPr>
            </w:pPr>
            <w:r w:rsidRPr="00DD47DF">
              <w:rPr>
                <w:rFonts w:cs="Calibri"/>
                <w:b/>
              </w:rPr>
              <w:t>Četnost podávání zpráv</w:t>
            </w:r>
          </w:p>
        </w:tc>
      </w:tr>
      <w:tr w:rsidR="00826B6B" w:rsidRPr="00DD47DF" w14:paraId="585931F0" w14:textId="77777777" w:rsidTr="00081C9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5D72E442" w14:textId="59B3FE6C" w:rsidR="00826B6B" w:rsidRPr="00DD47DF" w:rsidRDefault="00C75691" w:rsidP="00AA66A2">
            <w:pPr>
              <w:pStyle w:val="Tabulka"/>
              <w:keepNext/>
              <w:keepLines/>
              <w:rPr>
                <w:rFonts w:cs="Calibri"/>
              </w:rPr>
            </w:pPr>
            <w:r w:rsidRPr="00DD47DF">
              <w:rPr>
                <w:rFonts w:cs="Calibri"/>
              </w:rPr>
              <w:t xml:space="preserve">CO </w:t>
            </w:r>
            <w:r w:rsidR="00081C97" w:rsidRPr="00DD47DF">
              <w:rPr>
                <w:rFonts w:cs="Calibri"/>
              </w:rPr>
              <w:t>0</w:t>
            </w:r>
            <w:r w:rsidR="00826B6B" w:rsidRPr="00DD47DF">
              <w:rPr>
                <w:rFonts w:cs="Calibri"/>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1BAB9F15" w14:textId="77777777" w:rsidR="00826B6B" w:rsidRPr="00DD47DF" w:rsidRDefault="007D6298" w:rsidP="00AA66A2">
            <w:pPr>
              <w:pStyle w:val="Tabulka"/>
              <w:keepNext/>
              <w:keepLines/>
              <w:jc w:val="left"/>
              <w:rPr>
                <w:rFonts w:cs="Calibri"/>
              </w:rPr>
            </w:pPr>
            <w:r w:rsidRPr="00DD47DF">
              <w:rPr>
                <w:rFonts w:cs="Calibri"/>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220299B6" w14:textId="77777777" w:rsidR="00826B6B" w:rsidRPr="00DD47DF" w:rsidRDefault="00826B6B" w:rsidP="00AA66A2">
            <w:pPr>
              <w:pStyle w:val="Tabulka"/>
              <w:keepNext/>
              <w:keepLines/>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58CF8D9E" w14:textId="77777777" w:rsidR="00826B6B" w:rsidRPr="00DD47DF" w:rsidRDefault="002B3F69" w:rsidP="00AA66A2">
            <w:pPr>
              <w:pStyle w:val="Tabulka"/>
              <w:keepNext/>
              <w:keepLines/>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2D78D093" w14:textId="77777777" w:rsidR="00826B6B" w:rsidRPr="00DD47DF" w:rsidRDefault="00826B6B" w:rsidP="00AA66A2">
            <w:pPr>
              <w:pStyle w:val="Tabulka"/>
              <w:keepNext/>
              <w:keepLines/>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0EE659A4" w14:textId="5A45C93F" w:rsidR="00826B6B" w:rsidRPr="00DD47DF" w:rsidRDefault="00AD624B" w:rsidP="002F2D15">
            <w:pPr>
              <w:pStyle w:val="Tabulka"/>
              <w:keepNext/>
              <w:keepLines/>
              <w:rPr>
                <w:rFonts w:cs="Calibri"/>
              </w:rPr>
            </w:pPr>
            <w:r w:rsidRPr="00DD47DF">
              <w:rPr>
                <w:rFonts w:cs="Calibri"/>
              </w:rPr>
              <w:t xml:space="preserve">2 </w:t>
            </w:r>
            <w:r w:rsidR="002F2D15" w:rsidRPr="00DD47DF">
              <w:rPr>
                <w:rFonts w:cs="Calibri"/>
              </w:rPr>
              <w:t>7</w:t>
            </w:r>
            <w:r w:rsidR="002F2D15">
              <w:rPr>
                <w:rFonts w:cs="Calibri"/>
              </w:rPr>
              <w:t>39</w:t>
            </w:r>
          </w:p>
        </w:tc>
        <w:tc>
          <w:tcPr>
            <w:tcW w:w="0" w:type="auto"/>
            <w:tcBorders>
              <w:top w:val="single" w:sz="4" w:space="0" w:color="000000"/>
              <w:left w:val="single" w:sz="4" w:space="0" w:color="000000"/>
              <w:bottom w:val="single" w:sz="4" w:space="0" w:color="000000"/>
              <w:right w:val="single" w:sz="4" w:space="0" w:color="000000"/>
            </w:tcBorders>
            <w:vAlign w:val="center"/>
          </w:tcPr>
          <w:p w14:paraId="3609B1EF" w14:textId="77777777" w:rsidR="00826B6B" w:rsidRPr="00DD47DF" w:rsidRDefault="00FC7054" w:rsidP="00AA66A2">
            <w:pPr>
              <w:pStyle w:val="Tabulka"/>
              <w:keepNext/>
              <w:keepLines/>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2CFBF0FF" w14:textId="77777777" w:rsidR="00826B6B" w:rsidRPr="00DD47DF" w:rsidRDefault="00FC7054" w:rsidP="00AA66A2">
            <w:pPr>
              <w:pStyle w:val="Tabulka"/>
              <w:keepNext/>
              <w:keepLines/>
              <w:rPr>
                <w:rFonts w:cs="Calibri"/>
              </w:rPr>
            </w:pPr>
            <w:r>
              <w:rPr>
                <w:rFonts w:cs="Calibri"/>
              </w:rPr>
              <w:t>průběžně</w:t>
            </w:r>
          </w:p>
        </w:tc>
      </w:tr>
      <w:tr w:rsidR="00826B6B" w:rsidRPr="00DD47DF" w14:paraId="693D0C2B" w14:textId="77777777" w:rsidTr="00081C9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70DDB314" w14:textId="693455AA" w:rsidR="00826B6B" w:rsidRPr="00DD47DF" w:rsidRDefault="00C75691" w:rsidP="00E2570C">
            <w:pPr>
              <w:pStyle w:val="Tabulka"/>
              <w:rPr>
                <w:rFonts w:cs="Calibri"/>
              </w:rPr>
            </w:pPr>
            <w:r w:rsidRPr="00DD47DF">
              <w:rPr>
                <w:rFonts w:cs="Calibri"/>
              </w:rPr>
              <w:t xml:space="preserve">CO </w:t>
            </w:r>
            <w:r w:rsidR="00081C97" w:rsidRPr="00DD47DF">
              <w:rPr>
                <w:rFonts w:cs="Calibri"/>
              </w:rPr>
              <w:t>0</w:t>
            </w:r>
            <w:r w:rsidR="00826B6B" w:rsidRPr="00DD47DF">
              <w:rPr>
                <w:rFonts w:cs="Calibri"/>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042BFFE1" w14:textId="77777777" w:rsidR="00826B6B" w:rsidRPr="00DD47DF" w:rsidRDefault="00826B6B" w:rsidP="00E2570C">
            <w:pPr>
              <w:pStyle w:val="Tabulka"/>
              <w:jc w:val="left"/>
              <w:rPr>
                <w:rFonts w:cs="Calibri"/>
              </w:rPr>
            </w:pPr>
            <w:r w:rsidRPr="00DD47DF">
              <w:rPr>
                <w:rFonts w:cs="Calibri"/>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270406B9" w14:textId="77777777" w:rsidR="00826B6B" w:rsidRPr="00DD47DF" w:rsidRDefault="00826B6B" w:rsidP="00E2570C">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6082B295" w14:textId="77777777" w:rsidR="00826B6B" w:rsidRPr="00DD47DF" w:rsidRDefault="002B3F69" w:rsidP="00E2570C">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1109F3FF" w14:textId="77777777" w:rsidR="00826B6B" w:rsidRPr="00DD47DF" w:rsidRDefault="00826B6B" w:rsidP="00E2570C">
            <w:pPr>
              <w:pStyle w:val="Tabulka"/>
              <w:rPr>
                <w:rFonts w:cs="Calibri"/>
              </w:rPr>
            </w:pPr>
            <w:r w:rsidRPr="00DD47DF">
              <w:rPr>
                <w:rFonts w:cs="Calibri"/>
              </w:rPr>
              <w:t xml:space="preserve">Méně rozvinuté </w:t>
            </w:r>
            <w:r w:rsidRPr="00DD47DF">
              <w:rPr>
                <w:rFonts w:cs="Calibri"/>
              </w:rPr>
              <w:lastRenderedPageBreak/>
              <w:t>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45E22666" w14:textId="42466874" w:rsidR="00826B6B" w:rsidRPr="00DD47DF" w:rsidRDefault="00AD624B" w:rsidP="002F2D15">
            <w:pPr>
              <w:pStyle w:val="Tabulka"/>
              <w:rPr>
                <w:rFonts w:cs="Calibri"/>
              </w:rPr>
            </w:pPr>
            <w:r w:rsidRPr="00DD47DF">
              <w:rPr>
                <w:rFonts w:cs="Calibri"/>
              </w:rPr>
              <w:lastRenderedPageBreak/>
              <w:t xml:space="preserve">2 </w:t>
            </w:r>
            <w:r w:rsidR="002F2D15">
              <w:rPr>
                <w:rFonts w:cs="Calibri"/>
              </w:rPr>
              <w:t>593</w:t>
            </w:r>
          </w:p>
        </w:tc>
        <w:tc>
          <w:tcPr>
            <w:tcW w:w="0" w:type="auto"/>
            <w:tcBorders>
              <w:top w:val="single" w:sz="4" w:space="0" w:color="000000"/>
              <w:left w:val="single" w:sz="4" w:space="0" w:color="000000"/>
              <w:bottom w:val="single" w:sz="4" w:space="0" w:color="000000"/>
              <w:right w:val="single" w:sz="4" w:space="0" w:color="000000"/>
            </w:tcBorders>
            <w:vAlign w:val="center"/>
          </w:tcPr>
          <w:p w14:paraId="0FE7E9B4" w14:textId="77777777" w:rsidR="00826B6B" w:rsidRPr="00DD47DF" w:rsidRDefault="00FC7054" w:rsidP="00826B6B">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4EFD5F47" w14:textId="77777777" w:rsidR="00826B6B" w:rsidRPr="00DD47DF" w:rsidRDefault="00FC7054" w:rsidP="00826B6B">
            <w:pPr>
              <w:pStyle w:val="Tabulka"/>
              <w:rPr>
                <w:rFonts w:cs="Calibri"/>
              </w:rPr>
            </w:pPr>
            <w:r>
              <w:rPr>
                <w:rFonts w:cs="Calibri"/>
              </w:rPr>
              <w:t>průběžně</w:t>
            </w:r>
          </w:p>
        </w:tc>
      </w:tr>
      <w:tr w:rsidR="00826B6B" w:rsidRPr="00DD47DF" w14:paraId="7EC35ACD" w14:textId="77777777" w:rsidTr="00081C9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6608C49B" w14:textId="17C75232" w:rsidR="00826B6B" w:rsidRPr="00DD47DF" w:rsidRDefault="00C75691" w:rsidP="00E2570C">
            <w:pPr>
              <w:pStyle w:val="Tabulka"/>
              <w:rPr>
                <w:rFonts w:cs="Calibri"/>
              </w:rPr>
            </w:pPr>
            <w:r w:rsidRPr="00DD47DF">
              <w:rPr>
                <w:rFonts w:cs="Calibri"/>
              </w:rPr>
              <w:t xml:space="preserve">CO </w:t>
            </w:r>
            <w:r w:rsidR="00081C97" w:rsidRPr="00DD47DF">
              <w:rPr>
                <w:rFonts w:cs="Calibri"/>
              </w:rPr>
              <w:t>0</w:t>
            </w:r>
            <w:r w:rsidR="00826B6B" w:rsidRPr="00DD47DF">
              <w:rPr>
                <w:rFonts w:cs="Calibri"/>
              </w:rPr>
              <w:t>3</w:t>
            </w:r>
          </w:p>
        </w:tc>
        <w:tc>
          <w:tcPr>
            <w:tcW w:w="0" w:type="auto"/>
            <w:tcBorders>
              <w:top w:val="single" w:sz="4" w:space="0" w:color="000000"/>
              <w:left w:val="single" w:sz="4" w:space="0" w:color="000000"/>
              <w:bottom w:val="single" w:sz="4" w:space="0" w:color="000000"/>
              <w:right w:val="single" w:sz="4" w:space="0" w:color="000000"/>
            </w:tcBorders>
            <w:vAlign w:val="center"/>
          </w:tcPr>
          <w:p w14:paraId="796B593A" w14:textId="77777777" w:rsidR="00826B6B" w:rsidRPr="00DD47DF" w:rsidRDefault="00EA2DBD" w:rsidP="00E2570C">
            <w:pPr>
              <w:pStyle w:val="Tabulka"/>
              <w:jc w:val="left"/>
              <w:rPr>
                <w:rFonts w:cs="Calibri"/>
              </w:rPr>
            </w:pPr>
            <w:r w:rsidRPr="00DD47DF">
              <w:rPr>
                <w:rFonts w:cs="Calibri"/>
              </w:rPr>
              <w:t>Počet podniků p</w:t>
            </w:r>
            <w:r w:rsidR="00E15FFB">
              <w:rPr>
                <w:rFonts w:cs="Calibri"/>
              </w:rPr>
              <w:t>obírajících jinou finanční podporu</w:t>
            </w:r>
            <w:r w:rsidRPr="00DD47DF">
              <w:rPr>
                <w:rFonts w:cs="Calibri"/>
              </w:rPr>
              <w:t xml:space="preserve"> než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264B0DFE" w14:textId="77777777" w:rsidR="00826B6B" w:rsidRPr="00DD47DF" w:rsidRDefault="00826B6B" w:rsidP="00E2570C">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28648FEF" w14:textId="77777777" w:rsidR="00826B6B" w:rsidRPr="00DD47DF" w:rsidRDefault="002B3F69" w:rsidP="00E2570C">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34F28251" w14:textId="77777777" w:rsidR="00826B6B" w:rsidRPr="00DD47DF" w:rsidRDefault="00826B6B" w:rsidP="00E2570C">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567E23A2" w14:textId="2221F991" w:rsidR="00826B6B" w:rsidRPr="00DD47DF" w:rsidRDefault="002F2D15" w:rsidP="007963A4">
            <w:pPr>
              <w:pStyle w:val="Tabulka"/>
              <w:rPr>
                <w:rFonts w:cs="Calibri"/>
              </w:rPr>
            </w:pPr>
            <w:r>
              <w:rPr>
                <w:rFonts w:cs="Calibri"/>
              </w:rPr>
              <w:t>146</w:t>
            </w:r>
          </w:p>
        </w:tc>
        <w:tc>
          <w:tcPr>
            <w:tcW w:w="0" w:type="auto"/>
            <w:tcBorders>
              <w:top w:val="single" w:sz="4" w:space="0" w:color="000000"/>
              <w:left w:val="single" w:sz="4" w:space="0" w:color="000000"/>
              <w:bottom w:val="single" w:sz="4" w:space="0" w:color="000000"/>
              <w:right w:val="single" w:sz="4" w:space="0" w:color="000000"/>
            </w:tcBorders>
            <w:vAlign w:val="center"/>
          </w:tcPr>
          <w:p w14:paraId="4029DF42" w14:textId="77777777" w:rsidR="00826B6B" w:rsidRPr="00DD47DF" w:rsidRDefault="00392BCA" w:rsidP="00826B6B">
            <w:pPr>
              <w:pStyle w:val="Tabulka"/>
              <w:rPr>
                <w:rFonts w:cs="Calibri"/>
              </w:rPr>
            </w:pPr>
            <w:r>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2166C5EA" w14:textId="77777777" w:rsidR="00826B6B" w:rsidRPr="00DD47DF" w:rsidRDefault="00392BCA" w:rsidP="00826B6B">
            <w:pPr>
              <w:pStyle w:val="Tabulka"/>
              <w:rPr>
                <w:rFonts w:cs="Calibri"/>
              </w:rPr>
            </w:pPr>
            <w:r>
              <w:rPr>
                <w:rFonts w:cs="Calibri"/>
              </w:rPr>
              <w:t>průběžně</w:t>
            </w:r>
          </w:p>
        </w:tc>
      </w:tr>
      <w:tr w:rsidR="00826B6B" w:rsidRPr="00DD47DF" w14:paraId="309A14E7" w14:textId="77777777" w:rsidTr="00081C9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277F5E8A" w14:textId="54A9102B" w:rsidR="00826B6B" w:rsidRPr="00DD47DF" w:rsidRDefault="00C75691" w:rsidP="00E2570C">
            <w:pPr>
              <w:pStyle w:val="Tabulka"/>
              <w:rPr>
                <w:rFonts w:cs="Calibri"/>
              </w:rPr>
            </w:pPr>
            <w:r w:rsidRPr="00DD47DF">
              <w:rPr>
                <w:rFonts w:cs="Calibri"/>
              </w:rPr>
              <w:t xml:space="preserve">CO </w:t>
            </w:r>
            <w:r w:rsidR="00081C97" w:rsidRPr="00DD47DF">
              <w:rPr>
                <w:rFonts w:cs="Calibri"/>
              </w:rPr>
              <w:t>0</w:t>
            </w:r>
            <w:r w:rsidR="00826B6B" w:rsidRPr="00DD47DF">
              <w:rPr>
                <w:rFonts w:cs="Calibri"/>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5C5A958B" w14:textId="77777777" w:rsidR="00826B6B" w:rsidRPr="00DD47DF" w:rsidRDefault="00892451" w:rsidP="00E2570C">
            <w:pPr>
              <w:pStyle w:val="Tabulka"/>
              <w:jc w:val="left"/>
              <w:rPr>
                <w:rFonts w:cs="Calibri"/>
              </w:rPr>
            </w:pPr>
            <w:r w:rsidRPr="00892451">
              <w:rPr>
                <w:rFonts w:cs="Calibri"/>
              </w:rPr>
              <w:t>Soukromé investice odpovídající veřejné podpoře podniků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1A27E54B" w14:textId="77777777" w:rsidR="00826B6B" w:rsidRPr="00DD47DF" w:rsidRDefault="00826B6B" w:rsidP="00E2570C">
            <w:pPr>
              <w:pStyle w:val="Tabulka"/>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07942206" w14:textId="77777777" w:rsidR="00826B6B" w:rsidRPr="00DD47DF" w:rsidRDefault="002B3F69" w:rsidP="00E2570C">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58EA075C" w14:textId="77777777" w:rsidR="00826B6B" w:rsidRPr="00DD47DF" w:rsidRDefault="00826B6B" w:rsidP="00E2570C">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252943B1" w14:textId="193E9B54" w:rsidR="00826B6B" w:rsidRPr="00DD47DF" w:rsidRDefault="002F2D15" w:rsidP="002F2D15">
            <w:pPr>
              <w:pStyle w:val="Tabulka"/>
              <w:rPr>
                <w:rFonts w:cs="Calibri"/>
              </w:rPr>
            </w:pPr>
            <w:r>
              <w:rPr>
                <w:rFonts w:cs="Calibri"/>
              </w:rPr>
              <w:t>1</w:t>
            </w:r>
            <w:r w:rsidR="00E8002C" w:rsidRPr="00DD47DF">
              <w:rPr>
                <w:rFonts w:cs="Calibri"/>
              </w:rPr>
              <w:t> </w:t>
            </w:r>
            <w:r>
              <w:rPr>
                <w:rFonts w:cs="Calibri"/>
              </w:rPr>
              <w:t>96</w:t>
            </w:r>
            <w:r w:rsidRPr="00DD47DF">
              <w:rPr>
                <w:rFonts w:cs="Calibri"/>
              </w:rPr>
              <w:t xml:space="preserve">0 </w:t>
            </w:r>
            <w:r w:rsidR="00E8002C" w:rsidRPr="00DD47DF">
              <w:rPr>
                <w:rFonts w:cs="Calibri"/>
              </w:rPr>
              <w:t>000</w:t>
            </w:r>
            <w:r w:rsidR="00F21878" w:rsidRPr="00DD47DF">
              <w:rPr>
                <w:rFonts w:cs="Calibri"/>
              </w:rPr>
              <w:t xml:space="preserve"> </w:t>
            </w:r>
            <w:r w:rsidR="00E8002C" w:rsidRPr="00DD47DF">
              <w:rPr>
                <w:rFonts w:cs="Calibri"/>
              </w:rPr>
              <w:t>0</w:t>
            </w:r>
            <w:r w:rsidR="00F21878" w:rsidRPr="00DD47DF">
              <w:rPr>
                <w:rFonts w:cs="Calibri"/>
              </w:rPr>
              <w:t>00</w:t>
            </w:r>
          </w:p>
        </w:tc>
        <w:tc>
          <w:tcPr>
            <w:tcW w:w="0" w:type="auto"/>
            <w:tcBorders>
              <w:top w:val="single" w:sz="4" w:space="0" w:color="000000"/>
              <w:left w:val="single" w:sz="4" w:space="0" w:color="000000"/>
              <w:bottom w:val="single" w:sz="4" w:space="0" w:color="000000"/>
              <w:right w:val="single" w:sz="4" w:space="0" w:color="000000"/>
            </w:tcBorders>
            <w:vAlign w:val="center"/>
          </w:tcPr>
          <w:p w14:paraId="3B16AD06" w14:textId="77777777" w:rsidR="00826B6B" w:rsidRPr="00DD47DF" w:rsidRDefault="00800418" w:rsidP="00826B6B">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6FF8A335" w14:textId="77777777" w:rsidR="00826B6B" w:rsidRPr="00DD47DF" w:rsidRDefault="00934A97" w:rsidP="00826B6B">
            <w:pPr>
              <w:pStyle w:val="Tabulka"/>
              <w:rPr>
                <w:rFonts w:cs="Calibri"/>
              </w:rPr>
            </w:pPr>
            <w:r>
              <w:rPr>
                <w:rFonts w:cs="Calibri"/>
              </w:rPr>
              <w:t>průběžně</w:t>
            </w:r>
          </w:p>
        </w:tc>
      </w:tr>
      <w:tr w:rsidR="00826B6B" w:rsidRPr="00DD47DF" w14:paraId="38452025" w14:textId="77777777" w:rsidTr="00081C9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2220A415" w14:textId="74DE30D0" w:rsidR="00826B6B" w:rsidRPr="00DD47DF" w:rsidRDefault="00C75691" w:rsidP="00E2570C">
            <w:pPr>
              <w:pStyle w:val="Tabulka"/>
              <w:rPr>
                <w:rFonts w:cs="Calibri"/>
              </w:rPr>
            </w:pPr>
            <w:r w:rsidRPr="00DD47DF">
              <w:rPr>
                <w:rFonts w:cs="Calibri"/>
              </w:rPr>
              <w:t xml:space="preserve">CO </w:t>
            </w:r>
            <w:r w:rsidR="00081C97" w:rsidRPr="00DD47DF">
              <w:rPr>
                <w:rFonts w:cs="Calibri"/>
              </w:rPr>
              <w:t>0</w:t>
            </w:r>
            <w:r w:rsidR="00826B6B" w:rsidRPr="00DD47DF">
              <w:rPr>
                <w:rFonts w:cs="Calibri"/>
              </w:rPr>
              <w:t>7</w:t>
            </w:r>
          </w:p>
        </w:tc>
        <w:tc>
          <w:tcPr>
            <w:tcW w:w="0" w:type="auto"/>
            <w:tcBorders>
              <w:top w:val="single" w:sz="4" w:space="0" w:color="000000"/>
              <w:left w:val="single" w:sz="4" w:space="0" w:color="000000"/>
              <w:bottom w:val="single" w:sz="4" w:space="0" w:color="000000"/>
              <w:right w:val="single" w:sz="4" w:space="0" w:color="000000"/>
            </w:tcBorders>
            <w:vAlign w:val="center"/>
          </w:tcPr>
          <w:p w14:paraId="59437C04" w14:textId="77777777" w:rsidR="00826B6B" w:rsidRPr="00DD47DF" w:rsidRDefault="006D0B6D" w:rsidP="00E2570C">
            <w:pPr>
              <w:pStyle w:val="Tabulka"/>
              <w:jc w:val="left"/>
              <w:rPr>
                <w:rFonts w:cs="Calibri"/>
              </w:rPr>
            </w:pPr>
            <w:r w:rsidRPr="006D0B6D">
              <w:rPr>
                <w:rFonts w:cs="Calibri"/>
              </w:rPr>
              <w:t>Soukromé investice odpovídající veřejné podpoře podniků (jiné než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0CF97CBF" w14:textId="77777777" w:rsidR="00826B6B" w:rsidRPr="00DD47DF" w:rsidRDefault="00826B6B" w:rsidP="00E2570C">
            <w:pPr>
              <w:pStyle w:val="Tabulka"/>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5A337650" w14:textId="77777777" w:rsidR="00826B6B" w:rsidRPr="00DD47DF" w:rsidRDefault="002B3F69" w:rsidP="00E2570C">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034ECD7B" w14:textId="77777777" w:rsidR="00826B6B" w:rsidRPr="00DD47DF" w:rsidRDefault="00826B6B" w:rsidP="00E2570C">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012DA92D" w14:textId="11D9A462" w:rsidR="00826B6B" w:rsidRPr="00DD47DF" w:rsidRDefault="005520E5" w:rsidP="007963A4">
            <w:pPr>
              <w:pStyle w:val="Tabulka"/>
              <w:rPr>
                <w:rFonts w:cs="Calibri"/>
              </w:rPr>
            </w:pPr>
            <w:r>
              <w:rPr>
                <w:rFonts w:cs="Calibri"/>
              </w:rPr>
              <w:t>83</w:t>
            </w:r>
            <w:r w:rsidRPr="00DD47DF">
              <w:rPr>
                <w:rFonts w:cs="Calibri"/>
              </w:rPr>
              <w:t> </w:t>
            </w:r>
            <w:r w:rsidR="00757F45" w:rsidRPr="00DD47DF">
              <w:rPr>
                <w:rFonts w:cs="Calibri"/>
              </w:rPr>
              <w:t>000 000</w:t>
            </w:r>
          </w:p>
        </w:tc>
        <w:tc>
          <w:tcPr>
            <w:tcW w:w="0" w:type="auto"/>
            <w:tcBorders>
              <w:top w:val="single" w:sz="4" w:space="0" w:color="000000"/>
              <w:left w:val="single" w:sz="4" w:space="0" w:color="000000"/>
              <w:bottom w:val="single" w:sz="4" w:space="0" w:color="000000"/>
              <w:right w:val="single" w:sz="4" w:space="0" w:color="000000"/>
            </w:tcBorders>
            <w:vAlign w:val="center"/>
          </w:tcPr>
          <w:p w14:paraId="4FBFCD62" w14:textId="77777777" w:rsidR="00826B6B" w:rsidRPr="00DD47DF" w:rsidRDefault="00392BCA" w:rsidP="00826B6B">
            <w:pPr>
              <w:pStyle w:val="Tabulka"/>
              <w:rPr>
                <w:rFonts w:cs="Calibri"/>
              </w:rPr>
            </w:pPr>
            <w:r>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0C37159F" w14:textId="77777777" w:rsidR="00826B6B" w:rsidRPr="00DD47DF" w:rsidRDefault="00392BCA" w:rsidP="00826B6B">
            <w:pPr>
              <w:pStyle w:val="Tabulka"/>
              <w:rPr>
                <w:rFonts w:cs="Calibri"/>
              </w:rPr>
            </w:pPr>
            <w:r>
              <w:rPr>
                <w:rFonts w:cs="Calibri"/>
              </w:rPr>
              <w:t>průběžně</w:t>
            </w:r>
          </w:p>
        </w:tc>
      </w:tr>
      <w:tr w:rsidR="00C75F8E" w:rsidRPr="00DD47DF" w14:paraId="167EF897" w14:textId="77777777" w:rsidTr="00081C9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10E4B2FC" w14:textId="0FB7E740" w:rsidR="00C75F8E" w:rsidRPr="00C75F8E" w:rsidRDefault="00C75F8E" w:rsidP="00C75F8E">
            <w:pPr>
              <w:pStyle w:val="Tabulka"/>
              <w:rPr>
                <w:rFonts w:cs="Calibri"/>
              </w:rPr>
            </w:pPr>
            <w:r w:rsidRPr="00C75F8E">
              <w:rPr>
                <w:rFonts w:cs="Calibri"/>
              </w:rPr>
              <w:t>CO 30</w:t>
            </w:r>
          </w:p>
        </w:tc>
        <w:tc>
          <w:tcPr>
            <w:tcW w:w="0" w:type="auto"/>
            <w:tcBorders>
              <w:top w:val="single" w:sz="4" w:space="0" w:color="000000"/>
              <w:left w:val="single" w:sz="4" w:space="0" w:color="000000"/>
              <w:bottom w:val="single" w:sz="4" w:space="0" w:color="000000"/>
              <w:right w:val="single" w:sz="4" w:space="0" w:color="000000"/>
            </w:tcBorders>
            <w:vAlign w:val="center"/>
          </w:tcPr>
          <w:p w14:paraId="30B31A81" w14:textId="1D2F38A7" w:rsidR="00C75F8E" w:rsidRPr="00C75F8E" w:rsidRDefault="00C75F8E" w:rsidP="00C75F8E">
            <w:pPr>
              <w:pStyle w:val="Tabulka"/>
              <w:jc w:val="left"/>
              <w:rPr>
                <w:rFonts w:cs="Calibri"/>
              </w:rPr>
            </w:pPr>
            <w:r w:rsidRPr="00C75F8E">
              <w:rPr>
                <w:rFonts w:cs="Calibri"/>
              </w:rPr>
              <w:t>Nová kapacita zařízení pro výrobu energie z obnovitelných zdrojů</w:t>
            </w:r>
          </w:p>
        </w:tc>
        <w:tc>
          <w:tcPr>
            <w:tcW w:w="0" w:type="auto"/>
            <w:tcBorders>
              <w:top w:val="single" w:sz="4" w:space="0" w:color="000000"/>
              <w:left w:val="single" w:sz="4" w:space="0" w:color="000000"/>
              <w:bottom w:val="single" w:sz="4" w:space="0" w:color="000000"/>
              <w:right w:val="single" w:sz="4" w:space="0" w:color="000000"/>
            </w:tcBorders>
            <w:vAlign w:val="center"/>
          </w:tcPr>
          <w:p w14:paraId="620CA01A" w14:textId="379D0D33" w:rsidR="00C75F8E" w:rsidRPr="00C75F8E" w:rsidRDefault="00C75F8E" w:rsidP="00C75F8E">
            <w:pPr>
              <w:pStyle w:val="Tabulka"/>
              <w:rPr>
                <w:rFonts w:cs="Calibri"/>
              </w:rPr>
            </w:pPr>
            <w:r w:rsidRPr="00C75F8E">
              <w:rPr>
                <w:rFonts w:cs="Calibri"/>
              </w:rPr>
              <w:t>MW</w:t>
            </w:r>
          </w:p>
        </w:tc>
        <w:tc>
          <w:tcPr>
            <w:tcW w:w="0" w:type="auto"/>
            <w:tcBorders>
              <w:top w:val="single" w:sz="4" w:space="0" w:color="000000"/>
              <w:left w:val="single" w:sz="4" w:space="0" w:color="000000"/>
              <w:bottom w:val="single" w:sz="4" w:space="0" w:color="000000"/>
              <w:right w:val="single" w:sz="4" w:space="0" w:color="000000"/>
            </w:tcBorders>
            <w:vAlign w:val="center"/>
          </w:tcPr>
          <w:p w14:paraId="1966EC1A" w14:textId="1F102FA7" w:rsidR="00C75F8E" w:rsidRPr="00C75F8E" w:rsidRDefault="00C75F8E" w:rsidP="00C75F8E">
            <w:pPr>
              <w:pStyle w:val="Tabulka"/>
              <w:rPr>
                <w:rFonts w:cs="Calibri"/>
              </w:rPr>
            </w:pPr>
            <w:r w:rsidRPr="00C75F8E">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1C7C4F14" w14:textId="4B00D024" w:rsidR="00C75F8E" w:rsidRPr="00C75F8E" w:rsidRDefault="00C75F8E" w:rsidP="00C75F8E">
            <w:pPr>
              <w:pStyle w:val="Tabulka"/>
              <w:rPr>
                <w:rFonts w:cs="Calibri"/>
              </w:rPr>
            </w:pPr>
            <w:r w:rsidRPr="00C75F8E">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67F27D7E" w14:textId="793DD0F0" w:rsidR="00C75F8E" w:rsidRPr="00C75F8E" w:rsidRDefault="00C75F8E" w:rsidP="00C75F8E">
            <w:pPr>
              <w:pStyle w:val="Tabulka"/>
              <w:rPr>
                <w:rFonts w:cs="Calibri"/>
              </w:rPr>
            </w:pPr>
            <w:r w:rsidRPr="00C75F8E">
              <w:rPr>
                <w:rFonts w:cs="Calibri"/>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5CC532B3" w14:textId="53857B8D" w:rsidR="00C75F8E" w:rsidRPr="00C75F8E" w:rsidRDefault="00C75F8E" w:rsidP="00C75F8E">
            <w:pPr>
              <w:pStyle w:val="Tabulka"/>
              <w:rPr>
                <w:rFonts w:cs="Calibri"/>
              </w:rPr>
            </w:pPr>
            <w:r w:rsidRPr="00C75F8E">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1436D466" w14:textId="42E1AD82" w:rsidR="00C75F8E" w:rsidRPr="00C75F8E" w:rsidRDefault="00C75F8E" w:rsidP="00C75F8E">
            <w:pPr>
              <w:pStyle w:val="Tabulka"/>
              <w:rPr>
                <w:rFonts w:cs="Calibri"/>
              </w:rPr>
            </w:pPr>
            <w:r w:rsidRPr="00C75F8E">
              <w:rPr>
                <w:rFonts w:cs="Calibri"/>
              </w:rPr>
              <w:t>průběžně</w:t>
            </w:r>
          </w:p>
        </w:tc>
      </w:tr>
      <w:tr w:rsidR="00C75F8E" w:rsidRPr="00DD47DF" w14:paraId="3796C865" w14:textId="77777777" w:rsidTr="00081C9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00E85D3A" w14:textId="66CA3389" w:rsidR="00C75F8E" w:rsidRPr="00C75F8E" w:rsidRDefault="00C75F8E" w:rsidP="00C75F8E">
            <w:pPr>
              <w:pStyle w:val="Tabulka"/>
              <w:rPr>
                <w:rFonts w:cs="Calibri"/>
              </w:rPr>
            </w:pPr>
            <w:r w:rsidRPr="00C75F8E">
              <w:rPr>
                <w:rFonts w:cs="Calibri"/>
              </w:rPr>
              <w:t>CO 34</w:t>
            </w:r>
          </w:p>
        </w:tc>
        <w:tc>
          <w:tcPr>
            <w:tcW w:w="0" w:type="auto"/>
            <w:tcBorders>
              <w:top w:val="single" w:sz="4" w:space="0" w:color="000000"/>
              <w:left w:val="single" w:sz="4" w:space="0" w:color="000000"/>
              <w:bottom w:val="single" w:sz="4" w:space="0" w:color="000000"/>
              <w:right w:val="single" w:sz="4" w:space="0" w:color="000000"/>
            </w:tcBorders>
            <w:vAlign w:val="center"/>
          </w:tcPr>
          <w:p w14:paraId="6D4D3A35" w14:textId="7627EA67" w:rsidR="00C75F8E" w:rsidRPr="00C75F8E" w:rsidRDefault="00C75F8E" w:rsidP="00C75F8E">
            <w:pPr>
              <w:pStyle w:val="Tabulka"/>
              <w:jc w:val="left"/>
              <w:rPr>
                <w:rFonts w:cs="Calibri"/>
              </w:rPr>
            </w:pPr>
            <w:r w:rsidRPr="00C75F8E">
              <w:rPr>
                <w:rFonts w:cs="Calibri"/>
              </w:rPr>
              <w:t>Odhadované roční snížení emisí skleníkových plynů</w:t>
            </w:r>
          </w:p>
        </w:tc>
        <w:tc>
          <w:tcPr>
            <w:tcW w:w="0" w:type="auto"/>
            <w:tcBorders>
              <w:top w:val="single" w:sz="4" w:space="0" w:color="000000"/>
              <w:left w:val="single" w:sz="4" w:space="0" w:color="000000"/>
              <w:bottom w:val="single" w:sz="4" w:space="0" w:color="000000"/>
              <w:right w:val="single" w:sz="4" w:space="0" w:color="000000"/>
            </w:tcBorders>
            <w:vAlign w:val="center"/>
          </w:tcPr>
          <w:p w14:paraId="46BEEFAD" w14:textId="7458773D" w:rsidR="00C75F8E" w:rsidRPr="00C75F8E" w:rsidRDefault="00C75F8E" w:rsidP="00C75F8E">
            <w:pPr>
              <w:pStyle w:val="Tabulka"/>
              <w:rPr>
                <w:rFonts w:cs="Calibri"/>
              </w:rPr>
            </w:pPr>
            <w:r w:rsidRPr="00C75F8E">
              <w:rPr>
                <w:rFonts w:cs="Calibri"/>
              </w:rPr>
              <w:t>Tuny ekvivalentu CO2/rok</w:t>
            </w:r>
          </w:p>
        </w:tc>
        <w:tc>
          <w:tcPr>
            <w:tcW w:w="0" w:type="auto"/>
            <w:tcBorders>
              <w:top w:val="single" w:sz="4" w:space="0" w:color="000000"/>
              <w:left w:val="single" w:sz="4" w:space="0" w:color="000000"/>
              <w:bottom w:val="single" w:sz="4" w:space="0" w:color="000000"/>
              <w:right w:val="single" w:sz="4" w:space="0" w:color="000000"/>
            </w:tcBorders>
            <w:vAlign w:val="center"/>
          </w:tcPr>
          <w:p w14:paraId="25FD9EEF" w14:textId="00E348E3" w:rsidR="00C75F8E" w:rsidRPr="00C75F8E" w:rsidRDefault="00C75F8E" w:rsidP="00C75F8E">
            <w:pPr>
              <w:pStyle w:val="Tabulka"/>
              <w:rPr>
                <w:rFonts w:cs="Calibri"/>
              </w:rPr>
            </w:pPr>
            <w:r w:rsidRPr="00C75F8E">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0DC6FD8F" w14:textId="2A6FEB55" w:rsidR="00C75F8E" w:rsidRPr="00C75F8E" w:rsidRDefault="00C75F8E" w:rsidP="00C75F8E">
            <w:pPr>
              <w:pStyle w:val="Tabulka"/>
              <w:rPr>
                <w:rFonts w:cs="Calibri"/>
              </w:rPr>
            </w:pPr>
            <w:r w:rsidRPr="00C75F8E">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25FA1C69" w14:textId="22A3DE92" w:rsidR="00C75F8E" w:rsidRPr="00C75F8E" w:rsidRDefault="00C75F8E" w:rsidP="00C75F8E">
            <w:pPr>
              <w:pStyle w:val="Tabulka"/>
              <w:rPr>
                <w:rFonts w:cs="Calibri"/>
              </w:rPr>
            </w:pPr>
            <w:r w:rsidRPr="00C75F8E">
              <w:rPr>
                <w:rFonts w:cs="Calibri"/>
              </w:rPr>
              <w:t>100 000</w:t>
            </w:r>
          </w:p>
        </w:tc>
        <w:tc>
          <w:tcPr>
            <w:tcW w:w="0" w:type="auto"/>
            <w:tcBorders>
              <w:top w:val="single" w:sz="4" w:space="0" w:color="000000"/>
              <w:left w:val="single" w:sz="4" w:space="0" w:color="000000"/>
              <w:bottom w:val="single" w:sz="4" w:space="0" w:color="000000"/>
              <w:right w:val="single" w:sz="4" w:space="0" w:color="000000"/>
            </w:tcBorders>
            <w:vAlign w:val="center"/>
          </w:tcPr>
          <w:p w14:paraId="0720AA3C" w14:textId="039E38FC" w:rsidR="00C75F8E" w:rsidRPr="00C75F8E" w:rsidRDefault="00C75F8E" w:rsidP="00C75F8E">
            <w:pPr>
              <w:pStyle w:val="Tabulka"/>
              <w:rPr>
                <w:rFonts w:cs="Calibri"/>
              </w:rPr>
            </w:pPr>
            <w:r w:rsidRPr="00C75F8E">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0B2F7B38" w14:textId="67FCBE46" w:rsidR="00C75F8E" w:rsidRPr="00C75F8E" w:rsidRDefault="00C75F8E" w:rsidP="00C75F8E">
            <w:pPr>
              <w:pStyle w:val="Tabulka"/>
              <w:rPr>
                <w:rFonts w:cs="Calibri"/>
              </w:rPr>
            </w:pPr>
            <w:r w:rsidRPr="00C75F8E">
              <w:rPr>
                <w:rFonts w:cs="Calibri"/>
              </w:rPr>
              <w:t>průběžně</w:t>
            </w:r>
          </w:p>
        </w:tc>
      </w:tr>
    </w:tbl>
    <w:p w14:paraId="4EEF0BCC" w14:textId="77777777" w:rsidR="00AA66A2" w:rsidRPr="00DD47DF" w:rsidRDefault="00AA66A2" w:rsidP="00DA3512">
      <w:pPr>
        <w:pStyle w:val="kapitola2A0"/>
        <w:numPr>
          <w:ilvl w:val="2"/>
          <w:numId w:val="66"/>
        </w:numPr>
      </w:pPr>
      <w:bookmarkStart w:id="70" w:name="_Toc520445283"/>
      <w:r w:rsidRPr="00DD47DF">
        <w:t>INVESTIČNÍ PRIORITA 3 prioritní osy 3: Rozvoj a zavádění inteligentních distribučních soustav, jež fungují na hladině nízkého a středního napětí</w:t>
      </w:r>
      <w:bookmarkEnd w:id="70"/>
    </w:p>
    <w:p w14:paraId="43A48194" w14:textId="77777777" w:rsidR="003B05CA" w:rsidRPr="00DD47DF" w:rsidRDefault="008C7D72" w:rsidP="00DA3512">
      <w:pPr>
        <w:pStyle w:val="kapitola2A0"/>
        <w:numPr>
          <w:ilvl w:val="2"/>
          <w:numId w:val="66"/>
        </w:numPr>
      </w:pPr>
      <w:bookmarkStart w:id="71" w:name="_Toc520445284"/>
      <w:r w:rsidRPr="00DD47DF">
        <w:t>Specifické cíle odpovídající investiční prioritě a očekávané výsledky</w:t>
      </w:r>
      <w:bookmarkEnd w:id="71"/>
    </w:p>
    <w:p w14:paraId="190BD6E5" w14:textId="77777777" w:rsidR="009D1769" w:rsidRPr="00DD47DF" w:rsidRDefault="00EC0F1D" w:rsidP="009D1769">
      <w:pPr>
        <w:pStyle w:val="Modrnadpis"/>
      </w:pPr>
      <w:r w:rsidRPr="00DD47DF">
        <w:t xml:space="preserve">SPECIFICKÝ CÍL </w:t>
      </w:r>
      <w:r w:rsidR="00C71E6F" w:rsidRPr="00DD47DF">
        <w:t>3.</w:t>
      </w:r>
      <w:r w:rsidRPr="00DD47DF">
        <w:t>3:</w:t>
      </w:r>
      <w:r w:rsidR="00BA4E72" w:rsidRPr="00DD47DF">
        <w:t xml:space="preserve"> </w:t>
      </w:r>
      <w:r w:rsidR="009D1769" w:rsidRPr="00DD47DF">
        <w:t>Zvýšit aplikaci prvků inteligentních sítí v distribučních soustavách</w:t>
      </w:r>
    </w:p>
    <w:p w14:paraId="763FD7A5" w14:textId="77777777" w:rsidR="00F82915" w:rsidRPr="00DD47DF" w:rsidRDefault="00C461F7" w:rsidP="00F24686">
      <w:pPr>
        <w:pStyle w:val="Standardntext"/>
      </w:pPr>
      <w:r w:rsidRPr="00DD47DF">
        <w:t>S postupně se zvyšující integrací decentralizovaných zdrojů energie vzrůstá potřeba vhodně doplňovat stávající distribuční soustavy technologiemi, které umožňují zajistit spolehlivý provoz. Prvky inteligentních sítí přispějí k aktivnímu řízení distribučních soustav a ke zvýšení spolehlivosti a kvality dodávek energie.</w:t>
      </w:r>
      <w:r w:rsidR="004B2602" w:rsidRPr="00DD47DF">
        <w:t xml:space="preserve"> </w:t>
      </w:r>
      <w:r w:rsidR="00F82915" w:rsidRPr="00DD47DF">
        <w:t xml:space="preserve">Hlavním cílem je posílení konkurenceschopnosti a udržitelnosti české ekonomiky </w:t>
      </w:r>
      <w:r w:rsidR="00DA544B" w:rsidRPr="00DD47DF">
        <w:t>pomocí</w:t>
      </w:r>
      <w:r w:rsidR="00F82915" w:rsidRPr="00DD47DF">
        <w:t xml:space="preserve"> rozvoje a modernizace energetické infrastruktury na hladině nízkého a </w:t>
      </w:r>
      <w:r w:rsidRPr="00DD47DF">
        <w:t>středního</w:t>
      </w:r>
      <w:r w:rsidR="00F82915" w:rsidRPr="00DD47DF">
        <w:t xml:space="preserve"> napětí.</w:t>
      </w:r>
    </w:p>
    <w:p w14:paraId="0A40C796" w14:textId="77777777" w:rsidR="004F2013" w:rsidRPr="00DD47DF" w:rsidRDefault="003508A9" w:rsidP="004F2013">
      <w:pPr>
        <w:pStyle w:val="Modrnadpis"/>
      </w:pPr>
      <w:r w:rsidRPr="00DD47DF">
        <w:t>Výsledky, kterých chce ČR dosáhnout s podporou Unie</w:t>
      </w:r>
    </w:p>
    <w:p w14:paraId="723575AB" w14:textId="77777777" w:rsidR="004F2013" w:rsidRPr="00DD47DF" w:rsidRDefault="00997A9B" w:rsidP="00D927A2">
      <w:pPr>
        <w:pStyle w:val="Standardntext"/>
        <w:numPr>
          <w:ilvl w:val="0"/>
          <w:numId w:val="43"/>
        </w:numPr>
      </w:pPr>
      <w:r w:rsidRPr="00DD47DF">
        <w:t>Z</w:t>
      </w:r>
      <w:r w:rsidR="003412FC" w:rsidRPr="00DD47DF">
        <w:t xml:space="preserve">lepšení </w:t>
      </w:r>
      <w:r w:rsidR="003A58B4" w:rsidRPr="00DD47DF">
        <w:t xml:space="preserve">kvality, </w:t>
      </w:r>
      <w:r w:rsidR="004B2602" w:rsidRPr="00DD47DF">
        <w:t xml:space="preserve">spolehlivosti, </w:t>
      </w:r>
      <w:r w:rsidR="003A58B4" w:rsidRPr="00DD47DF">
        <w:t>bezpečnosti a udržitelnosti dodávek elektřiny konečným zákazníkům</w:t>
      </w:r>
      <w:r w:rsidR="003412FC" w:rsidRPr="00DD47DF">
        <w:t xml:space="preserve"> ve všech regionech České republiky</w:t>
      </w:r>
      <w:r w:rsidR="00E314F2" w:rsidRPr="00DD47DF">
        <w:t xml:space="preserve"> </w:t>
      </w:r>
      <w:r w:rsidR="00FA0C8C" w:rsidRPr="00DD47DF">
        <w:t>kromě</w:t>
      </w:r>
      <w:r w:rsidR="00E314F2" w:rsidRPr="00DD47DF">
        <w:t xml:space="preserve"> </w:t>
      </w:r>
      <w:r w:rsidR="00FA0C8C" w:rsidRPr="00DD47DF">
        <w:t xml:space="preserve">hl. m. </w:t>
      </w:r>
      <w:r w:rsidR="00E314F2" w:rsidRPr="00DD47DF">
        <w:t>Prah</w:t>
      </w:r>
      <w:r w:rsidR="00FA0C8C" w:rsidRPr="00DD47DF">
        <w:t>y</w:t>
      </w:r>
      <w:r w:rsidR="004B2602" w:rsidRPr="00DD47DF">
        <w:t xml:space="preserve"> a přiblížení na úroveň obvyklou v zemích EU-15</w:t>
      </w:r>
      <w:r w:rsidR="002471EA" w:rsidRPr="00DD47DF">
        <w:t>.</w:t>
      </w:r>
    </w:p>
    <w:p w14:paraId="07F01976" w14:textId="77777777" w:rsidR="003412FC" w:rsidRPr="00DD47DF" w:rsidRDefault="002471EA" w:rsidP="00D927A2">
      <w:pPr>
        <w:pStyle w:val="Standardntext"/>
        <w:numPr>
          <w:ilvl w:val="0"/>
          <w:numId w:val="43"/>
        </w:numPr>
      </w:pPr>
      <w:r w:rsidRPr="00DD47DF">
        <w:t>Minimalizace úzkých profilů a integrace decentralizovaných zdrojů energie.</w:t>
      </w:r>
      <w:r w:rsidR="003412FC" w:rsidRPr="00DD47DF">
        <w:t xml:space="preserve"> S tím souvisí z</w:t>
      </w:r>
      <w:r w:rsidRPr="00DD47DF">
        <w:t>avedení inteligentních technologických prvků, které budou řešit nepříznivé jevy nepredikovatelných výrobních zdrojů</w:t>
      </w:r>
      <w:r w:rsidR="003412FC" w:rsidRPr="00DD47DF">
        <w:t>, zejména OZE</w:t>
      </w:r>
      <w:r w:rsidRPr="00DD47DF">
        <w:t>.</w:t>
      </w:r>
      <w:r w:rsidR="003412FC" w:rsidRPr="00DD47DF">
        <w:t xml:space="preserve"> </w:t>
      </w:r>
      <w:r w:rsidR="00C1180B" w:rsidRPr="00DD47DF">
        <w:t xml:space="preserve">V návaznosti na to dojde k usnadnění připojení nových OZE do sítě, přičemž důsledkem rozvoje OZE bude pozitivní dopad na </w:t>
      </w:r>
      <w:r w:rsidR="00E314F2" w:rsidRPr="00DD47DF">
        <w:t>ochranu klimatu a energetickou bezpečnost</w:t>
      </w:r>
      <w:r w:rsidR="00C1180B" w:rsidRPr="00DD47DF">
        <w:t>.</w:t>
      </w:r>
    </w:p>
    <w:p w14:paraId="210D6C8E" w14:textId="77777777" w:rsidR="004B2602" w:rsidRPr="00DD47DF" w:rsidRDefault="004B2602" w:rsidP="00D927A2">
      <w:pPr>
        <w:pStyle w:val="Standardntext"/>
        <w:numPr>
          <w:ilvl w:val="0"/>
          <w:numId w:val="43"/>
        </w:numPr>
      </w:pPr>
      <w:r w:rsidRPr="00DD47DF">
        <w:t>Snížení ztrát a zvýšení účinnosti distribuce elektrické energie.</w:t>
      </w:r>
    </w:p>
    <w:p w14:paraId="1B0A4F44" w14:textId="77777777" w:rsidR="004B2602" w:rsidRPr="00DD47DF" w:rsidRDefault="004B2602" w:rsidP="00D927A2">
      <w:pPr>
        <w:pStyle w:val="Standardntext"/>
        <w:numPr>
          <w:ilvl w:val="0"/>
          <w:numId w:val="43"/>
        </w:numPr>
      </w:pPr>
      <w:r w:rsidRPr="00DD47DF">
        <w:lastRenderedPageBreak/>
        <w:t xml:space="preserve">Zvýšení volné připojovací kapacity a dodatečného výkonu pro integraci decentralizovaných zdrojů energie </w:t>
      </w:r>
      <w:r w:rsidR="00C461F7" w:rsidRPr="00DD47DF">
        <w:t>na hladině nízkého (do 1000 V) a středního napětí (1000 V až 50 kV)</w:t>
      </w:r>
      <w:r w:rsidRPr="00DD47DF">
        <w:t>.</w:t>
      </w:r>
    </w:p>
    <w:p w14:paraId="758FA8B6" w14:textId="77777777" w:rsidR="002471EA" w:rsidRPr="00DD47DF" w:rsidRDefault="002471EA" w:rsidP="00D927A2">
      <w:pPr>
        <w:pStyle w:val="Standardntext"/>
        <w:numPr>
          <w:ilvl w:val="0"/>
          <w:numId w:val="43"/>
        </w:numPr>
      </w:pPr>
      <w:r w:rsidRPr="00DD47DF">
        <w:t>Impuls pro rozvoj průmyslu, podnikání a celé ekonomiky díky rozvoji a modernizaci energetické infrastruktury.</w:t>
      </w:r>
    </w:p>
    <w:p w14:paraId="2348331F" w14:textId="77777777" w:rsidR="00002031" w:rsidRPr="00DD47DF" w:rsidRDefault="00002031" w:rsidP="00DA544B">
      <w:pPr>
        <w:pStyle w:val="Titulek"/>
        <w:keepNext/>
        <w:keepLines/>
        <w:rPr>
          <w:rFonts w:cs="Calibri"/>
        </w:rPr>
      </w:pPr>
      <w:r w:rsidRPr="00DD47DF">
        <w:rPr>
          <w:rFonts w:cs="Calibri"/>
        </w:rPr>
        <w:t xml:space="preserve">Tabulka </w:t>
      </w:r>
      <w:r w:rsidR="002756E7" w:rsidRPr="00DD47DF">
        <w:rPr>
          <w:rFonts w:cs="Calibri"/>
        </w:rPr>
        <w:fldChar w:fldCharType="begin"/>
      </w:r>
      <w:r w:rsidR="00F7325F"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0" w:type="auto"/>
        <w:tblLayout w:type="fixed"/>
        <w:tblCellMar>
          <w:left w:w="57" w:type="dxa"/>
          <w:right w:w="57" w:type="dxa"/>
        </w:tblCellMar>
        <w:tblLook w:val="01E0" w:firstRow="1" w:lastRow="1" w:firstColumn="1" w:lastColumn="1" w:noHBand="0" w:noVBand="0"/>
      </w:tblPr>
      <w:tblGrid>
        <w:gridCol w:w="908"/>
        <w:gridCol w:w="811"/>
        <w:gridCol w:w="987"/>
        <w:gridCol w:w="1201"/>
        <w:gridCol w:w="970"/>
        <w:gridCol w:w="992"/>
        <w:gridCol w:w="992"/>
        <w:gridCol w:w="1445"/>
        <w:gridCol w:w="1020"/>
      </w:tblGrid>
      <w:tr w:rsidR="00CF739D" w:rsidRPr="00DD47DF" w14:paraId="64B00D08" w14:textId="77777777">
        <w:trPr>
          <w:trHeight w:hRule="exact" w:val="1385"/>
        </w:trPr>
        <w:tc>
          <w:tcPr>
            <w:tcW w:w="908"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23DE0069" w14:textId="77777777" w:rsidR="00CF739D" w:rsidRPr="00DD47DF" w:rsidRDefault="00CF739D" w:rsidP="00DA544B">
            <w:pPr>
              <w:pStyle w:val="Tabulka"/>
              <w:keepNext/>
              <w:keepLines/>
              <w:rPr>
                <w:rFonts w:cs="Calibri"/>
                <w:b/>
                <w:bCs/>
              </w:rPr>
            </w:pPr>
            <w:r w:rsidRPr="00DD47DF">
              <w:rPr>
                <w:rFonts w:cs="Calibri"/>
                <w:b/>
                <w:bCs/>
              </w:rPr>
              <w:t>ID</w:t>
            </w:r>
          </w:p>
        </w:tc>
        <w:tc>
          <w:tcPr>
            <w:tcW w:w="811"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16C26EF3" w14:textId="77777777" w:rsidR="00CF739D" w:rsidRPr="00DD47DF" w:rsidRDefault="00CF739D" w:rsidP="00DA544B">
            <w:pPr>
              <w:pStyle w:val="Tabulka"/>
              <w:keepNext/>
              <w:keepLines/>
              <w:rPr>
                <w:rFonts w:cs="Calibri"/>
                <w:b/>
                <w:bCs/>
              </w:rPr>
            </w:pPr>
            <w:r w:rsidRPr="00DD47DF">
              <w:rPr>
                <w:rFonts w:cs="Calibri"/>
                <w:b/>
                <w:bCs/>
              </w:rPr>
              <w:t>Ukazatel</w:t>
            </w:r>
          </w:p>
        </w:tc>
        <w:tc>
          <w:tcPr>
            <w:tcW w:w="987"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3C271999" w14:textId="77777777" w:rsidR="00CF739D" w:rsidRPr="00DD47DF" w:rsidRDefault="00CF739D" w:rsidP="00DA544B">
            <w:pPr>
              <w:pStyle w:val="Tabulka"/>
              <w:keepNext/>
              <w:keepLines/>
              <w:rPr>
                <w:rFonts w:cs="Calibri"/>
                <w:b/>
                <w:bCs/>
              </w:rPr>
            </w:pPr>
            <w:r w:rsidRPr="00DD47DF">
              <w:rPr>
                <w:rFonts w:cs="Calibri"/>
                <w:b/>
                <w:bCs/>
              </w:rPr>
              <w:t>Měrná</w:t>
            </w:r>
          </w:p>
          <w:p w14:paraId="430DDAB3" w14:textId="77777777" w:rsidR="00CF739D" w:rsidRPr="00DD47DF" w:rsidRDefault="00CF739D" w:rsidP="00DA544B">
            <w:pPr>
              <w:pStyle w:val="Tabulka"/>
              <w:keepNext/>
              <w:keepLines/>
              <w:rPr>
                <w:rFonts w:cs="Calibri"/>
                <w:b/>
                <w:bCs/>
              </w:rPr>
            </w:pPr>
            <w:r w:rsidRPr="00DD47DF">
              <w:rPr>
                <w:rFonts w:cs="Calibri"/>
                <w:b/>
                <w:bCs/>
              </w:rPr>
              <w:t>jednotka</w:t>
            </w:r>
          </w:p>
        </w:tc>
        <w:tc>
          <w:tcPr>
            <w:tcW w:w="1201"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058BCFE2" w14:textId="77777777" w:rsidR="00CF739D" w:rsidRPr="00DD47DF" w:rsidRDefault="00CF739D" w:rsidP="00DA544B">
            <w:pPr>
              <w:pStyle w:val="Tabulka"/>
              <w:keepNext/>
              <w:keepLines/>
              <w:rPr>
                <w:rFonts w:cs="Calibri"/>
                <w:b/>
                <w:bCs/>
              </w:rPr>
            </w:pPr>
            <w:r w:rsidRPr="00DD47DF">
              <w:rPr>
                <w:rFonts w:cs="Calibri"/>
                <w:b/>
                <w:bCs/>
              </w:rPr>
              <w:t>Kategorie regionů (je-li relevantní)</w:t>
            </w:r>
          </w:p>
        </w:tc>
        <w:tc>
          <w:tcPr>
            <w:tcW w:w="97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FB2D62F" w14:textId="77777777" w:rsidR="00CF739D" w:rsidRPr="00DD47DF" w:rsidRDefault="004B0854" w:rsidP="00DA544B">
            <w:pPr>
              <w:pStyle w:val="Tabulka"/>
              <w:keepNext/>
              <w:keepLines/>
              <w:rPr>
                <w:rFonts w:cs="Calibri"/>
                <w:b/>
                <w:bCs/>
              </w:rPr>
            </w:pPr>
            <w:r w:rsidRPr="00DD47DF">
              <w:rPr>
                <w:rFonts w:cs="Calibri"/>
                <w:b/>
                <w:bCs/>
              </w:rPr>
              <w:t>Výchozí hodnota</w:t>
            </w:r>
          </w:p>
        </w:tc>
        <w:tc>
          <w:tcPr>
            <w:tcW w:w="99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ACFB50B" w14:textId="77777777" w:rsidR="00CF739D" w:rsidRPr="00DD47DF" w:rsidRDefault="004B0854" w:rsidP="004B0854">
            <w:pPr>
              <w:pStyle w:val="Tabulka"/>
              <w:keepNext/>
              <w:keepLines/>
              <w:rPr>
                <w:rFonts w:cs="Calibri"/>
                <w:b/>
                <w:bCs/>
              </w:rPr>
            </w:pPr>
            <w:r w:rsidRPr="00DD47DF">
              <w:rPr>
                <w:rFonts w:cs="Calibri"/>
                <w:b/>
                <w:bCs/>
              </w:rPr>
              <w:t xml:space="preserve">Výchozí </w:t>
            </w:r>
            <w:r w:rsidR="00CF739D" w:rsidRPr="00DD47DF">
              <w:rPr>
                <w:rFonts w:cs="Calibri"/>
                <w:b/>
                <w:bCs/>
              </w:rPr>
              <w:t>rok</w:t>
            </w:r>
          </w:p>
        </w:tc>
        <w:tc>
          <w:tcPr>
            <w:tcW w:w="99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3D615D62" w14:textId="77777777" w:rsidR="00CF739D" w:rsidRPr="00DD47DF" w:rsidRDefault="00CF739D" w:rsidP="00DA544B">
            <w:pPr>
              <w:pStyle w:val="Tabulka"/>
              <w:keepNext/>
              <w:keepLines/>
              <w:rPr>
                <w:rFonts w:cs="Calibri"/>
                <w:b/>
                <w:bCs/>
              </w:rPr>
            </w:pPr>
            <w:r w:rsidRPr="00DD47DF">
              <w:rPr>
                <w:rFonts w:cs="Calibri"/>
                <w:b/>
                <w:bCs/>
              </w:rPr>
              <w:t>Cílová hodnota (2023)</w:t>
            </w:r>
          </w:p>
        </w:tc>
        <w:tc>
          <w:tcPr>
            <w:tcW w:w="1445"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B485224" w14:textId="77777777" w:rsidR="00CF739D" w:rsidRPr="00DD47DF" w:rsidRDefault="00CF739D" w:rsidP="00DA544B">
            <w:pPr>
              <w:pStyle w:val="Tabulka"/>
              <w:keepNext/>
              <w:keepLines/>
              <w:rPr>
                <w:rFonts w:cs="Calibri"/>
                <w:b/>
                <w:bCs/>
              </w:rPr>
            </w:pPr>
            <w:r w:rsidRPr="00DD47DF">
              <w:rPr>
                <w:rFonts w:cs="Calibri"/>
                <w:b/>
                <w:bCs/>
              </w:rPr>
              <w:t>Zdroj údajů</w:t>
            </w:r>
          </w:p>
        </w:tc>
        <w:tc>
          <w:tcPr>
            <w:tcW w:w="102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00840B3E" w14:textId="77777777" w:rsidR="00CF739D" w:rsidRPr="00DD47DF" w:rsidRDefault="00CF739D" w:rsidP="00DA544B">
            <w:pPr>
              <w:pStyle w:val="Tabulka"/>
              <w:keepNext/>
              <w:keepLines/>
              <w:rPr>
                <w:rFonts w:cs="Calibri"/>
                <w:b/>
                <w:bCs/>
              </w:rPr>
            </w:pPr>
            <w:r w:rsidRPr="00DD47DF">
              <w:rPr>
                <w:rFonts w:cs="Calibri"/>
                <w:b/>
                <w:bCs/>
              </w:rPr>
              <w:t>Četnost podávání zpráv</w:t>
            </w:r>
          </w:p>
        </w:tc>
      </w:tr>
      <w:tr w:rsidR="00ED13F4" w:rsidRPr="00DD47DF" w14:paraId="42708DF6" w14:textId="77777777">
        <w:trPr>
          <w:trHeight w:hRule="exact" w:val="980"/>
        </w:trPr>
        <w:tc>
          <w:tcPr>
            <w:tcW w:w="908" w:type="dxa"/>
            <w:tcBorders>
              <w:top w:val="single" w:sz="4" w:space="0" w:color="000000"/>
              <w:left w:val="single" w:sz="4" w:space="0" w:color="000000"/>
              <w:bottom w:val="single" w:sz="4" w:space="0" w:color="000000"/>
              <w:right w:val="single" w:sz="4" w:space="0" w:color="000000"/>
            </w:tcBorders>
            <w:vAlign w:val="center"/>
          </w:tcPr>
          <w:p w14:paraId="50F0DEFF" w14:textId="77777777" w:rsidR="00ED13F4" w:rsidRPr="00DD47DF" w:rsidRDefault="004E0F70" w:rsidP="003A6FFF">
            <w:pPr>
              <w:pStyle w:val="Tabulka"/>
              <w:rPr>
                <w:rFonts w:cs="Calibri"/>
              </w:rPr>
            </w:pPr>
            <w:r w:rsidRPr="00DD47DF">
              <w:rPr>
                <w:rFonts w:cs="Calibri"/>
              </w:rPr>
              <w:t>33700</w:t>
            </w:r>
          </w:p>
        </w:tc>
        <w:tc>
          <w:tcPr>
            <w:tcW w:w="811" w:type="dxa"/>
            <w:tcBorders>
              <w:top w:val="single" w:sz="4" w:space="0" w:color="000000"/>
              <w:left w:val="single" w:sz="4" w:space="0" w:color="000000"/>
              <w:bottom w:val="single" w:sz="4" w:space="0" w:color="000000"/>
              <w:right w:val="single" w:sz="4" w:space="0" w:color="000000"/>
            </w:tcBorders>
            <w:vAlign w:val="center"/>
          </w:tcPr>
          <w:p w14:paraId="43A7C1F1" w14:textId="77777777" w:rsidR="00ED13F4" w:rsidRPr="00DD47DF" w:rsidRDefault="008F1E9F" w:rsidP="003A6FFF">
            <w:pPr>
              <w:pStyle w:val="Tabulka"/>
              <w:jc w:val="left"/>
              <w:rPr>
                <w:rFonts w:cs="Calibri"/>
                <w:szCs w:val="20"/>
              </w:rPr>
            </w:pPr>
            <w:r w:rsidRPr="00DD47DF">
              <w:rPr>
                <w:rFonts w:cs="Calibri"/>
                <w:szCs w:val="20"/>
              </w:rPr>
              <w:t>SAIFI</w:t>
            </w:r>
            <w:r w:rsidR="0068667C" w:rsidRPr="00DD47DF">
              <w:rPr>
                <w:rStyle w:val="Znakapoznpodarou"/>
                <w:rFonts w:cs="Calibri"/>
                <w:szCs w:val="20"/>
              </w:rPr>
              <w:footnoteReference w:id="64"/>
            </w:r>
          </w:p>
        </w:tc>
        <w:tc>
          <w:tcPr>
            <w:tcW w:w="987" w:type="dxa"/>
            <w:tcBorders>
              <w:top w:val="single" w:sz="4" w:space="0" w:color="000000"/>
              <w:left w:val="single" w:sz="4" w:space="0" w:color="000000"/>
              <w:bottom w:val="single" w:sz="4" w:space="0" w:color="000000"/>
              <w:right w:val="single" w:sz="4" w:space="0" w:color="000000"/>
            </w:tcBorders>
            <w:vAlign w:val="center"/>
          </w:tcPr>
          <w:p w14:paraId="15C80435" w14:textId="77777777" w:rsidR="00ED13F4" w:rsidRPr="00DD47DF" w:rsidRDefault="00DA544B" w:rsidP="003A6FFF">
            <w:pPr>
              <w:pStyle w:val="Tabulka"/>
              <w:rPr>
                <w:rFonts w:cs="Calibri"/>
              </w:rPr>
            </w:pPr>
            <w:r w:rsidRPr="00DD47DF">
              <w:rPr>
                <w:rFonts w:cs="Calibri"/>
              </w:rPr>
              <w:t>počet přerušení</w:t>
            </w:r>
            <w:r w:rsidR="00D57106" w:rsidRPr="00DD47DF">
              <w:rPr>
                <w:rFonts w:cs="Calibri"/>
              </w:rPr>
              <w:t xml:space="preserve"> </w:t>
            </w:r>
            <w:r w:rsidRPr="00DD47DF">
              <w:rPr>
                <w:rFonts w:cs="Calibri"/>
              </w:rPr>
              <w:t>/</w:t>
            </w:r>
            <w:r w:rsidR="00D57106" w:rsidRPr="00DD47DF">
              <w:rPr>
                <w:rFonts w:cs="Calibri"/>
              </w:rPr>
              <w:t xml:space="preserve"> </w:t>
            </w:r>
            <w:r w:rsidRPr="00DD47DF">
              <w:rPr>
                <w:rFonts w:cs="Calibri"/>
              </w:rPr>
              <w:t>rok</w:t>
            </w:r>
          </w:p>
        </w:tc>
        <w:tc>
          <w:tcPr>
            <w:tcW w:w="1201" w:type="dxa"/>
            <w:tcBorders>
              <w:top w:val="single" w:sz="4" w:space="0" w:color="000000"/>
              <w:left w:val="single" w:sz="4" w:space="0" w:color="000000"/>
              <w:bottom w:val="single" w:sz="4" w:space="0" w:color="000000"/>
              <w:right w:val="single" w:sz="4" w:space="0" w:color="000000"/>
            </w:tcBorders>
            <w:vAlign w:val="center"/>
          </w:tcPr>
          <w:p w14:paraId="35562DEF" w14:textId="77777777" w:rsidR="00ED13F4" w:rsidRPr="00DD47DF" w:rsidRDefault="00FD0399" w:rsidP="003A6FFF">
            <w:pPr>
              <w:pStyle w:val="Tabulka"/>
              <w:rPr>
                <w:rFonts w:cs="Calibri"/>
              </w:rPr>
            </w:pPr>
            <w:r w:rsidRPr="00DD47DF">
              <w:rPr>
                <w:rFonts w:cs="Calibri"/>
              </w:rPr>
              <w:t>Méně rozvinuté regiony</w:t>
            </w:r>
          </w:p>
        </w:tc>
        <w:tc>
          <w:tcPr>
            <w:tcW w:w="970" w:type="dxa"/>
            <w:tcBorders>
              <w:top w:val="single" w:sz="4" w:space="0" w:color="000000"/>
              <w:left w:val="single" w:sz="4" w:space="0" w:color="000000"/>
              <w:bottom w:val="single" w:sz="4" w:space="0" w:color="000000"/>
              <w:right w:val="single" w:sz="4" w:space="0" w:color="000000"/>
            </w:tcBorders>
            <w:vAlign w:val="center"/>
          </w:tcPr>
          <w:p w14:paraId="462D0B02" w14:textId="77777777" w:rsidR="00ED13F4" w:rsidRPr="00DD47DF" w:rsidRDefault="007A1429" w:rsidP="003A6FFF">
            <w:pPr>
              <w:pStyle w:val="Tabulka"/>
              <w:rPr>
                <w:rFonts w:cs="Calibri"/>
              </w:rPr>
            </w:pPr>
            <w:r w:rsidRPr="00DD47DF">
              <w:rPr>
                <w:rFonts w:cs="Calibri"/>
              </w:rPr>
              <w:t>2,755</w:t>
            </w:r>
            <w:r w:rsidR="00DC16B0" w:rsidRPr="00DD47DF">
              <w:rPr>
                <w:rStyle w:val="Znakapoznpodarou"/>
                <w:rFonts w:cs="Calibri"/>
              </w:rPr>
              <w:footnoteReference w:id="65"/>
            </w:r>
          </w:p>
        </w:tc>
        <w:tc>
          <w:tcPr>
            <w:tcW w:w="992" w:type="dxa"/>
            <w:tcBorders>
              <w:top w:val="single" w:sz="4" w:space="0" w:color="000000"/>
              <w:left w:val="single" w:sz="4" w:space="0" w:color="000000"/>
              <w:bottom w:val="single" w:sz="4" w:space="0" w:color="000000"/>
              <w:right w:val="single" w:sz="4" w:space="0" w:color="000000"/>
            </w:tcBorders>
            <w:vAlign w:val="center"/>
          </w:tcPr>
          <w:p w14:paraId="490C15C1" w14:textId="77777777" w:rsidR="00ED13F4" w:rsidRPr="00DD47DF" w:rsidRDefault="007A1429" w:rsidP="003A6FFF">
            <w:pPr>
              <w:pStyle w:val="Tabulka"/>
              <w:rPr>
                <w:rFonts w:cs="Calibri"/>
              </w:rPr>
            </w:pPr>
            <w:r w:rsidRPr="00DD47DF">
              <w:rPr>
                <w:rFonts w:cs="Calibri"/>
              </w:rPr>
              <w:t>2013</w:t>
            </w:r>
          </w:p>
        </w:tc>
        <w:tc>
          <w:tcPr>
            <w:tcW w:w="992" w:type="dxa"/>
            <w:tcBorders>
              <w:top w:val="single" w:sz="4" w:space="0" w:color="000000"/>
              <w:left w:val="single" w:sz="4" w:space="0" w:color="000000"/>
              <w:bottom w:val="single" w:sz="4" w:space="0" w:color="000000"/>
              <w:right w:val="single" w:sz="4" w:space="0" w:color="000000"/>
            </w:tcBorders>
            <w:vAlign w:val="center"/>
          </w:tcPr>
          <w:p w14:paraId="6FAB78A2" w14:textId="77777777" w:rsidR="00ED13F4" w:rsidRPr="00DD47DF" w:rsidRDefault="007A1429" w:rsidP="003A6FFF">
            <w:pPr>
              <w:pStyle w:val="Tabulka"/>
              <w:rPr>
                <w:rFonts w:cs="Calibri"/>
              </w:rPr>
            </w:pPr>
            <w:r w:rsidRPr="00DD47DF">
              <w:rPr>
                <w:rFonts w:cs="Calibri"/>
              </w:rPr>
              <w:t>1,925</w:t>
            </w:r>
            <w:r w:rsidR="00DC16B0" w:rsidRPr="00DD47DF">
              <w:rPr>
                <w:rStyle w:val="Znakapoznpodarou"/>
                <w:rFonts w:cs="Calibri"/>
              </w:rPr>
              <w:footnoteReference w:id="66"/>
            </w:r>
          </w:p>
        </w:tc>
        <w:tc>
          <w:tcPr>
            <w:tcW w:w="1445" w:type="dxa"/>
            <w:tcBorders>
              <w:top w:val="single" w:sz="4" w:space="0" w:color="000000"/>
              <w:left w:val="single" w:sz="4" w:space="0" w:color="000000"/>
              <w:bottom w:val="single" w:sz="4" w:space="0" w:color="000000"/>
              <w:right w:val="single" w:sz="4" w:space="0" w:color="000000"/>
            </w:tcBorders>
            <w:vAlign w:val="center"/>
          </w:tcPr>
          <w:p w14:paraId="203FD1CB" w14:textId="77777777" w:rsidR="00ED13F4" w:rsidRPr="00DD47DF" w:rsidRDefault="00942A5B" w:rsidP="00120476">
            <w:pPr>
              <w:pStyle w:val="Tabulka"/>
              <w:rPr>
                <w:rFonts w:cs="Calibri"/>
              </w:rPr>
            </w:pPr>
            <w:r w:rsidRPr="00DD47DF">
              <w:rPr>
                <w:rFonts w:cs="Calibri"/>
              </w:rPr>
              <w:t>Provozovatelé distribučních soustav</w:t>
            </w:r>
          </w:p>
        </w:tc>
        <w:tc>
          <w:tcPr>
            <w:tcW w:w="1020" w:type="dxa"/>
            <w:tcBorders>
              <w:top w:val="single" w:sz="4" w:space="0" w:color="000000"/>
              <w:left w:val="single" w:sz="4" w:space="0" w:color="000000"/>
              <w:bottom w:val="single" w:sz="4" w:space="0" w:color="000000"/>
              <w:right w:val="single" w:sz="4" w:space="0" w:color="000000"/>
            </w:tcBorders>
            <w:vAlign w:val="center"/>
          </w:tcPr>
          <w:p w14:paraId="4B6024CC" w14:textId="77777777" w:rsidR="00ED13F4" w:rsidRPr="00DD47DF" w:rsidRDefault="00274100" w:rsidP="003A6FFF">
            <w:pPr>
              <w:pStyle w:val="Tabulka"/>
              <w:rPr>
                <w:rFonts w:cs="Calibri"/>
              </w:rPr>
            </w:pPr>
            <w:r w:rsidRPr="00DD47DF">
              <w:rPr>
                <w:rFonts w:cs="Calibri"/>
              </w:rPr>
              <w:t>r</w:t>
            </w:r>
            <w:r w:rsidR="005F2E5E" w:rsidRPr="00DD47DF">
              <w:rPr>
                <w:rFonts w:cs="Calibri"/>
              </w:rPr>
              <w:t>očně</w:t>
            </w:r>
          </w:p>
        </w:tc>
      </w:tr>
      <w:tr w:rsidR="008F1E9F" w:rsidRPr="00DD47DF" w14:paraId="360572A7" w14:textId="77777777">
        <w:trPr>
          <w:trHeight w:hRule="exact" w:val="1137"/>
        </w:trPr>
        <w:tc>
          <w:tcPr>
            <w:tcW w:w="908" w:type="dxa"/>
            <w:tcBorders>
              <w:top w:val="single" w:sz="4" w:space="0" w:color="000000"/>
              <w:left w:val="single" w:sz="4" w:space="0" w:color="000000"/>
              <w:bottom w:val="single" w:sz="4" w:space="0" w:color="000000"/>
              <w:right w:val="single" w:sz="4" w:space="0" w:color="000000"/>
            </w:tcBorders>
            <w:vAlign w:val="center"/>
          </w:tcPr>
          <w:p w14:paraId="7302E6C3" w14:textId="77777777" w:rsidR="008F1E9F" w:rsidRPr="00DD47DF" w:rsidRDefault="004E0F70" w:rsidP="003A6FFF">
            <w:pPr>
              <w:pStyle w:val="Tabulka"/>
              <w:rPr>
                <w:rFonts w:cs="Calibri"/>
              </w:rPr>
            </w:pPr>
            <w:r w:rsidRPr="00DD47DF">
              <w:rPr>
                <w:rFonts w:cs="Calibri"/>
              </w:rPr>
              <w:t>33600</w:t>
            </w:r>
          </w:p>
        </w:tc>
        <w:tc>
          <w:tcPr>
            <w:tcW w:w="811" w:type="dxa"/>
            <w:tcBorders>
              <w:top w:val="single" w:sz="4" w:space="0" w:color="000000"/>
              <w:left w:val="single" w:sz="4" w:space="0" w:color="000000"/>
              <w:bottom w:val="single" w:sz="4" w:space="0" w:color="000000"/>
              <w:right w:val="single" w:sz="4" w:space="0" w:color="000000"/>
            </w:tcBorders>
            <w:vAlign w:val="center"/>
          </w:tcPr>
          <w:p w14:paraId="515BC338" w14:textId="77777777" w:rsidR="008F1E9F" w:rsidRPr="00DD47DF" w:rsidRDefault="008F1E9F" w:rsidP="003A6FFF">
            <w:pPr>
              <w:pStyle w:val="Tabulka"/>
              <w:jc w:val="left"/>
              <w:rPr>
                <w:rFonts w:cs="Calibri"/>
                <w:szCs w:val="20"/>
              </w:rPr>
            </w:pPr>
            <w:r w:rsidRPr="00DD47DF">
              <w:rPr>
                <w:rFonts w:cs="Calibri"/>
                <w:szCs w:val="20"/>
              </w:rPr>
              <w:t>SAIDI</w:t>
            </w:r>
            <w:r w:rsidR="0068667C" w:rsidRPr="00DD47DF">
              <w:rPr>
                <w:rStyle w:val="Znakapoznpodarou"/>
                <w:rFonts w:cs="Calibri"/>
                <w:szCs w:val="20"/>
              </w:rPr>
              <w:footnoteReference w:id="67"/>
            </w:r>
          </w:p>
        </w:tc>
        <w:tc>
          <w:tcPr>
            <w:tcW w:w="987" w:type="dxa"/>
            <w:tcBorders>
              <w:top w:val="single" w:sz="4" w:space="0" w:color="000000"/>
              <w:left w:val="single" w:sz="4" w:space="0" w:color="000000"/>
              <w:bottom w:val="single" w:sz="4" w:space="0" w:color="000000"/>
              <w:right w:val="single" w:sz="4" w:space="0" w:color="000000"/>
            </w:tcBorders>
            <w:vAlign w:val="center"/>
          </w:tcPr>
          <w:p w14:paraId="485D2943" w14:textId="77777777" w:rsidR="008F1E9F" w:rsidRPr="00DD47DF" w:rsidRDefault="008F1E9F" w:rsidP="003A6FFF">
            <w:pPr>
              <w:pStyle w:val="Tabulka"/>
              <w:rPr>
                <w:rFonts w:cs="Calibri"/>
              </w:rPr>
            </w:pPr>
            <w:r w:rsidRPr="00DD47DF">
              <w:rPr>
                <w:rFonts w:cs="Calibri"/>
              </w:rPr>
              <w:t>délka přerušení v</w:t>
            </w:r>
            <w:r w:rsidR="00D57106" w:rsidRPr="00DD47DF">
              <w:rPr>
                <w:rFonts w:cs="Calibri"/>
              </w:rPr>
              <w:t> </w:t>
            </w:r>
            <w:r w:rsidRPr="00DD47DF">
              <w:rPr>
                <w:rFonts w:cs="Calibri"/>
              </w:rPr>
              <w:t>min</w:t>
            </w:r>
            <w:r w:rsidR="00D57106" w:rsidRPr="00DD47DF">
              <w:rPr>
                <w:rFonts w:cs="Calibri"/>
              </w:rPr>
              <w:t xml:space="preserve"> </w:t>
            </w:r>
            <w:r w:rsidRPr="00DD47DF">
              <w:rPr>
                <w:rFonts w:cs="Calibri"/>
              </w:rPr>
              <w:t>/</w:t>
            </w:r>
            <w:r w:rsidR="00D57106" w:rsidRPr="00DD47DF">
              <w:rPr>
                <w:rFonts w:cs="Calibri"/>
              </w:rPr>
              <w:t xml:space="preserve"> </w:t>
            </w:r>
            <w:r w:rsidRPr="00DD47DF">
              <w:rPr>
                <w:rFonts w:cs="Calibri"/>
              </w:rPr>
              <w:t>rok</w:t>
            </w:r>
          </w:p>
        </w:tc>
        <w:tc>
          <w:tcPr>
            <w:tcW w:w="1201" w:type="dxa"/>
            <w:tcBorders>
              <w:top w:val="single" w:sz="4" w:space="0" w:color="000000"/>
              <w:left w:val="single" w:sz="4" w:space="0" w:color="000000"/>
              <w:bottom w:val="single" w:sz="4" w:space="0" w:color="000000"/>
              <w:right w:val="single" w:sz="4" w:space="0" w:color="000000"/>
            </w:tcBorders>
            <w:vAlign w:val="center"/>
          </w:tcPr>
          <w:p w14:paraId="3904DB16" w14:textId="77777777" w:rsidR="008F1E9F" w:rsidRPr="00DD47DF" w:rsidRDefault="008F1E9F" w:rsidP="003A6FFF">
            <w:pPr>
              <w:pStyle w:val="Tabulka"/>
              <w:rPr>
                <w:rFonts w:cs="Calibri"/>
              </w:rPr>
            </w:pPr>
            <w:r w:rsidRPr="00DD47DF">
              <w:rPr>
                <w:rFonts w:cs="Calibri"/>
              </w:rPr>
              <w:t>Méně rozvinuté regiony</w:t>
            </w:r>
          </w:p>
        </w:tc>
        <w:tc>
          <w:tcPr>
            <w:tcW w:w="970" w:type="dxa"/>
            <w:tcBorders>
              <w:top w:val="single" w:sz="4" w:space="0" w:color="000000"/>
              <w:left w:val="single" w:sz="4" w:space="0" w:color="000000"/>
              <w:bottom w:val="single" w:sz="4" w:space="0" w:color="000000"/>
              <w:right w:val="single" w:sz="4" w:space="0" w:color="000000"/>
            </w:tcBorders>
            <w:vAlign w:val="center"/>
          </w:tcPr>
          <w:p w14:paraId="0A55BC7A" w14:textId="77777777" w:rsidR="008F1E9F" w:rsidRPr="00DD47DF" w:rsidRDefault="00157ABA" w:rsidP="003A6FFF">
            <w:pPr>
              <w:pStyle w:val="Tabulka"/>
              <w:rPr>
                <w:rFonts w:cs="Calibri"/>
              </w:rPr>
            </w:pPr>
            <w:r w:rsidRPr="00DD47DF">
              <w:rPr>
                <w:rFonts w:cs="Calibri"/>
              </w:rPr>
              <w:t>394,33</w:t>
            </w:r>
          </w:p>
        </w:tc>
        <w:tc>
          <w:tcPr>
            <w:tcW w:w="992" w:type="dxa"/>
            <w:tcBorders>
              <w:top w:val="single" w:sz="4" w:space="0" w:color="000000"/>
              <w:left w:val="single" w:sz="4" w:space="0" w:color="000000"/>
              <w:bottom w:val="single" w:sz="4" w:space="0" w:color="000000"/>
              <w:right w:val="single" w:sz="4" w:space="0" w:color="000000"/>
            </w:tcBorders>
            <w:vAlign w:val="center"/>
          </w:tcPr>
          <w:p w14:paraId="162C53DD" w14:textId="77777777" w:rsidR="008F1E9F" w:rsidRPr="00DD47DF" w:rsidRDefault="00157ABA" w:rsidP="003A6FFF">
            <w:pPr>
              <w:pStyle w:val="Tabulka"/>
              <w:rPr>
                <w:rFonts w:cs="Calibri"/>
              </w:rPr>
            </w:pPr>
            <w:r w:rsidRPr="00DD47DF">
              <w:rPr>
                <w:rFonts w:cs="Calibri"/>
              </w:rPr>
              <w:t>2013</w:t>
            </w:r>
          </w:p>
        </w:tc>
        <w:tc>
          <w:tcPr>
            <w:tcW w:w="992" w:type="dxa"/>
            <w:tcBorders>
              <w:top w:val="single" w:sz="4" w:space="0" w:color="000000"/>
              <w:left w:val="single" w:sz="4" w:space="0" w:color="000000"/>
              <w:bottom w:val="single" w:sz="4" w:space="0" w:color="000000"/>
              <w:right w:val="single" w:sz="4" w:space="0" w:color="000000"/>
            </w:tcBorders>
            <w:vAlign w:val="center"/>
          </w:tcPr>
          <w:p w14:paraId="3D99F9F6" w14:textId="77777777" w:rsidR="008F1E9F" w:rsidRPr="00DD47DF" w:rsidRDefault="00157ABA" w:rsidP="003A6FFF">
            <w:pPr>
              <w:pStyle w:val="Tabulka"/>
              <w:rPr>
                <w:rFonts w:cs="Calibri"/>
              </w:rPr>
            </w:pPr>
            <w:r w:rsidRPr="00DD47DF">
              <w:rPr>
                <w:rFonts w:cs="Calibri"/>
              </w:rPr>
              <w:t>230</w:t>
            </w:r>
          </w:p>
        </w:tc>
        <w:tc>
          <w:tcPr>
            <w:tcW w:w="1445" w:type="dxa"/>
            <w:tcBorders>
              <w:top w:val="single" w:sz="4" w:space="0" w:color="000000"/>
              <w:left w:val="single" w:sz="4" w:space="0" w:color="000000"/>
              <w:bottom w:val="single" w:sz="4" w:space="0" w:color="000000"/>
              <w:right w:val="single" w:sz="4" w:space="0" w:color="000000"/>
            </w:tcBorders>
            <w:vAlign w:val="center"/>
          </w:tcPr>
          <w:p w14:paraId="57172071" w14:textId="77777777" w:rsidR="008F1E9F" w:rsidRPr="00DD47DF" w:rsidRDefault="00942A5B" w:rsidP="00120476">
            <w:pPr>
              <w:pStyle w:val="Tabulka"/>
              <w:rPr>
                <w:rFonts w:cs="Calibri"/>
              </w:rPr>
            </w:pPr>
            <w:r w:rsidRPr="00DD47DF">
              <w:rPr>
                <w:rFonts w:cs="Calibri"/>
              </w:rPr>
              <w:t>Provozovatelé distribučních soustav</w:t>
            </w:r>
          </w:p>
        </w:tc>
        <w:tc>
          <w:tcPr>
            <w:tcW w:w="1020" w:type="dxa"/>
            <w:tcBorders>
              <w:top w:val="single" w:sz="4" w:space="0" w:color="000000"/>
              <w:left w:val="single" w:sz="4" w:space="0" w:color="000000"/>
              <w:bottom w:val="single" w:sz="4" w:space="0" w:color="000000"/>
              <w:right w:val="single" w:sz="4" w:space="0" w:color="000000"/>
            </w:tcBorders>
            <w:vAlign w:val="center"/>
          </w:tcPr>
          <w:p w14:paraId="2D44733B" w14:textId="77777777" w:rsidR="008F1E9F" w:rsidRPr="00DD47DF" w:rsidRDefault="00274100" w:rsidP="003A6FFF">
            <w:pPr>
              <w:pStyle w:val="Tabulka"/>
              <w:rPr>
                <w:rFonts w:cs="Calibri"/>
              </w:rPr>
            </w:pPr>
            <w:r w:rsidRPr="00DD47DF">
              <w:rPr>
                <w:rFonts w:cs="Calibri"/>
              </w:rPr>
              <w:t>r</w:t>
            </w:r>
            <w:r w:rsidR="005F2E5E" w:rsidRPr="00DD47DF">
              <w:rPr>
                <w:rFonts w:cs="Calibri"/>
              </w:rPr>
              <w:t>očně</w:t>
            </w:r>
          </w:p>
        </w:tc>
      </w:tr>
    </w:tbl>
    <w:p w14:paraId="0A0C50CE" w14:textId="77777777" w:rsidR="00EC2D25" w:rsidRPr="00DD47DF" w:rsidRDefault="00EC2D25" w:rsidP="00DA3512">
      <w:pPr>
        <w:pStyle w:val="kapitola2A0"/>
        <w:numPr>
          <w:ilvl w:val="2"/>
          <w:numId w:val="66"/>
        </w:numPr>
      </w:pPr>
      <w:bookmarkStart w:id="72" w:name="_Toc520445285"/>
      <w:r w:rsidRPr="00DD47DF">
        <w:t>Opatření, jež má být podpořeno v rámci investiční priority</w:t>
      </w:r>
      <w:bookmarkEnd w:id="72"/>
    </w:p>
    <w:p w14:paraId="1584A40A" w14:textId="77777777" w:rsidR="0058402E" w:rsidRPr="00DD47DF" w:rsidRDefault="00D479AF" w:rsidP="003A6FFF">
      <w:pPr>
        <w:pStyle w:val="Nadpis5"/>
        <w:numPr>
          <w:ilvl w:val="4"/>
          <w:numId w:val="22"/>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1C95C5C3" w14:textId="77777777" w:rsidR="0058402E" w:rsidRPr="00DD47DF" w:rsidRDefault="000A2EB4" w:rsidP="007D5585">
      <w:pPr>
        <w:pStyle w:val="Standardntext"/>
        <w:keepNext/>
        <w:keepLines/>
        <w:rPr>
          <w:b/>
        </w:rPr>
      </w:pPr>
      <w:r w:rsidRPr="00DD47DF">
        <w:rPr>
          <w:b/>
        </w:rPr>
        <w:t>Aktivity pro tento specifický cíl:</w:t>
      </w:r>
    </w:p>
    <w:p w14:paraId="38D0912C" w14:textId="77777777" w:rsidR="00F24686" w:rsidRPr="00DD47DF" w:rsidRDefault="00E314F2" w:rsidP="00D927A2">
      <w:pPr>
        <w:pStyle w:val="Standardntext"/>
        <w:numPr>
          <w:ilvl w:val="0"/>
          <w:numId w:val="39"/>
        </w:numPr>
      </w:pPr>
      <w:r w:rsidRPr="00DD47DF">
        <w:t>N</w:t>
      </w:r>
      <w:r w:rsidR="00F24686" w:rsidRPr="00DD47DF">
        <w:t xml:space="preserve">asazení </w:t>
      </w:r>
      <w:r w:rsidR="00DA544B" w:rsidRPr="00DD47DF">
        <w:t xml:space="preserve">automatizovaných </w:t>
      </w:r>
      <w:r w:rsidR="00F24686" w:rsidRPr="00DD47DF">
        <w:t>dálkově ovládaných prvků v distribučních soustavách,</w:t>
      </w:r>
    </w:p>
    <w:p w14:paraId="345E1BD4" w14:textId="77777777" w:rsidR="00F24686" w:rsidRPr="00DD47DF" w:rsidRDefault="00F24686" w:rsidP="00D927A2">
      <w:pPr>
        <w:pStyle w:val="Standardntext"/>
        <w:numPr>
          <w:ilvl w:val="0"/>
          <w:numId w:val="39"/>
        </w:numPr>
      </w:pPr>
      <w:r w:rsidRPr="00DD47DF">
        <w:t xml:space="preserve">nasazení technologických prvků řízení napětí </w:t>
      </w:r>
      <w:r w:rsidR="00DA544B" w:rsidRPr="00DD47DF">
        <w:t xml:space="preserve">a výběrové osazení měření kvality elektrické energie </w:t>
      </w:r>
      <w:r w:rsidRPr="00DD47DF">
        <w:t>v distribučních soustavách,</w:t>
      </w:r>
    </w:p>
    <w:p w14:paraId="195E5B80" w14:textId="77777777" w:rsidR="00F24686" w:rsidRPr="00DD47DF" w:rsidRDefault="00E314F2" w:rsidP="00D927A2">
      <w:pPr>
        <w:pStyle w:val="Standardntext"/>
        <w:numPr>
          <w:ilvl w:val="0"/>
          <w:numId w:val="39"/>
        </w:numPr>
      </w:pPr>
      <w:r w:rsidRPr="00DD47DF">
        <w:t xml:space="preserve">řešení </w:t>
      </w:r>
      <w:r w:rsidR="00DA544B" w:rsidRPr="00DD47DF">
        <w:t>lokální bilance řízením toků výkonu mezi odběrateli a provozovatelem distribuční sítě</w:t>
      </w:r>
      <w:r w:rsidRPr="00DD47DF">
        <w:t>.</w:t>
      </w:r>
    </w:p>
    <w:p w14:paraId="53E8FBEA" w14:textId="77777777" w:rsidR="00896EDF" w:rsidRPr="00DD47DF" w:rsidRDefault="00E314F2" w:rsidP="00E314F2">
      <w:pPr>
        <w:pStyle w:val="Standardntext"/>
      </w:pPr>
      <w:r w:rsidRPr="00DD47DF">
        <w:t>Typovým projektem v rámci tohoto specifického cíle je nasazení vyššího</w:t>
      </w:r>
      <w:r w:rsidR="00E7342F" w:rsidRPr="00DD47DF">
        <w:t xml:space="preserve"> počtu </w:t>
      </w:r>
      <w:r w:rsidR="00DA544B" w:rsidRPr="00DD47DF">
        <w:t xml:space="preserve">automatizovaných </w:t>
      </w:r>
      <w:r w:rsidR="00E7342F" w:rsidRPr="00DD47DF">
        <w:t>dálkově ovládaných prvků</w:t>
      </w:r>
      <w:r w:rsidRPr="00DD47DF">
        <w:t xml:space="preserve"> v distribuční soustavě na hladině </w:t>
      </w:r>
      <w:r w:rsidR="00F444C1" w:rsidRPr="00DD47DF">
        <w:t xml:space="preserve">středního </w:t>
      </w:r>
      <w:r w:rsidRPr="00DD47DF">
        <w:t xml:space="preserve">napětí na topologicky vhodně zvolená místa. </w:t>
      </w:r>
      <w:r w:rsidR="00DA544B" w:rsidRPr="00DD47DF">
        <w:t>Dálkově ovládané prvky zlepší spolehlivost dodávky ve smyslu počtu přeruše</w:t>
      </w:r>
      <w:r w:rsidR="00E43457" w:rsidRPr="00DD47DF">
        <w:t>ní a zkrácení doby nedodávky elektrické</w:t>
      </w:r>
      <w:r w:rsidR="00DA544B" w:rsidRPr="00DD47DF">
        <w:t xml:space="preserve"> energie, snížení počtu postižených zákazníků a snížení nákladů souvisejících s identifikací poruchy v postiženém úseku vedení. Mezi automatizované dálkově ovládané prvky patří vypínače s funkcionalitou </w:t>
      </w:r>
      <w:r w:rsidR="00DA544B" w:rsidRPr="00DD47DF">
        <w:lastRenderedPageBreak/>
        <w:t xml:space="preserve">opětovného zapnutí, reclosery, dálkově ovládané odpínače s indikací, indikátory poruchových proudů, apod. Určení topologicky vhodně zvoleného místa bude na základě předložené výpočtové studie vždy s výběrem výsledné technické varianty řešení dle parametrů SAIDI a </w:t>
      </w:r>
      <w:r w:rsidR="007E355B" w:rsidRPr="00DD47DF">
        <w:t>čisté současné hodnoty</w:t>
      </w:r>
      <w:r w:rsidR="00DA544B" w:rsidRPr="00DD47DF">
        <w:t>.</w:t>
      </w:r>
    </w:p>
    <w:p w14:paraId="2C15259D" w14:textId="77777777" w:rsidR="00E314F2" w:rsidRPr="00DD47DF" w:rsidRDefault="00942A5B" w:rsidP="00E314F2">
      <w:pPr>
        <w:pStyle w:val="Standardntext"/>
      </w:pPr>
      <w:r w:rsidRPr="00DD47DF">
        <w:t xml:space="preserve">Výstupem projektu bude nasazení dálkově </w:t>
      </w:r>
      <w:r w:rsidR="00E314F2" w:rsidRPr="00DD47DF">
        <w:t xml:space="preserve">ovládaných prvků v distribuční soustavě, které se promítají do výsledků ve formě snížení provozních nákladů </w:t>
      </w:r>
      <w:r w:rsidR="00E873A7" w:rsidRPr="00DD47DF">
        <w:t>provozovatele distribuční soustavy</w:t>
      </w:r>
      <w:r w:rsidR="00E314F2" w:rsidRPr="00DD47DF">
        <w:t xml:space="preserve"> spojené s </w:t>
      </w:r>
      <w:r w:rsidR="00E873A7" w:rsidRPr="00DD47DF">
        <w:t>obnovou a zajištěním dodávek elektrické energie</w:t>
      </w:r>
      <w:r w:rsidR="00E43457" w:rsidRPr="00DD47DF">
        <w:t>,</w:t>
      </w:r>
      <w:r w:rsidR="00E314F2" w:rsidRPr="00DD47DF">
        <w:t xml:space="preserve"> z</w:t>
      </w:r>
      <w:r w:rsidR="00E873A7" w:rsidRPr="00DD47DF">
        <w:t>výšení spolehlivosti dodávek elektrické energie</w:t>
      </w:r>
      <w:r w:rsidR="00E43457" w:rsidRPr="00DD47DF">
        <w:t xml:space="preserve"> a postupné přiblížení spolehlivosti dodávek na úroveň obvyklou v zemích EU-15.</w:t>
      </w:r>
    </w:p>
    <w:p w14:paraId="4250B733" w14:textId="77777777" w:rsidR="00E43457" w:rsidRPr="00DD47DF" w:rsidRDefault="00E43457" w:rsidP="00E43457">
      <w:pPr>
        <w:pStyle w:val="Standardntext"/>
      </w:pPr>
      <w:r w:rsidRPr="00DD47DF">
        <w:t>Dalším typovým projektem v rámci tohoto specifického cíle je nasazení technologických prvků řízení napětí v distribučních soustavách a výběrové osazení měření kvality na hladině nízkého</w:t>
      </w:r>
      <w:r w:rsidR="00007987" w:rsidRPr="00DD47DF">
        <w:t xml:space="preserve"> (nn)</w:t>
      </w:r>
      <w:r w:rsidRPr="00DD47DF">
        <w:t xml:space="preserve"> a středního </w:t>
      </w:r>
      <w:r w:rsidR="00007987" w:rsidRPr="00DD47DF">
        <w:t xml:space="preserve">(vn) </w:t>
      </w:r>
      <w:r w:rsidRPr="00DD47DF">
        <w:t xml:space="preserve">napětí. Tyto prvky umožní zvýšení kvality dodávané energie (především parametr napětí), umožní eliminaci nepříznivých jevů nepredikovatelných výrobních zdrojů na kvalitu napětí a připraví distribuční společnosti na další očekávanou integraci decentralizovaných zdrojů energie. </w:t>
      </w:r>
    </w:p>
    <w:p w14:paraId="2D90FE17" w14:textId="77777777" w:rsidR="00E43457" w:rsidRPr="00DD47DF" w:rsidRDefault="00E43457" w:rsidP="00E43457">
      <w:pPr>
        <w:pStyle w:val="Standardntext"/>
      </w:pPr>
      <w:r w:rsidRPr="00DD47DF">
        <w:t>Mezi technologické prvky řízení napětí patří linkové kondicionéry na nn úrovni, distribuční transformátory vn/nn s automatickou regulací odboček pod zátěží a opatření na straně provozovatele distribuční sítě v oblasti regulace jalového výkonu výroben (úpravy dispečerských řídicích systémů, úpravy a integrace SW algoritmů pro řízení napětí v jednotlivých oblastech 110 kV/vn, prostředky dálkové komunikace a doplnění měření). Mezi technologické prvky měření kvality na vn/nn úrovni patří výběrové osazení univerzálních monitorů, integrovaných datových koncentrátorů umožňujících měření parametrů kvality, prostředků dálkové komunikace, úpravu SW systémů pro vyhodnocování kvality el. energie).</w:t>
      </w:r>
    </w:p>
    <w:p w14:paraId="2E7074AD" w14:textId="77777777" w:rsidR="00E43457" w:rsidRPr="00DD47DF" w:rsidRDefault="00942A5B" w:rsidP="00E43457">
      <w:pPr>
        <w:pStyle w:val="Standardntext"/>
      </w:pPr>
      <w:r w:rsidRPr="00DD47DF">
        <w:t xml:space="preserve">Výstupem projektu bude nasazení prvků řízení napětí v distribučních soustavách a výběrové osazení </w:t>
      </w:r>
      <w:r w:rsidR="00E43457" w:rsidRPr="00DD47DF">
        <w:t>měření kvality na vn/nn úrovni, které se promítají do výsledků ve formě snížení investičních nákladů provozovatele distribuční soustavy spojené s nápra</w:t>
      </w:r>
      <w:r w:rsidR="00007987" w:rsidRPr="00DD47DF">
        <w:t>vným řešením kvality dodávek elektrické</w:t>
      </w:r>
      <w:r w:rsidR="00E43457" w:rsidRPr="00DD47DF">
        <w:t xml:space="preserve"> energie, snížením počtu stížností zák</w:t>
      </w:r>
      <w:r w:rsidR="00007987" w:rsidRPr="00DD47DF">
        <w:t>azníků na kvalitu elektrické</w:t>
      </w:r>
      <w:r w:rsidR="00E43457" w:rsidRPr="00DD47DF">
        <w:t xml:space="preserve"> energie, snížením budoucího rizika zhoršování kvality napětí související s dalším připojováním decentralizovaných zdrojů energie na hladině nn a provozování vn vedení s konstantní úrovní napětí, tzn. zvýšení bezpečnosti a spolehlivosti.</w:t>
      </w:r>
    </w:p>
    <w:p w14:paraId="2B38CCCB" w14:textId="77777777" w:rsidR="00E43457" w:rsidRPr="00DD47DF" w:rsidRDefault="00E43457" w:rsidP="00007987">
      <w:pPr>
        <w:pStyle w:val="Standardntext"/>
      </w:pPr>
      <w:r w:rsidRPr="00DD47DF">
        <w:t>Dalším typovým projektem v rámci tohoto specifického cíle je technologické řešení lokální bilance řízením toků výkonu mezi odběrateli a provozovatelem distribuční sítě. Využitím dostupného výkonu akumulačních spotřebičů a změny logiky spínání hromadného dálkového ovládání na výkonovou bilanci distribuční trafostanice se sníží</w:t>
      </w:r>
      <w:r w:rsidR="00007987" w:rsidRPr="00DD47DF">
        <w:t>,</w:t>
      </w:r>
      <w:r w:rsidRPr="00DD47DF">
        <w:t xml:space="preserve"> až eliminují negativní vlivy lokálně zapojených nepredikovatelných výrobních zdrojů (FVE), především přetoky el</w:t>
      </w:r>
      <w:r w:rsidR="00007987" w:rsidRPr="00DD47DF">
        <w:t>ektrické</w:t>
      </w:r>
      <w:r w:rsidRPr="00DD47DF">
        <w:t xml:space="preserve"> energie do vyšší napěťové hladiny. Mezi technologické prvky lokální bilance řízení patří spínače dostupného výkonu akumulačních spotřebičů u odběratelů, predikční nástroje pro výrobní zdroje (FVE) na lokální úrovni a </w:t>
      </w:r>
      <w:r w:rsidR="00007987" w:rsidRPr="00DD47DF">
        <w:t>řídicí</w:t>
      </w:r>
      <w:r w:rsidRPr="00DD47DF">
        <w:t xml:space="preserve"> systém na lokální úrovni.</w:t>
      </w:r>
    </w:p>
    <w:p w14:paraId="3D154736" w14:textId="77777777" w:rsidR="00E43457" w:rsidRPr="00DD47DF" w:rsidRDefault="00E43457" w:rsidP="00007987">
      <w:pPr>
        <w:pStyle w:val="Standardntext"/>
      </w:pPr>
      <w:r w:rsidRPr="00DD47DF">
        <w:t>Výstupem projektu bude nasazení prvků řešení lokální bilance řízením toků výkonu mezi odběrateli a provozovatelem distribuční sítě, které se promítají do výsledků ve formě eliminace přetoků do vyšších napěťových hladin, snižování ztrát a zvyšování účinnosti distribuce el</w:t>
      </w:r>
      <w:r w:rsidR="00007987" w:rsidRPr="00DD47DF">
        <w:t>ektrické</w:t>
      </w:r>
      <w:r w:rsidRPr="00DD47DF">
        <w:t xml:space="preserve"> energie na lokální úrovni.</w:t>
      </w:r>
    </w:p>
    <w:p w14:paraId="7459B6AF" w14:textId="77777777" w:rsidR="00E314F2" w:rsidRPr="00DD47DF" w:rsidRDefault="00C64425" w:rsidP="00E314F2">
      <w:pPr>
        <w:pStyle w:val="Standardntext"/>
      </w:pPr>
      <w:r w:rsidRPr="00DD47DF">
        <w:t>Aktivity jsou definovány ve vazbě na aktualizovanou Státní energetickou koncepci</w:t>
      </w:r>
      <w:r w:rsidR="007D0E83" w:rsidRPr="00DD47DF">
        <w:t>, přičemž p</w:t>
      </w:r>
      <w:r w:rsidR="00007987" w:rsidRPr="00DD47DF">
        <w:t>odrobnější specifikace realizovaných opatření bude v souladu s cíli a kartami opatření </w:t>
      </w:r>
      <w:r w:rsidR="00E314F2" w:rsidRPr="00DD47DF">
        <w:t xml:space="preserve">Národního akčního plánu </w:t>
      </w:r>
      <w:r w:rsidR="00007987" w:rsidRPr="00DD47DF">
        <w:t>Smart Grids</w:t>
      </w:r>
      <w:r w:rsidR="00E314F2" w:rsidRPr="00DD47DF">
        <w:t>.</w:t>
      </w:r>
    </w:p>
    <w:p w14:paraId="30C25023" w14:textId="77777777" w:rsidR="00A56556" w:rsidRPr="00DD47DF" w:rsidRDefault="00A56556" w:rsidP="00A56556">
      <w:pPr>
        <w:pStyle w:val="Standardntext"/>
      </w:pPr>
      <w:r w:rsidRPr="00DD47DF">
        <w:lastRenderedPageBreak/>
        <w:t xml:space="preserve">Současně budou aktivity v souladu s níže uvedenou definici Smart grid: </w:t>
      </w:r>
    </w:p>
    <w:p w14:paraId="29890C3C" w14:textId="77777777" w:rsidR="00A56556" w:rsidRPr="00DD47DF" w:rsidRDefault="00270C11" w:rsidP="00A56556">
      <w:pPr>
        <w:pStyle w:val="Standardntext"/>
      </w:pPr>
      <w:r w:rsidRPr="00DD47DF">
        <w:t>Inteligentní sítí se rozumí elektrická síť, která může nákladově efektivně zohlednit chování a akce všech uživatelů na ni napojených, včetně výrobců, spotřebitelů a těch, kteří elektřinu vyrábějí i spotřebovávají, k zajištění ekonomicky efektivní udržitelné elektrické soustavy s malými ztrátami a vysokou úrovní jakosti a bezpečnosti dodávek a zabezpečení.</w:t>
      </w:r>
    </w:p>
    <w:p w14:paraId="09A71226" w14:textId="77777777" w:rsidR="0058402E" w:rsidRPr="00DD47DF" w:rsidRDefault="0058402E" w:rsidP="00D540FC">
      <w:pPr>
        <w:pStyle w:val="Standardntext"/>
      </w:pPr>
      <w:r w:rsidRPr="00DD47DF">
        <w:rPr>
          <w:b/>
        </w:rPr>
        <w:t xml:space="preserve">Hlavní cílová skupina: </w:t>
      </w:r>
      <w:r w:rsidR="00127389" w:rsidRPr="00DD47DF">
        <w:t>P</w:t>
      </w:r>
      <w:r w:rsidR="00D540FC" w:rsidRPr="00DD47DF">
        <w:t>rovozovatelé distribučních soustav, kteří se hodlají soustředit na modernizaci a rozvoj distribučních soustav.</w:t>
      </w:r>
      <w:r w:rsidRPr="00DD47DF">
        <w:t xml:space="preserve"> </w:t>
      </w:r>
    </w:p>
    <w:p w14:paraId="696FDFB1" w14:textId="77777777" w:rsidR="0058402E" w:rsidRPr="00DD47DF" w:rsidRDefault="0058402E" w:rsidP="00D540FC">
      <w:pPr>
        <w:pStyle w:val="Standardntext"/>
      </w:pPr>
      <w:r w:rsidRPr="00DD47DF">
        <w:rPr>
          <w:b/>
        </w:rPr>
        <w:t>Cílové území:</w:t>
      </w:r>
      <w:r w:rsidRPr="00DD47DF">
        <w:t xml:space="preserve"> </w:t>
      </w:r>
      <w:r w:rsidR="001E0AA2" w:rsidRPr="00DD47DF">
        <w:t>Území České republiky, mimo území hl. m. Prahy.</w:t>
      </w:r>
      <w:r w:rsidR="00015039" w:rsidRPr="00DD47DF">
        <w:t xml:space="preserve"> </w:t>
      </w:r>
      <w:r w:rsidR="00A46CD6" w:rsidRPr="00DD47DF">
        <w:t>Předpokládá se plošné směrování intervencí bez vymezení územní dimenze</w:t>
      </w:r>
      <w:r w:rsidR="00015039" w:rsidRPr="00DD47DF">
        <w:t>.</w:t>
      </w:r>
    </w:p>
    <w:p w14:paraId="03E589BB" w14:textId="77777777" w:rsidR="007D0E83" w:rsidRPr="00DD47DF" w:rsidRDefault="0058402E" w:rsidP="007D0E83">
      <w:pPr>
        <w:pStyle w:val="Standardntext"/>
      </w:pPr>
      <w:r w:rsidRPr="00DD47DF">
        <w:rPr>
          <w:b/>
        </w:rPr>
        <w:t xml:space="preserve">Typy příjemců: </w:t>
      </w:r>
      <w:r w:rsidRPr="00DD47DF">
        <w:t>Podnikatelské subjekty (</w:t>
      </w:r>
      <w:r w:rsidR="00D540FC" w:rsidRPr="00DD47DF">
        <w:t>zejména střední a velké podniky</w:t>
      </w:r>
      <w:r w:rsidRPr="00DD47DF">
        <w:t>).</w:t>
      </w:r>
      <w:r w:rsidR="00E314F2" w:rsidRPr="00DD47DF">
        <w:t xml:space="preserve"> Provozovatelé distribučních sítí jsou </w:t>
      </w:r>
      <w:r w:rsidR="007D0E83" w:rsidRPr="00DD47DF">
        <w:t xml:space="preserve">v ČR </w:t>
      </w:r>
      <w:r w:rsidR="00E314F2" w:rsidRPr="00DD47DF">
        <w:t xml:space="preserve">zpravidla velké podniky, tudíž rozvoj </w:t>
      </w:r>
      <w:r w:rsidR="007D0E83" w:rsidRPr="00DD47DF">
        <w:t>inteligentních</w:t>
      </w:r>
      <w:r w:rsidR="00E314F2" w:rsidRPr="00DD47DF">
        <w:t xml:space="preserve"> sítí nelze realizovat v segmentu malých a středních firem.</w:t>
      </w:r>
      <w:r w:rsidR="007D0E83" w:rsidRPr="00DD47DF">
        <w:t xml:space="preserve"> Provozovatelé distribučních sítí jsou držitelem licence na distribuci elektřiny a zřizují technický dispečink pro výkon činností v případě, že provozují zařízení s napětím 110 kV ve smyslu energetického zákona č. 458/2000 Sb. K realizaci výše uvedených podporovaných aktivit je nutné dispečerské řízení prostřednictvím technického dispečinku. Odpovědnost za realizaci podporovaných aktivit inteligentních sítí mají provozovatelé distribučních sítí, jak vyplývá např. z dokumentů SET Plan / iniciativy European Electricity Grid Initiative.</w:t>
      </w:r>
    </w:p>
    <w:p w14:paraId="17E18B26" w14:textId="77777777" w:rsidR="0058402E" w:rsidRPr="00DD47DF" w:rsidRDefault="00BA6461" w:rsidP="005F43DF">
      <w:pPr>
        <w:pStyle w:val="Nadpis5"/>
        <w:numPr>
          <w:ilvl w:val="4"/>
          <w:numId w:val="22"/>
        </w:numPr>
      </w:pPr>
      <w:r w:rsidRPr="00DD47DF">
        <w:t>Hlavní zásady pro výběr operací</w:t>
      </w:r>
    </w:p>
    <w:p w14:paraId="42A3FDD5" w14:textId="77777777" w:rsidR="0042487A" w:rsidRPr="00DD47DF" w:rsidRDefault="00FE3385" w:rsidP="0042487A">
      <w:pPr>
        <w:pStyle w:val="Standardntext"/>
      </w:pPr>
      <w:r w:rsidRPr="00DD47DF">
        <w:t>Společné obecné zásady pro výběr operací pro všechny investiční priority celého OP PIK jsou uvedeny v prioritní ose 1 v oddíle 2.A.6.2.</w:t>
      </w:r>
    </w:p>
    <w:p w14:paraId="284DA3BB" w14:textId="77777777" w:rsidR="00B12F31" w:rsidRPr="00DD47DF" w:rsidRDefault="00B12F31" w:rsidP="00B12F31">
      <w:pPr>
        <w:pStyle w:val="Standardntext"/>
      </w:pPr>
      <w:r w:rsidRPr="00DD47DF">
        <w:t>V rámci výběru a hodnocení projektů budou posuzována především následující kritéria:</w:t>
      </w:r>
    </w:p>
    <w:p w14:paraId="458EFE1F" w14:textId="77777777" w:rsidR="00B12F31" w:rsidRPr="00DD47DF" w:rsidRDefault="00B12F31" w:rsidP="00D927A2">
      <w:pPr>
        <w:pStyle w:val="Standardntext"/>
        <w:numPr>
          <w:ilvl w:val="0"/>
          <w:numId w:val="43"/>
        </w:numPr>
      </w:pPr>
      <w:r w:rsidRPr="00DD47DF">
        <w:t xml:space="preserve">Kvalita a potřebnost </w:t>
      </w:r>
      <w:r w:rsidR="00C0640C" w:rsidRPr="00DD47DF">
        <w:t xml:space="preserve">projektu </w:t>
      </w:r>
      <w:r w:rsidRPr="00DD47DF">
        <w:t xml:space="preserve">s ohledem na </w:t>
      </w:r>
      <w:r w:rsidR="00DC4382" w:rsidRPr="00DD47DF">
        <w:t>jeho</w:t>
      </w:r>
      <w:r w:rsidRPr="00DD47DF">
        <w:t xml:space="preserve"> přínosy k bezpečnosti distribuční soustavy a nově zavedené technologie.</w:t>
      </w:r>
    </w:p>
    <w:p w14:paraId="19B7C627" w14:textId="77777777" w:rsidR="00B12F31" w:rsidRPr="00DD47DF" w:rsidRDefault="00B12F31" w:rsidP="00D927A2">
      <w:pPr>
        <w:pStyle w:val="Standardntext"/>
        <w:numPr>
          <w:ilvl w:val="0"/>
          <w:numId w:val="43"/>
        </w:numPr>
      </w:pPr>
      <w:r w:rsidRPr="00DD47DF">
        <w:t xml:space="preserve">Soulad projektu s horizontálními principy, mezi něž patří udržitelný rozvoj, rovné příležitosti a ochrana před diskriminací. Projekt, který bude v rozporu s těmito principy, nebude v rámci OP PIK podpořen (blíže viz oddíl 11). </w:t>
      </w:r>
    </w:p>
    <w:p w14:paraId="3A39864F" w14:textId="77777777" w:rsidR="00192F36" w:rsidRPr="00DD47DF" w:rsidRDefault="00192F36" w:rsidP="00D927A2">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4BE24AC2" w14:textId="77777777" w:rsidR="0058402E" w:rsidRPr="00DD47DF" w:rsidRDefault="00BA6461" w:rsidP="005F43DF">
      <w:pPr>
        <w:pStyle w:val="Nadpis5"/>
        <w:numPr>
          <w:ilvl w:val="4"/>
          <w:numId w:val="22"/>
        </w:numPr>
        <w:rPr>
          <w:rFonts w:cs="Calibri"/>
        </w:rPr>
      </w:pPr>
      <w:r w:rsidRPr="00DD47DF">
        <w:t>Plánované využití finančních nástrojů (použije-li se)</w:t>
      </w:r>
    </w:p>
    <w:p w14:paraId="435AC7F2" w14:textId="77777777" w:rsidR="0058402E" w:rsidRPr="00DD47DF" w:rsidRDefault="00352703" w:rsidP="002A4D1D">
      <w:pPr>
        <w:pStyle w:val="Standardntext"/>
        <w:rPr>
          <w:color w:val="FF0000"/>
        </w:rPr>
      </w:pPr>
      <w:r w:rsidRPr="00DD47DF">
        <w:t xml:space="preserve">Řídící orgán nepředpokládá využití finančních nástrojů v této investiční prioritě. </w:t>
      </w:r>
      <w:r w:rsidR="006F58B4" w:rsidRPr="00DD47DF">
        <w:t>Detaily</w:t>
      </w:r>
      <w:r w:rsidRPr="00DD47DF">
        <w:t xml:space="preserve"> stanoví konečná verze předběžného posouzení finančních nástrojů OP PIK dle čl. 37 odst. 2 obecného nařízení, které provede ŘO OP PIK, případně jeho revize podle čl. 37 odst. 2 písm. g) obecného nařízení.</w:t>
      </w:r>
    </w:p>
    <w:p w14:paraId="0CB57618" w14:textId="77777777" w:rsidR="0058402E" w:rsidRPr="00DD47DF" w:rsidRDefault="00BA6461" w:rsidP="005F43DF">
      <w:pPr>
        <w:pStyle w:val="Nadpis5"/>
        <w:numPr>
          <w:ilvl w:val="4"/>
          <w:numId w:val="22"/>
        </w:numPr>
      </w:pPr>
      <w:r w:rsidRPr="00DD47DF">
        <w:t>Plánované využití velkých projektů (použije-li se)</w:t>
      </w:r>
    </w:p>
    <w:p w14:paraId="28802EC4" w14:textId="77777777" w:rsidR="002A4D1D" w:rsidRPr="00DD47DF" w:rsidRDefault="002A4D1D" w:rsidP="002A4D1D">
      <w:pPr>
        <w:pStyle w:val="Standardntext"/>
      </w:pPr>
      <w:r w:rsidRPr="00DD47DF">
        <w:t xml:space="preserve">Velké projekty ve smyslu čl. </w:t>
      </w:r>
      <w:r w:rsidR="008F52F8" w:rsidRPr="00DD47DF">
        <w:t>10</w:t>
      </w:r>
      <w:r w:rsidRPr="00DD47DF">
        <w:t>0 obecného nařízení nejsou plánovány.</w:t>
      </w:r>
    </w:p>
    <w:p w14:paraId="588EE9F2" w14:textId="77777777" w:rsidR="0058402E" w:rsidRPr="00DD47DF" w:rsidRDefault="00BA6461" w:rsidP="005F43DF">
      <w:pPr>
        <w:pStyle w:val="Nadpis5"/>
        <w:numPr>
          <w:ilvl w:val="4"/>
          <w:numId w:val="22"/>
        </w:numPr>
      </w:pPr>
      <w:r w:rsidRPr="00DD47DF">
        <w:lastRenderedPageBreak/>
        <w:t>Ukazatele výstupů podle investiční priority a případně podle kategorie regionů</w:t>
      </w:r>
    </w:p>
    <w:p w14:paraId="7DB1D375" w14:textId="77777777" w:rsidR="0058402E" w:rsidRPr="00DD47DF" w:rsidRDefault="0058402E" w:rsidP="00EC2D25">
      <w:pPr>
        <w:pStyle w:val="Titulek"/>
        <w:keepNext/>
        <w:keepLines/>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671"/>
        <w:gridCol w:w="2194"/>
        <w:gridCol w:w="1081"/>
        <w:gridCol w:w="665"/>
        <w:gridCol w:w="1275"/>
        <w:gridCol w:w="1140"/>
        <w:gridCol w:w="1050"/>
        <w:gridCol w:w="1250"/>
      </w:tblGrid>
      <w:tr w:rsidR="001B2E5C" w:rsidRPr="00DD47DF" w14:paraId="091ECFEF" w14:textId="77777777">
        <w:trPr>
          <w:trHeight w:hRule="exact" w:val="1043"/>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A0A3AF2" w14:textId="77777777" w:rsidR="001B2E5C" w:rsidRPr="00DD47DF" w:rsidRDefault="001B2E5C" w:rsidP="00EC2D25">
            <w:pPr>
              <w:pStyle w:val="Tabulka"/>
              <w:keepNext/>
              <w:keepLines/>
              <w:rPr>
                <w:rFonts w:cs="Calibri"/>
                <w:b/>
              </w:rPr>
            </w:pPr>
            <w:r w:rsidRPr="00DD47DF">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584311A" w14:textId="77777777" w:rsidR="001B2E5C" w:rsidRPr="00DD47DF" w:rsidRDefault="001B2E5C" w:rsidP="00EC2D25">
            <w:pPr>
              <w:pStyle w:val="Tabulka"/>
              <w:keepNext/>
              <w:keepLines/>
              <w:rPr>
                <w:rFonts w:cs="Calibri"/>
                <w:b/>
              </w:rPr>
            </w:pPr>
            <w:r w:rsidRPr="00DD47DF">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B5C8E76" w14:textId="77777777" w:rsidR="001B2E5C" w:rsidRPr="00DD47DF" w:rsidRDefault="001B2E5C" w:rsidP="00EC2D25">
            <w:pPr>
              <w:pStyle w:val="Tabulka"/>
              <w:keepNext/>
              <w:keepLines/>
              <w:rPr>
                <w:rFonts w:cs="Calibri"/>
                <w:b/>
              </w:rPr>
            </w:pPr>
            <w:r w:rsidRPr="00DD47DF">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8D1FA71" w14:textId="77777777" w:rsidR="001B2E5C" w:rsidRPr="00DD47DF" w:rsidRDefault="001B2E5C" w:rsidP="00EC2D25">
            <w:pPr>
              <w:pStyle w:val="Tabulka"/>
              <w:keepNext/>
              <w:keepLines/>
              <w:rPr>
                <w:rFonts w:cs="Calibri"/>
                <w:b/>
              </w:rPr>
            </w:pPr>
            <w:r w:rsidRPr="00DD47DF">
              <w:rPr>
                <w:rFonts w:cs="Calibri"/>
                <w:b/>
              </w:rPr>
              <w:t>Fond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A819605" w14:textId="77777777" w:rsidR="001B2E5C" w:rsidRPr="00DD47DF" w:rsidRDefault="001B2E5C" w:rsidP="00EC2D25">
            <w:pPr>
              <w:pStyle w:val="Tabulka"/>
              <w:keepNext/>
              <w:keepLines/>
              <w:rPr>
                <w:rFonts w:cs="Calibri"/>
                <w:b/>
              </w:rPr>
            </w:pPr>
            <w:r w:rsidRPr="00DD47DF">
              <w:rPr>
                <w:rFonts w:cs="Calibri"/>
                <w:b/>
              </w:rPr>
              <w:t>Kategorie regionu</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86516E9" w14:textId="77777777" w:rsidR="001B2E5C" w:rsidRPr="00DD47DF" w:rsidRDefault="001B2E5C" w:rsidP="00D57106">
            <w:pPr>
              <w:pStyle w:val="Tabulka"/>
              <w:keepNext/>
              <w:keepLines/>
              <w:rPr>
                <w:rFonts w:cs="Calibri"/>
                <w:b/>
              </w:rPr>
            </w:pPr>
            <w:r w:rsidRPr="00DD47DF">
              <w:rPr>
                <w:rFonts w:cs="Calibri"/>
                <w:b/>
              </w:rPr>
              <w:t>Cílová hodnota</w:t>
            </w:r>
            <w:r w:rsidR="00D57106" w:rsidRPr="00DD47DF">
              <w:rPr>
                <w:rFonts w:cs="Calibri"/>
                <w:b/>
              </w:rPr>
              <w:t xml:space="preserve"> </w:t>
            </w:r>
            <w:r w:rsidRPr="00DD47DF">
              <w:rPr>
                <w:rFonts w:cs="Calibri"/>
                <w:b/>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92C9AFE" w14:textId="77777777" w:rsidR="001B2E5C" w:rsidRPr="00DD47DF" w:rsidRDefault="001B2E5C" w:rsidP="00EC2D25">
            <w:pPr>
              <w:pStyle w:val="Tabulka"/>
              <w:keepNext/>
              <w:keepLines/>
              <w:rPr>
                <w:rFonts w:cs="Calibri"/>
                <w:b/>
              </w:rPr>
            </w:pPr>
            <w:r w:rsidRPr="00DD47DF">
              <w:rPr>
                <w:rFonts w:cs="Calibri"/>
                <w:b/>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F4304E0" w14:textId="77777777" w:rsidR="001B2E5C" w:rsidRPr="00DD47DF" w:rsidRDefault="001B2E5C" w:rsidP="00EC2D25">
            <w:pPr>
              <w:pStyle w:val="Tabulka"/>
              <w:keepNext/>
              <w:keepLines/>
              <w:rPr>
                <w:rFonts w:cs="Calibri"/>
                <w:b/>
              </w:rPr>
            </w:pPr>
            <w:r w:rsidRPr="00DD47DF">
              <w:rPr>
                <w:rFonts w:cs="Calibri"/>
                <w:b/>
              </w:rPr>
              <w:t>Četnost podávání zpráv</w:t>
            </w:r>
          </w:p>
        </w:tc>
      </w:tr>
      <w:tr w:rsidR="00FD0399" w:rsidRPr="00DD47DF" w14:paraId="1E44C9B4"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7E1BAD08" w14:textId="0B038AAF" w:rsidR="00FD0399" w:rsidRPr="00DD47DF" w:rsidRDefault="00C75691" w:rsidP="00EC2D25">
            <w:pPr>
              <w:pStyle w:val="Tabulka"/>
              <w:keepNext/>
              <w:keepLines/>
              <w:rPr>
                <w:rFonts w:cs="Calibri"/>
              </w:rPr>
            </w:pPr>
            <w:r w:rsidRPr="00DD47DF">
              <w:rPr>
                <w:rFonts w:cs="Calibri"/>
              </w:rPr>
              <w:t xml:space="preserve">CO </w:t>
            </w:r>
            <w:r w:rsidR="00081C97" w:rsidRPr="00DD47DF">
              <w:rPr>
                <w:rFonts w:cs="Calibri"/>
              </w:rPr>
              <w:t>0</w:t>
            </w:r>
            <w:r w:rsidR="00FD0399" w:rsidRPr="00DD47DF">
              <w:rPr>
                <w:rFonts w:cs="Calibri"/>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06CA085E" w14:textId="77777777" w:rsidR="00FD0399" w:rsidRPr="00DD47DF" w:rsidRDefault="007D6298" w:rsidP="00EC2D25">
            <w:pPr>
              <w:pStyle w:val="Tabulka"/>
              <w:keepNext/>
              <w:keepLines/>
              <w:jc w:val="left"/>
              <w:rPr>
                <w:rFonts w:cs="Calibri"/>
              </w:rPr>
            </w:pPr>
            <w:r w:rsidRPr="00DD47DF">
              <w:rPr>
                <w:rFonts w:cs="Calibri"/>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0FAFA663" w14:textId="77777777" w:rsidR="00FD0399" w:rsidRPr="00DD47DF" w:rsidRDefault="00FD0399" w:rsidP="00EC2D25">
            <w:pPr>
              <w:pStyle w:val="Tabulka"/>
              <w:keepNext/>
              <w:keepLines/>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608EEC32" w14:textId="77777777" w:rsidR="00FD0399" w:rsidRPr="00DD47DF" w:rsidRDefault="002B3F69" w:rsidP="00EC2D25">
            <w:pPr>
              <w:pStyle w:val="Tabulka"/>
              <w:keepNext/>
              <w:keepLines/>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660817E6" w14:textId="77777777" w:rsidR="00FD0399" w:rsidRPr="00DD47DF" w:rsidRDefault="00FD0399" w:rsidP="00EC2D25">
            <w:pPr>
              <w:pStyle w:val="Tabulka"/>
              <w:keepNext/>
              <w:keepLines/>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5F89B54F" w14:textId="77777777" w:rsidR="00FD0399" w:rsidRPr="00DD47DF" w:rsidRDefault="00CC54BE" w:rsidP="00EC2D25">
            <w:pPr>
              <w:pStyle w:val="Tabulka"/>
              <w:keepNext/>
              <w:keepLines/>
              <w:rPr>
                <w:rFonts w:cs="Calibri"/>
              </w:rPr>
            </w:pPr>
            <w:r w:rsidRPr="00DD47DF">
              <w:rPr>
                <w:rFonts w:cs="Calibri"/>
              </w:rPr>
              <w:t>22</w:t>
            </w:r>
          </w:p>
        </w:tc>
        <w:tc>
          <w:tcPr>
            <w:tcW w:w="0" w:type="auto"/>
            <w:tcBorders>
              <w:top w:val="single" w:sz="4" w:space="0" w:color="000000"/>
              <w:left w:val="single" w:sz="4" w:space="0" w:color="000000"/>
              <w:bottom w:val="single" w:sz="4" w:space="0" w:color="000000"/>
              <w:right w:val="single" w:sz="4" w:space="0" w:color="000000"/>
            </w:tcBorders>
            <w:vAlign w:val="center"/>
          </w:tcPr>
          <w:p w14:paraId="40FD80F9" w14:textId="77777777" w:rsidR="00FD0399" w:rsidRPr="00DD47DF" w:rsidRDefault="00FC7054" w:rsidP="00EC2D25">
            <w:pPr>
              <w:pStyle w:val="Tabulka"/>
              <w:keepNext/>
              <w:keepLines/>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5849B22A" w14:textId="77777777" w:rsidR="00FD0399" w:rsidRPr="00DD47DF" w:rsidRDefault="00FC7054" w:rsidP="00EC2D25">
            <w:pPr>
              <w:pStyle w:val="Tabulka"/>
              <w:keepNext/>
              <w:keepLines/>
              <w:rPr>
                <w:rFonts w:cs="Calibri"/>
              </w:rPr>
            </w:pPr>
            <w:r>
              <w:rPr>
                <w:rFonts w:cs="Calibri"/>
              </w:rPr>
              <w:t>průběžně</w:t>
            </w:r>
          </w:p>
        </w:tc>
      </w:tr>
      <w:tr w:rsidR="002B3F69" w:rsidRPr="00DD47DF" w14:paraId="0B4E29CE"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4FFACD11" w14:textId="21EC1D70" w:rsidR="002B3F69" w:rsidRPr="00DD47DF" w:rsidRDefault="00C75691" w:rsidP="007E38FF">
            <w:pPr>
              <w:pStyle w:val="Tabulka"/>
              <w:rPr>
                <w:rFonts w:cs="Calibri"/>
              </w:rPr>
            </w:pPr>
            <w:r w:rsidRPr="00DD47DF">
              <w:rPr>
                <w:rFonts w:cs="Calibri"/>
              </w:rPr>
              <w:t xml:space="preserve">CO </w:t>
            </w:r>
            <w:r w:rsidR="00081C97" w:rsidRPr="00DD47DF">
              <w:rPr>
                <w:rFonts w:cs="Calibri"/>
              </w:rPr>
              <w:t>0</w:t>
            </w:r>
            <w:r w:rsidR="002B3F69" w:rsidRPr="00DD47DF">
              <w:rPr>
                <w:rFonts w:cs="Calibri"/>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6399D460" w14:textId="77777777" w:rsidR="002B3F69" w:rsidRPr="00DD47DF" w:rsidRDefault="002B3F69" w:rsidP="007E38FF">
            <w:pPr>
              <w:pStyle w:val="Tabulka"/>
              <w:jc w:val="left"/>
              <w:rPr>
                <w:rFonts w:cs="Calibri"/>
              </w:rPr>
            </w:pPr>
            <w:r w:rsidRPr="00DD47DF">
              <w:rPr>
                <w:rFonts w:cs="Calibri"/>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1F75407E" w14:textId="77777777" w:rsidR="002B3F69" w:rsidRPr="00DD47DF" w:rsidRDefault="002B3F69" w:rsidP="007E38FF">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7037DE8A" w14:textId="77777777" w:rsidR="002B3F69" w:rsidRPr="00DD47DF" w:rsidRDefault="002B3F69" w:rsidP="007E38FF">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2A6139E3" w14:textId="77777777" w:rsidR="002B3F69" w:rsidRPr="00DD47DF" w:rsidRDefault="002B3F69" w:rsidP="007E38FF">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6EF686B7" w14:textId="77777777" w:rsidR="002B3F69" w:rsidRPr="00DD47DF" w:rsidRDefault="00CC54BE" w:rsidP="007E38FF">
            <w:pPr>
              <w:pStyle w:val="Tabulka"/>
              <w:rPr>
                <w:rFonts w:cs="Calibri"/>
              </w:rPr>
            </w:pPr>
            <w:r w:rsidRPr="00DD47DF">
              <w:rPr>
                <w:rFonts w:cs="Calibri"/>
              </w:rPr>
              <w:t>22</w:t>
            </w:r>
          </w:p>
        </w:tc>
        <w:tc>
          <w:tcPr>
            <w:tcW w:w="0" w:type="auto"/>
            <w:tcBorders>
              <w:top w:val="single" w:sz="4" w:space="0" w:color="000000"/>
              <w:left w:val="single" w:sz="4" w:space="0" w:color="000000"/>
              <w:bottom w:val="single" w:sz="4" w:space="0" w:color="000000"/>
              <w:right w:val="single" w:sz="4" w:space="0" w:color="000000"/>
            </w:tcBorders>
            <w:vAlign w:val="center"/>
          </w:tcPr>
          <w:p w14:paraId="029AFEBD" w14:textId="77777777" w:rsidR="002B3F69" w:rsidRPr="00DD47DF" w:rsidRDefault="00FC7054" w:rsidP="007E38FF">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0F2B4DA3" w14:textId="77777777" w:rsidR="002B3F69" w:rsidRPr="00DD47DF" w:rsidRDefault="00FC7054" w:rsidP="007E38FF">
            <w:pPr>
              <w:pStyle w:val="Tabulka"/>
              <w:rPr>
                <w:rFonts w:cs="Calibri"/>
              </w:rPr>
            </w:pPr>
            <w:r>
              <w:rPr>
                <w:rFonts w:cs="Calibri"/>
              </w:rPr>
              <w:t>průběžně</w:t>
            </w:r>
          </w:p>
        </w:tc>
      </w:tr>
      <w:tr w:rsidR="002B3F69" w:rsidRPr="00DD47DF" w14:paraId="2FDD4640" w14:textId="77777777" w:rsidTr="008F259C">
        <w:trPr>
          <w:trHeight w:val="363"/>
        </w:trPr>
        <w:tc>
          <w:tcPr>
            <w:tcW w:w="0" w:type="auto"/>
            <w:tcBorders>
              <w:top w:val="single" w:sz="4" w:space="0" w:color="000000"/>
              <w:left w:val="single" w:sz="4" w:space="0" w:color="000000"/>
              <w:bottom w:val="single" w:sz="4" w:space="0" w:color="000000"/>
              <w:right w:val="single" w:sz="4" w:space="0" w:color="000000"/>
            </w:tcBorders>
            <w:vAlign w:val="center"/>
          </w:tcPr>
          <w:p w14:paraId="50A6882B" w14:textId="7A321E90" w:rsidR="002B3F69" w:rsidRPr="00DD47DF" w:rsidRDefault="00C75691" w:rsidP="008F259C">
            <w:pPr>
              <w:pStyle w:val="Tabulka"/>
              <w:keepLines/>
              <w:rPr>
                <w:rFonts w:cs="Calibri"/>
              </w:rPr>
            </w:pPr>
            <w:r w:rsidRPr="00DD47DF">
              <w:rPr>
                <w:rFonts w:cs="Calibri"/>
              </w:rPr>
              <w:t xml:space="preserve">CO </w:t>
            </w:r>
            <w:r w:rsidR="00081C97" w:rsidRPr="00DD47DF">
              <w:rPr>
                <w:rFonts w:cs="Calibri"/>
              </w:rPr>
              <w:t>0</w:t>
            </w:r>
            <w:r w:rsidR="002B3F69" w:rsidRPr="00DD47DF">
              <w:rPr>
                <w:rFonts w:cs="Calibri"/>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1FC2CCA3" w14:textId="77777777" w:rsidR="002B3F69" w:rsidRPr="00DD47DF" w:rsidRDefault="00892451" w:rsidP="008F259C">
            <w:pPr>
              <w:pStyle w:val="Tabulka"/>
              <w:keepLines/>
              <w:jc w:val="left"/>
              <w:rPr>
                <w:rFonts w:cs="Calibri"/>
              </w:rPr>
            </w:pPr>
            <w:r w:rsidRPr="00892451">
              <w:rPr>
                <w:rFonts w:cs="Calibri"/>
              </w:rPr>
              <w:t>Soukromé investice odpovídající veřejné podpoře podniků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0F315C17" w14:textId="77777777" w:rsidR="002B3F69" w:rsidRPr="00DD47DF" w:rsidRDefault="002B3F69" w:rsidP="008F259C">
            <w:pPr>
              <w:pStyle w:val="Tabulka"/>
              <w:keepLines/>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73A68DC8" w14:textId="77777777" w:rsidR="002B3F69" w:rsidRPr="00DD47DF" w:rsidRDefault="002B3F69" w:rsidP="008F259C">
            <w:pPr>
              <w:pStyle w:val="Tabulka"/>
              <w:keepLines/>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579A3109" w14:textId="77777777" w:rsidR="002B3F69" w:rsidRPr="00DD47DF" w:rsidRDefault="002B3F69" w:rsidP="008F259C">
            <w:pPr>
              <w:pStyle w:val="Tabulka"/>
              <w:keepLines/>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5157F804" w14:textId="77777777" w:rsidR="002B3F69" w:rsidRPr="00DD47DF" w:rsidRDefault="00CC54BE" w:rsidP="008F259C">
            <w:pPr>
              <w:pStyle w:val="Tabulka"/>
              <w:keepLines/>
              <w:rPr>
                <w:rFonts w:cs="Calibri"/>
              </w:rPr>
            </w:pPr>
            <w:r w:rsidRPr="00DD47DF">
              <w:rPr>
                <w:rFonts w:cs="Calibri"/>
              </w:rPr>
              <w:t>47</w:t>
            </w:r>
            <w:r w:rsidR="00354027" w:rsidRPr="00DD47DF">
              <w:rPr>
                <w:rFonts w:cs="Calibri"/>
              </w:rPr>
              <w:t> 0</w:t>
            </w:r>
            <w:r w:rsidR="00F21878" w:rsidRPr="00DD47DF">
              <w:rPr>
                <w:rFonts w:cs="Calibri"/>
              </w:rPr>
              <w:t>00 000</w:t>
            </w:r>
          </w:p>
        </w:tc>
        <w:tc>
          <w:tcPr>
            <w:tcW w:w="0" w:type="auto"/>
            <w:tcBorders>
              <w:top w:val="single" w:sz="4" w:space="0" w:color="000000"/>
              <w:left w:val="single" w:sz="4" w:space="0" w:color="000000"/>
              <w:bottom w:val="single" w:sz="4" w:space="0" w:color="000000"/>
              <w:right w:val="single" w:sz="4" w:space="0" w:color="000000"/>
            </w:tcBorders>
            <w:vAlign w:val="center"/>
          </w:tcPr>
          <w:p w14:paraId="36D291D0" w14:textId="77777777" w:rsidR="002B3F69" w:rsidRPr="00DD47DF" w:rsidRDefault="00800418" w:rsidP="008F259C">
            <w:pPr>
              <w:pStyle w:val="Tabulka"/>
              <w:keepLines/>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4730A2AB" w14:textId="77777777" w:rsidR="002B3F69" w:rsidRPr="00DD47DF" w:rsidRDefault="00934A97" w:rsidP="008F259C">
            <w:pPr>
              <w:pStyle w:val="Tabulka"/>
              <w:keepLines/>
              <w:rPr>
                <w:rFonts w:cs="Calibri"/>
              </w:rPr>
            </w:pPr>
            <w:r>
              <w:rPr>
                <w:rFonts w:cs="Calibri"/>
              </w:rPr>
              <w:t>průběžně</w:t>
            </w:r>
          </w:p>
        </w:tc>
      </w:tr>
      <w:tr w:rsidR="00AA16EC" w:rsidRPr="00DD47DF" w14:paraId="65A9E597" w14:textId="77777777" w:rsidTr="008F259C">
        <w:trPr>
          <w:trHeight w:val="363"/>
        </w:trPr>
        <w:tc>
          <w:tcPr>
            <w:tcW w:w="0" w:type="auto"/>
            <w:tcBorders>
              <w:top w:val="single" w:sz="4" w:space="0" w:color="000000"/>
              <w:left w:val="single" w:sz="4" w:space="0" w:color="000000"/>
              <w:bottom w:val="single" w:sz="4" w:space="0" w:color="000000"/>
              <w:right w:val="single" w:sz="4" w:space="0" w:color="000000"/>
            </w:tcBorders>
            <w:vAlign w:val="center"/>
          </w:tcPr>
          <w:p w14:paraId="56DCCDB4" w14:textId="77777777" w:rsidR="00AA16EC" w:rsidRPr="00DD47DF" w:rsidDel="00C75691" w:rsidRDefault="00F467FE" w:rsidP="008F259C">
            <w:pPr>
              <w:pStyle w:val="Tabulka"/>
              <w:keepLines/>
              <w:rPr>
                <w:rFonts w:cs="Calibri"/>
              </w:rPr>
            </w:pPr>
            <w:r w:rsidRPr="00DD47DF">
              <w:rPr>
                <w:rFonts w:cs="Calibri"/>
              </w:rPr>
              <w:t>33503</w:t>
            </w:r>
          </w:p>
        </w:tc>
        <w:tc>
          <w:tcPr>
            <w:tcW w:w="0" w:type="auto"/>
            <w:tcBorders>
              <w:top w:val="single" w:sz="4" w:space="0" w:color="000000"/>
              <w:left w:val="single" w:sz="4" w:space="0" w:color="000000"/>
              <w:bottom w:val="single" w:sz="4" w:space="0" w:color="000000"/>
              <w:right w:val="single" w:sz="4" w:space="0" w:color="000000"/>
            </w:tcBorders>
            <w:vAlign w:val="center"/>
          </w:tcPr>
          <w:p w14:paraId="6FCC6507" w14:textId="77777777" w:rsidR="00AA16EC" w:rsidRPr="00DD47DF" w:rsidRDefault="00AA16EC" w:rsidP="008F259C">
            <w:pPr>
              <w:pStyle w:val="Tabulka"/>
              <w:keepLines/>
              <w:jc w:val="left"/>
              <w:rPr>
                <w:rFonts w:cs="Calibri"/>
              </w:rPr>
            </w:pPr>
            <w:r w:rsidRPr="00DD47DF">
              <w:rPr>
                <w:rFonts w:cs="Calibri"/>
              </w:rPr>
              <w:t xml:space="preserve">Nové </w:t>
            </w:r>
            <w:r w:rsidR="00D92892" w:rsidRPr="00DD47DF">
              <w:rPr>
                <w:rFonts w:cs="Calibri"/>
              </w:rPr>
              <w:t>smart grids systémy v distribučn</w:t>
            </w:r>
            <w:r w:rsidRPr="00DD47DF">
              <w:rPr>
                <w:rFonts w:cs="Calibri"/>
              </w:rPr>
              <w:t>ích soustavách</w:t>
            </w:r>
          </w:p>
        </w:tc>
        <w:tc>
          <w:tcPr>
            <w:tcW w:w="0" w:type="auto"/>
            <w:tcBorders>
              <w:top w:val="single" w:sz="4" w:space="0" w:color="000000"/>
              <w:left w:val="single" w:sz="4" w:space="0" w:color="000000"/>
              <w:bottom w:val="single" w:sz="4" w:space="0" w:color="000000"/>
              <w:right w:val="single" w:sz="4" w:space="0" w:color="000000"/>
            </w:tcBorders>
            <w:vAlign w:val="center"/>
          </w:tcPr>
          <w:p w14:paraId="0F4CBA4D" w14:textId="77777777" w:rsidR="00AA16EC" w:rsidRPr="00DD47DF" w:rsidRDefault="00AA16EC" w:rsidP="008F259C">
            <w:pPr>
              <w:pStyle w:val="Tabulka"/>
              <w:keepLines/>
              <w:rPr>
                <w:rFonts w:cs="Calibri"/>
              </w:rPr>
            </w:pPr>
            <w:r w:rsidRPr="00DD47DF">
              <w:rPr>
                <w:rFonts w:cs="Calibri"/>
              </w:rPr>
              <w:t>systém</w:t>
            </w:r>
            <w:r w:rsidR="009B0E08" w:rsidRPr="00DD47DF">
              <w:rPr>
                <w:rFonts w:cs="Calibri"/>
              </w:rPr>
              <w:t>y</w:t>
            </w:r>
          </w:p>
        </w:tc>
        <w:tc>
          <w:tcPr>
            <w:tcW w:w="0" w:type="auto"/>
            <w:tcBorders>
              <w:top w:val="single" w:sz="4" w:space="0" w:color="000000"/>
              <w:left w:val="single" w:sz="4" w:space="0" w:color="000000"/>
              <w:bottom w:val="single" w:sz="4" w:space="0" w:color="000000"/>
              <w:right w:val="single" w:sz="4" w:space="0" w:color="000000"/>
            </w:tcBorders>
            <w:vAlign w:val="center"/>
          </w:tcPr>
          <w:p w14:paraId="0D93E016" w14:textId="77777777" w:rsidR="00AA16EC" w:rsidRPr="00DD47DF" w:rsidRDefault="00AA16EC" w:rsidP="008F259C">
            <w:pPr>
              <w:pStyle w:val="Tabulka"/>
              <w:keepLines/>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7D0863BC" w14:textId="77777777" w:rsidR="00AA16EC" w:rsidRPr="00DD47DF" w:rsidRDefault="00AA16EC" w:rsidP="008F259C">
            <w:pPr>
              <w:pStyle w:val="Tabulka"/>
              <w:keepLines/>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45E728E5" w14:textId="77777777" w:rsidR="00AA16EC" w:rsidRPr="00DD47DF" w:rsidRDefault="00D92892" w:rsidP="008F259C">
            <w:pPr>
              <w:pStyle w:val="Tabulka"/>
              <w:keepLines/>
              <w:rPr>
                <w:rFonts w:cs="Calibri"/>
              </w:rPr>
            </w:pPr>
            <w:r w:rsidRPr="00DD47DF">
              <w:rPr>
                <w:rFonts w:cs="Calibri"/>
              </w:rPr>
              <w:t>50</w:t>
            </w:r>
          </w:p>
        </w:tc>
        <w:tc>
          <w:tcPr>
            <w:tcW w:w="0" w:type="auto"/>
            <w:tcBorders>
              <w:top w:val="single" w:sz="4" w:space="0" w:color="000000"/>
              <w:left w:val="single" w:sz="4" w:space="0" w:color="000000"/>
              <w:bottom w:val="single" w:sz="4" w:space="0" w:color="000000"/>
              <w:right w:val="single" w:sz="4" w:space="0" w:color="000000"/>
            </w:tcBorders>
            <w:vAlign w:val="center"/>
          </w:tcPr>
          <w:p w14:paraId="5018ADEF" w14:textId="77777777" w:rsidR="00AA16EC" w:rsidRPr="00DD47DF" w:rsidRDefault="002F1844" w:rsidP="008F259C">
            <w:pPr>
              <w:pStyle w:val="Tabulka"/>
              <w:keepLines/>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5DD5945F" w14:textId="77777777" w:rsidR="00AA16EC" w:rsidRPr="00DD47DF" w:rsidRDefault="0067650F" w:rsidP="008F259C">
            <w:pPr>
              <w:pStyle w:val="Tabulka"/>
              <w:keepLines/>
              <w:rPr>
                <w:rFonts w:cs="Calibri"/>
              </w:rPr>
            </w:pPr>
            <w:r>
              <w:rPr>
                <w:rFonts w:cs="Calibri"/>
              </w:rPr>
              <w:t>průběžně</w:t>
            </w:r>
          </w:p>
        </w:tc>
      </w:tr>
    </w:tbl>
    <w:p w14:paraId="41D9ACF8" w14:textId="77777777" w:rsidR="00EC2D25" w:rsidRPr="00DD47DF" w:rsidRDefault="00EC2D25" w:rsidP="0025513A">
      <w:pPr>
        <w:pStyle w:val="kapitola2A0"/>
        <w:numPr>
          <w:ilvl w:val="2"/>
          <w:numId w:val="67"/>
        </w:numPr>
      </w:pPr>
      <w:bookmarkStart w:id="73" w:name="_Toc520445286"/>
      <w:r w:rsidRPr="00DD47DF">
        <w:t>INVESTIČNÍ PRIORITA 4 prioritní osy 3: Podpora výzkumu</w:t>
      </w:r>
      <w:r w:rsidR="002641C7" w:rsidRPr="00DD47DF">
        <w:t xml:space="preserve"> a</w:t>
      </w:r>
      <w:r w:rsidRPr="00DD47DF">
        <w:t xml:space="preserve"> inovací a zavádění nízkouhlíkových technologií</w:t>
      </w:r>
      <w:bookmarkEnd w:id="73"/>
    </w:p>
    <w:p w14:paraId="56CD7B23" w14:textId="77777777" w:rsidR="003B05CA" w:rsidRPr="00DD47DF" w:rsidRDefault="008C7D72" w:rsidP="0025513A">
      <w:pPr>
        <w:pStyle w:val="kapitola2A0"/>
        <w:numPr>
          <w:ilvl w:val="2"/>
          <w:numId w:val="67"/>
        </w:numPr>
      </w:pPr>
      <w:bookmarkStart w:id="74" w:name="_Toc520445287"/>
      <w:r w:rsidRPr="00DD47DF">
        <w:t>Specifické cíle odpovídající investiční prioritě a očekávané výsledky</w:t>
      </w:r>
      <w:bookmarkEnd w:id="74"/>
    </w:p>
    <w:p w14:paraId="23F9CDC6" w14:textId="77777777" w:rsidR="00EC0F1D" w:rsidRPr="00DD47DF" w:rsidRDefault="00EC0F1D" w:rsidP="00396141">
      <w:pPr>
        <w:pStyle w:val="Modrnadpis"/>
      </w:pPr>
      <w:r w:rsidRPr="00DD47DF">
        <w:t xml:space="preserve">SPECIFICKÝ CÍL </w:t>
      </w:r>
      <w:r w:rsidR="00C71E6F" w:rsidRPr="00DD47DF">
        <w:t>3.</w:t>
      </w:r>
      <w:r w:rsidRPr="00DD47DF">
        <w:t xml:space="preserve">4: </w:t>
      </w:r>
      <w:r w:rsidR="008D77E8" w:rsidRPr="00DD47DF">
        <w:t>Uplatnit inovativní nízkouhlíkové technologie v oblasti nakládání energií a při využívání druhotných surovin</w:t>
      </w:r>
    </w:p>
    <w:p w14:paraId="4157F986" w14:textId="77777777" w:rsidR="00376385" w:rsidRPr="00DD47DF" w:rsidRDefault="0034513C" w:rsidP="00D540FC">
      <w:pPr>
        <w:pStyle w:val="Standardntext"/>
      </w:pPr>
      <w:r w:rsidRPr="00DD47DF">
        <w:t>K technologické změně, která je nutná k dosažení energetických a surovinových cílů Č</w:t>
      </w:r>
      <w:r w:rsidR="00686722" w:rsidRPr="00DD47DF">
        <w:t>R a</w:t>
      </w:r>
      <w:r w:rsidRPr="00DD47DF">
        <w:t xml:space="preserve"> E</w:t>
      </w:r>
      <w:r w:rsidR="00CC6093" w:rsidRPr="00DD47DF">
        <w:t>U</w:t>
      </w:r>
      <w:r w:rsidRPr="00DD47DF">
        <w:t xml:space="preserve">, může dojít, pouze pokud </w:t>
      </w:r>
      <w:r w:rsidR="00CC6093" w:rsidRPr="00DD47DF">
        <w:t>se podstatně zmodernizuje</w:t>
      </w:r>
      <w:r w:rsidRPr="00DD47DF">
        <w:t xml:space="preserve"> </w:t>
      </w:r>
      <w:r w:rsidR="00CC6093" w:rsidRPr="00DD47DF">
        <w:t>stávající technologická</w:t>
      </w:r>
      <w:r w:rsidRPr="00DD47DF">
        <w:t xml:space="preserve"> základn</w:t>
      </w:r>
      <w:r w:rsidR="00CC6093" w:rsidRPr="00DD47DF">
        <w:t>a</w:t>
      </w:r>
      <w:r w:rsidRPr="00DD47DF">
        <w:t xml:space="preserve"> českých podniků. </w:t>
      </w:r>
      <w:r w:rsidR="00CC6093" w:rsidRPr="00DD47DF">
        <w:t xml:space="preserve">Větší uplatnění inovativních nízkouhlíkových technologií je však zastíněno nutností udržení podnikatelské produkce. </w:t>
      </w:r>
      <w:r w:rsidR="00376385" w:rsidRPr="00DD47DF">
        <w:t>Hlavním cílem je podpora konkurenceschopnosti podniků a udržitelnosti české ekonomiky prostřednictvím zaváděním nových technologií v oblasti nakládání energií a druhotných surovin.</w:t>
      </w:r>
    </w:p>
    <w:p w14:paraId="670C664A" w14:textId="77777777" w:rsidR="00942A5B" w:rsidRPr="00DD47DF" w:rsidRDefault="003508A9" w:rsidP="00942A5B">
      <w:pPr>
        <w:pStyle w:val="Modrnadpis"/>
      </w:pPr>
      <w:r w:rsidRPr="00DD47DF">
        <w:t xml:space="preserve">Výsledky, kterých chce ČR dosáhnout s podporou </w:t>
      </w:r>
      <w:r w:rsidR="00942A5B" w:rsidRPr="00DD47DF">
        <w:t>Unie</w:t>
      </w:r>
    </w:p>
    <w:p w14:paraId="61BD1234" w14:textId="77777777" w:rsidR="00160E34" w:rsidRPr="00DD47DF" w:rsidRDefault="00376385" w:rsidP="0025513A">
      <w:pPr>
        <w:pStyle w:val="Standardntext"/>
        <w:numPr>
          <w:ilvl w:val="0"/>
          <w:numId w:val="50"/>
        </w:numPr>
      </w:pPr>
      <w:r w:rsidRPr="00DD47DF">
        <w:t xml:space="preserve">Zvýšení využití </w:t>
      </w:r>
      <w:r w:rsidR="00CC6093" w:rsidRPr="00DD47DF">
        <w:t xml:space="preserve">efektivnějších a spolehlivějších energetických a surovinových nízkouhlíkových </w:t>
      </w:r>
      <w:r w:rsidRPr="00DD47DF">
        <w:t>technologií, které se běžně v ČR komerčně neuplatňují.</w:t>
      </w:r>
      <w:r w:rsidR="00600E4E" w:rsidRPr="00DD47DF">
        <w:t xml:space="preserve"> </w:t>
      </w:r>
      <w:r w:rsidR="00160E34" w:rsidRPr="00DD47DF">
        <w:t>Specifický cíl chce především naplňovat principy v souladu s Iniciativou Smart Cities a v další části chce pomoci zavádět technologie pro zpracování druhotných surovin v souladu se strategií Evropa méně náročná na zdroje. Níže uvedený výčet podporovaných aktivit tak není úplný, je především ilustrativní, neboť vývoj technologií je v této oblasti velmi dynamický a nelze dopředu předjímat novou konkrétní technologii.</w:t>
      </w:r>
    </w:p>
    <w:p w14:paraId="2D702F41" w14:textId="77777777" w:rsidR="0034513C" w:rsidRPr="00DD47DF" w:rsidRDefault="0034513C" w:rsidP="0025513A">
      <w:pPr>
        <w:pStyle w:val="Standardntext"/>
        <w:numPr>
          <w:ilvl w:val="0"/>
          <w:numId w:val="50"/>
        </w:numPr>
      </w:pPr>
      <w:r w:rsidRPr="00DD47DF">
        <w:lastRenderedPageBreak/>
        <w:t xml:space="preserve">Využití potenciálu </w:t>
      </w:r>
      <w:r w:rsidR="005A3907" w:rsidRPr="00DD47DF">
        <w:t>pro zavádění moderních nízkouhlíkových technologií v oblasti nakládání energií</w:t>
      </w:r>
      <w:r w:rsidR="00686722" w:rsidRPr="00DD47DF">
        <w:t xml:space="preserve"> a využívání druhotných surovin -</w:t>
      </w:r>
      <w:r w:rsidR="005A3907" w:rsidRPr="00DD47DF">
        <w:t xml:space="preserve"> především v malých a středních </w:t>
      </w:r>
      <w:r w:rsidR="00686722" w:rsidRPr="00DD47DF">
        <w:t>podnicích -</w:t>
      </w:r>
      <w:r w:rsidR="005A3907" w:rsidRPr="00DD47DF">
        <w:t xml:space="preserve"> který zvyšuje vedle konkurenceschopnosti rovněž i celkový inovační potenciál ČR v oblasti nakládání energií a druhotnými surovinami.</w:t>
      </w:r>
    </w:p>
    <w:p w14:paraId="43D1ACB3" w14:textId="77777777" w:rsidR="00DC76B6" w:rsidRPr="00DD47DF" w:rsidRDefault="00DC76B6" w:rsidP="0025513A">
      <w:pPr>
        <w:pStyle w:val="Standardntext"/>
        <w:numPr>
          <w:ilvl w:val="0"/>
          <w:numId w:val="50"/>
        </w:numPr>
      </w:pPr>
      <w:r w:rsidRPr="00DD47DF">
        <w:t>Zvýšení soběstačnosti ČR v surovinových zdrojích substitucí primárních zdrojů druhotnými surovinami a zvýšení inovační aktivity podniků směrem k efektivnějšímu využívání klíčových surovin během celého jejich životního cyklu. Konkurenceschopnost a růst bude vycházet z využívání menšího objemu zdrojů, produkce a spotřeby zboží, vytváření podnikatelských příležitostí i nových pracovních míst v oborech lepšího designu výrobků a nahrazování primárních materiálů materiály vyrobenými z druhotných surovin.</w:t>
      </w:r>
    </w:p>
    <w:p w14:paraId="5DDB31EE" w14:textId="77777777" w:rsidR="00FF7727" w:rsidRPr="00DD47DF" w:rsidRDefault="00FF7727" w:rsidP="0025513A">
      <w:pPr>
        <w:pStyle w:val="Standardntext"/>
        <w:numPr>
          <w:ilvl w:val="0"/>
          <w:numId w:val="50"/>
        </w:numPr>
      </w:pPr>
      <w:r w:rsidRPr="00DD47DF">
        <w:t>Výsledkem vyššího využívání druhotných surovin bude snížení energetické a materiálové náročnosti ve všech výrobních odvětvích a snížení emisí z průmyslové činnosti v souvislosti s poklesem objemu těžby primárních surovin.</w:t>
      </w:r>
    </w:p>
    <w:p w14:paraId="3D176EAC" w14:textId="77777777" w:rsidR="00376385" w:rsidRPr="00DD47DF" w:rsidRDefault="0034513C" w:rsidP="0025513A">
      <w:pPr>
        <w:pStyle w:val="Standardntext"/>
        <w:numPr>
          <w:ilvl w:val="0"/>
          <w:numId w:val="50"/>
        </w:numPr>
      </w:pPr>
      <w:r w:rsidRPr="00DD47DF">
        <w:t>Pozitivní dopad</w:t>
      </w:r>
      <w:r w:rsidR="00376385" w:rsidRPr="00DD47DF">
        <w:t xml:space="preserve"> </w:t>
      </w:r>
      <w:r w:rsidRPr="00DD47DF">
        <w:t>z hlediska životního prostředí</w:t>
      </w:r>
      <w:r w:rsidR="00376385" w:rsidRPr="00DD47DF">
        <w:t xml:space="preserve"> v důsledku </w:t>
      </w:r>
      <w:r w:rsidR="00686722" w:rsidRPr="00DD47DF">
        <w:t>zavádění</w:t>
      </w:r>
      <w:r w:rsidR="00376385" w:rsidRPr="00DD47DF">
        <w:t xml:space="preserve"> </w:t>
      </w:r>
      <w:r w:rsidR="00CC6093" w:rsidRPr="00DD47DF">
        <w:t xml:space="preserve">nízkouhlíkových </w:t>
      </w:r>
      <w:r w:rsidR="00376385" w:rsidRPr="00DD47DF">
        <w:t>technologií</w:t>
      </w:r>
      <w:r w:rsidRPr="00DD47DF">
        <w:t xml:space="preserve"> </w:t>
      </w:r>
      <w:r w:rsidR="00686722" w:rsidRPr="00DD47DF">
        <w:t xml:space="preserve">do výrobních procesů </w:t>
      </w:r>
      <w:r w:rsidRPr="00DD47DF">
        <w:t>v podnicích</w:t>
      </w:r>
      <w:r w:rsidR="00376385" w:rsidRPr="00DD47DF">
        <w:t>.</w:t>
      </w:r>
      <w:r w:rsidR="00485D01" w:rsidRPr="00DD47DF">
        <w:t xml:space="preserve"> Naplňování specifického cíle povede k podpoře udržitelného růstu, který kromě jiného zahrnuje vytváření udržitelné a konkurenceschopné ekonomiky méně náročné na zdroje, přispěje k posilování konkurenčních výhod zejména malých a středních podniků, zavádění technologií a výrobních postupů, jež snižují využívání přírodních zdrojů.</w:t>
      </w:r>
    </w:p>
    <w:p w14:paraId="46FD95F3" w14:textId="77777777" w:rsidR="00AF242B" w:rsidRPr="00DD47DF" w:rsidRDefault="00AF242B" w:rsidP="00CA2F85">
      <w:pPr>
        <w:pStyle w:val="Standardntext"/>
      </w:pPr>
      <w:r w:rsidRPr="00DD47DF">
        <w:t>Pokud jde o ukazatel výsledku (viz tab. 3) „Aplikované inovativní nízkouhlíkové technologie“, je jeho výchozí hodnota nulová. OP PIK se prostřednictvím tohoto specifického cíle zaměřuje na podporu pilotních projektů v oblasti inovativních nízkouhlíkových technologií, které dosud nebyly v prostředí ČR aplikovány, a není k dispozici žádná relevantní statistika o využívání nízkouhlíkových technologií.</w:t>
      </w:r>
    </w:p>
    <w:p w14:paraId="096E6079" w14:textId="77777777" w:rsidR="00272AE4" w:rsidRPr="00DD47DF" w:rsidRDefault="00272AE4" w:rsidP="00C71E6F">
      <w:pPr>
        <w:pStyle w:val="Titulek"/>
        <w:keepNext/>
        <w:keepLines/>
        <w:rPr>
          <w:rFonts w:cs="Calibri"/>
        </w:rPr>
      </w:pPr>
      <w:r w:rsidRPr="00DD47DF">
        <w:rPr>
          <w:rFonts w:cs="Calibri"/>
        </w:rPr>
        <w:t xml:space="preserve">Tabulka </w:t>
      </w:r>
      <w:r w:rsidR="002756E7" w:rsidRPr="00DD47DF">
        <w:rPr>
          <w:rFonts w:cs="Calibri"/>
        </w:rPr>
        <w:fldChar w:fldCharType="begin"/>
      </w:r>
      <w:r w:rsidR="00F7325F"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5000" w:type="pct"/>
        <w:tblCellMar>
          <w:left w:w="57" w:type="dxa"/>
          <w:right w:w="57" w:type="dxa"/>
        </w:tblCellMar>
        <w:tblLook w:val="01E0" w:firstRow="1" w:lastRow="1" w:firstColumn="1" w:lastColumn="1" w:noHBand="0" w:noVBand="0"/>
      </w:tblPr>
      <w:tblGrid>
        <w:gridCol w:w="1050"/>
        <w:gridCol w:w="1628"/>
        <w:gridCol w:w="1142"/>
        <w:gridCol w:w="1142"/>
        <w:gridCol w:w="885"/>
        <w:gridCol w:w="873"/>
        <w:gridCol w:w="957"/>
        <w:gridCol w:w="666"/>
        <w:gridCol w:w="983"/>
      </w:tblGrid>
      <w:tr w:rsidR="00D57106" w:rsidRPr="00DD47DF" w14:paraId="76BEC0A9" w14:textId="77777777">
        <w:trPr>
          <w:trHeight w:hRule="exact" w:val="1297"/>
        </w:trPr>
        <w:tc>
          <w:tcPr>
            <w:tcW w:w="563"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A77C996" w14:textId="77777777" w:rsidR="00CF739D" w:rsidRPr="00DD47DF" w:rsidRDefault="00CF739D" w:rsidP="00CF739D">
            <w:pPr>
              <w:pStyle w:val="Tabulka"/>
              <w:keepNext/>
              <w:keepLines/>
              <w:rPr>
                <w:rFonts w:cs="Calibri"/>
                <w:b/>
                <w:bCs/>
              </w:rPr>
            </w:pPr>
            <w:r w:rsidRPr="00DD47DF">
              <w:rPr>
                <w:rFonts w:cs="Calibri"/>
                <w:b/>
                <w:bCs/>
              </w:rPr>
              <w:t>ID</w:t>
            </w:r>
          </w:p>
        </w:tc>
        <w:tc>
          <w:tcPr>
            <w:tcW w:w="873"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107D7236" w14:textId="77777777" w:rsidR="00CF739D" w:rsidRPr="00DD47DF" w:rsidRDefault="00CF739D" w:rsidP="00CF739D">
            <w:pPr>
              <w:pStyle w:val="Tabulka"/>
              <w:keepNext/>
              <w:keepLines/>
              <w:rPr>
                <w:rFonts w:cs="Calibri"/>
                <w:b/>
                <w:bCs/>
              </w:rPr>
            </w:pPr>
            <w:r w:rsidRPr="00DD47DF">
              <w:rPr>
                <w:rFonts w:cs="Calibri"/>
                <w:b/>
                <w:bCs/>
              </w:rPr>
              <w:t>Ukazatel</w:t>
            </w:r>
          </w:p>
        </w:tc>
        <w:tc>
          <w:tcPr>
            <w:tcW w:w="612"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3793389E" w14:textId="77777777" w:rsidR="00CF739D" w:rsidRPr="00DD47DF" w:rsidRDefault="00CF739D" w:rsidP="00CF739D">
            <w:pPr>
              <w:pStyle w:val="Tabulka"/>
              <w:keepNext/>
              <w:keepLines/>
              <w:rPr>
                <w:rFonts w:cs="Calibri"/>
                <w:b/>
                <w:bCs/>
              </w:rPr>
            </w:pPr>
            <w:r w:rsidRPr="00DD47DF">
              <w:rPr>
                <w:rFonts w:cs="Calibri"/>
                <w:b/>
                <w:bCs/>
              </w:rPr>
              <w:t>Měrná</w:t>
            </w:r>
          </w:p>
          <w:p w14:paraId="25EFC550" w14:textId="77777777" w:rsidR="00CF739D" w:rsidRPr="00DD47DF" w:rsidRDefault="00CF739D" w:rsidP="00CF739D">
            <w:pPr>
              <w:pStyle w:val="Tabulka"/>
              <w:keepNext/>
              <w:keepLines/>
              <w:rPr>
                <w:rFonts w:cs="Calibri"/>
                <w:b/>
                <w:bCs/>
              </w:rPr>
            </w:pPr>
            <w:r w:rsidRPr="00DD47DF">
              <w:rPr>
                <w:rFonts w:cs="Calibri"/>
                <w:b/>
                <w:bCs/>
              </w:rPr>
              <w:t>jednotka</w:t>
            </w:r>
          </w:p>
        </w:tc>
        <w:tc>
          <w:tcPr>
            <w:tcW w:w="612"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7A716593" w14:textId="77777777" w:rsidR="00CF739D" w:rsidRPr="00DD47DF" w:rsidRDefault="00CF739D" w:rsidP="00CF739D">
            <w:pPr>
              <w:pStyle w:val="Tabulka"/>
              <w:keepNext/>
              <w:keepLines/>
              <w:rPr>
                <w:rFonts w:cs="Calibri"/>
                <w:b/>
                <w:bCs/>
              </w:rPr>
            </w:pPr>
            <w:r w:rsidRPr="00DD47DF">
              <w:rPr>
                <w:rFonts w:cs="Calibri"/>
                <w:b/>
                <w:bCs/>
              </w:rPr>
              <w:t>Kategorie regionů (je-li relevantní)</w:t>
            </w:r>
          </w:p>
        </w:tc>
        <w:tc>
          <w:tcPr>
            <w:tcW w:w="474"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B52BE99" w14:textId="77777777" w:rsidR="00CF739D" w:rsidRPr="00DD47DF" w:rsidRDefault="004B0854" w:rsidP="00CF739D">
            <w:pPr>
              <w:pStyle w:val="Tabulka"/>
              <w:keepNext/>
              <w:keepLines/>
              <w:rPr>
                <w:rFonts w:cs="Calibri"/>
                <w:b/>
                <w:bCs/>
              </w:rPr>
            </w:pPr>
            <w:r w:rsidRPr="00DD47DF">
              <w:rPr>
                <w:rFonts w:cs="Calibri"/>
                <w:b/>
                <w:bCs/>
              </w:rPr>
              <w:t>Výchozí hodnota</w:t>
            </w:r>
          </w:p>
        </w:tc>
        <w:tc>
          <w:tcPr>
            <w:tcW w:w="468"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066D9B5" w14:textId="77777777" w:rsidR="00CF739D" w:rsidRPr="00DD47DF" w:rsidRDefault="004B0854" w:rsidP="004B0854">
            <w:pPr>
              <w:pStyle w:val="Tabulka"/>
              <w:keepNext/>
              <w:keepLines/>
              <w:rPr>
                <w:rFonts w:cs="Calibri"/>
                <w:b/>
                <w:bCs/>
              </w:rPr>
            </w:pPr>
            <w:r w:rsidRPr="00DD47DF">
              <w:rPr>
                <w:rFonts w:cs="Calibri"/>
                <w:b/>
                <w:bCs/>
              </w:rPr>
              <w:t xml:space="preserve">Výchozí </w:t>
            </w:r>
            <w:r w:rsidR="00CF739D" w:rsidRPr="00DD47DF">
              <w:rPr>
                <w:rFonts w:cs="Calibri"/>
                <w:b/>
                <w:bCs/>
              </w:rPr>
              <w:t>rok</w:t>
            </w:r>
          </w:p>
        </w:tc>
        <w:tc>
          <w:tcPr>
            <w:tcW w:w="513"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4BAE4C5" w14:textId="77777777" w:rsidR="00CF739D" w:rsidRPr="00DD47DF" w:rsidRDefault="00CF739D" w:rsidP="00CF739D">
            <w:pPr>
              <w:pStyle w:val="Tabulka"/>
              <w:keepNext/>
              <w:keepLines/>
              <w:rPr>
                <w:rFonts w:cs="Calibri"/>
                <w:b/>
                <w:bCs/>
              </w:rPr>
            </w:pPr>
            <w:r w:rsidRPr="00DD47DF">
              <w:rPr>
                <w:rFonts w:cs="Calibri"/>
                <w:b/>
                <w:bCs/>
              </w:rPr>
              <w:t>Cílová hodnota (2023)</w:t>
            </w:r>
          </w:p>
        </w:tc>
        <w:tc>
          <w:tcPr>
            <w:tcW w:w="35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70E7489C" w14:textId="77777777" w:rsidR="00CF739D" w:rsidRPr="00DD47DF" w:rsidRDefault="00CF739D" w:rsidP="00CF739D">
            <w:pPr>
              <w:pStyle w:val="Tabulka"/>
              <w:keepNext/>
              <w:keepLines/>
              <w:rPr>
                <w:rFonts w:cs="Calibri"/>
                <w:b/>
                <w:bCs/>
              </w:rPr>
            </w:pPr>
            <w:r w:rsidRPr="00DD47DF">
              <w:rPr>
                <w:rFonts w:cs="Calibri"/>
                <w:b/>
                <w:bCs/>
              </w:rPr>
              <w:t>Zdroj údajů</w:t>
            </w:r>
          </w:p>
        </w:tc>
        <w:tc>
          <w:tcPr>
            <w:tcW w:w="52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73D969DA" w14:textId="77777777" w:rsidR="00CF739D" w:rsidRPr="00DD47DF" w:rsidRDefault="00CF739D" w:rsidP="00CF739D">
            <w:pPr>
              <w:pStyle w:val="Tabulka"/>
              <w:keepNext/>
              <w:keepLines/>
              <w:rPr>
                <w:rFonts w:cs="Calibri"/>
                <w:b/>
                <w:bCs/>
              </w:rPr>
            </w:pPr>
            <w:r w:rsidRPr="00DD47DF">
              <w:rPr>
                <w:rFonts w:cs="Calibri"/>
                <w:b/>
                <w:bCs/>
              </w:rPr>
              <w:t>Četnost podávání zpráv</w:t>
            </w:r>
          </w:p>
        </w:tc>
      </w:tr>
      <w:tr w:rsidR="00D57106" w:rsidRPr="00DD47DF" w14:paraId="64D268C2" w14:textId="77777777">
        <w:trPr>
          <w:trHeight w:hRule="exact" w:val="1206"/>
        </w:trPr>
        <w:tc>
          <w:tcPr>
            <w:tcW w:w="563" w:type="pct"/>
            <w:tcBorders>
              <w:top w:val="single" w:sz="4" w:space="0" w:color="000000"/>
              <w:left w:val="single" w:sz="4" w:space="0" w:color="000000"/>
              <w:bottom w:val="single" w:sz="4" w:space="0" w:color="000000"/>
              <w:right w:val="single" w:sz="4" w:space="0" w:color="000000"/>
            </w:tcBorders>
            <w:vAlign w:val="center"/>
          </w:tcPr>
          <w:p w14:paraId="0EF205F7" w14:textId="77777777" w:rsidR="00272AE4" w:rsidRPr="00DD47DF" w:rsidRDefault="00527C4C" w:rsidP="00A86EB3">
            <w:pPr>
              <w:pStyle w:val="Tabulka"/>
              <w:rPr>
                <w:rFonts w:cs="Calibri"/>
              </w:rPr>
            </w:pPr>
            <w:r w:rsidRPr="00DD47DF">
              <w:rPr>
                <w:rFonts w:cs="Calibri"/>
              </w:rPr>
              <w:t>21710</w:t>
            </w:r>
          </w:p>
        </w:tc>
        <w:tc>
          <w:tcPr>
            <w:tcW w:w="873" w:type="pct"/>
            <w:tcBorders>
              <w:top w:val="single" w:sz="4" w:space="0" w:color="000000"/>
              <w:left w:val="single" w:sz="4" w:space="0" w:color="000000"/>
              <w:bottom w:val="single" w:sz="4" w:space="0" w:color="000000"/>
              <w:right w:val="single" w:sz="4" w:space="0" w:color="000000"/>
            </w:tcBorders>
            <w:vAlign w:val="center"/>
          </w:tcPr>
          <w:p w14:paraId="75DB7DDD" w14:textId="77777777" w:rsidR="00272AE4" w:rsidRPr="00DD47DF" w:rsidRDefault="00195FEB" w:rsidP="00A86EB3">
            <w:pPr>
              <w:pStyle w:val="Tabulka"/>
              <w:jc w:val="left"/>
              <w:rPr>
                <w:rFonts w:cs="Calibri"/>
              </w:rPr>
            </w:pPr>
            <w:r w:rsidRPr="00DD47DF">
              <w:rPr>
                <w:rFonts w:cs="Calibri"/>
                <w:szCs w:val="20"/>
              </w:rPr>
              <w:t xml:space="preserve">Aplikované </w:t>
            </w:r>
            <w:r w:rsidR="00942A5B" w:rsidRPr="00DD47DF">
              <w:rPr>
                <w:rFonts w:cs="Calibri"/>
                <w:szCs w:val="20"/>
              </w:rPr>
              <w:t xml:space="preserve">inovativní </w:t>
            </w:r>
            <w:r w:rsidRPr="00DD47DF">
              <w:rPr>
                <w:rFonts w:cs="Calibri"/>
                <w:szCs w:val="20"/>
              </w:rPr>
              <w:t>nízkouhlíkové technologie</w:t>
            </w:r>
          </w:p>
        </w:tc>
        <w:tc>
          <w:tcPr>
            <w:tcW w:w="612" w:type="pct"/>
            <w:tcBorders>
              <w:top w:val="single" w:sz="4" w:space="0" w:color="000000"/>
              <w:left w:val="single" w:sz="4" w:space="0" w:color="000000"/>
              <w:bottom w:val="single" w:sz="4" w:space="0" w:color="000000"/>
              <w:right w:val="single" w:sz="4" w:space="0" w:color="000000"/>
            </w:tcBorders>
            <w:vAlign w:val="center"/>
          </w:tcPr>
          <w:p w14:paraId="00787CC7" w14:textId="77777777" w:rsidR="00272AE4" w:rsidRPr="00DD47DF" w:rsidRDefault="005644D4" w:rsidP="00A86EB3">
            <w:pPr>
              <w:pStyle w:val="Tabulka"/>
              <w:rPr>
                <w:rFonts w:cs="Calibri"/>
              </w:rPr>
            </w:pPr>
            <w:r w:rsidRPr="00DD47DF">
              <w:rPr>
                <w:rFonts w:cs="Calibri"/>
              </w:rPr>
              <w:t>technologie</w:t>
            </w:r>
          </w:p>
        </w:tc>
        <w:tc>
          <w:tcPr>
            <w:tcW w:w="612" w:type="pct"/>
            <w:tcBorders>
              <w:top w:val="single" w:sz="4" w:space="0" w:color="000000"/>
              <w:left w:val="single" w:sz="4" w:space="0" w:color="000000"/>
              <w:bottom w:val="single" w:sz="4" w:space="0" w:color="000000"/>
              <w:right w:val="single" w:sz="4" w:space="0" w:color="000000"/>
            </w:tcBorders>
            <w:vAlign w:val="center"/>
          </w:tcPr>
          <w:p w14:paraId="29578A94" w14:textId="77777777" w:rsidR="00272AE4" w:rsidRPr="00DD47DF" w:rsidRDefault="00FD0399" w:rsidP="00A86EB3">
            <w:pPr>
              <w:pStyle w:val="Tabulka"/>
              <w:rPr>
                <w:rFonts w:cs="Calibri"/>
              </w:rPr>
            </w:pPr>
            <w:r w:rsidRPr="00DD47DF">
              <w:rPr>
                <w:rFonts w:cs="Calibri"/>
              </w:rPr>
              <w:t>Méně rozvinuté regiony</w:t>
            </w:r>
          </w:p>
        </w:tc>
        <w:tc>
          <w:tcPr>
            <w:tcW w:w="474" w:type="pct"/>
            <w:tcBorders>
              <w:top w:val="single" w:sz="4" w:space="0" w:color="000000"/>
              <w:left w:val="single" w:sz="4" w:space="0" w:color="000000"/>
              <w:bottom w:val="single" w:sz="4" w:space="0" w:color="000000"/>
              <w:right w:val="single" w:sz="4" w:space="0" w:color="000000"/>
            </w:tcBorders>
            <w:vAlign w:val="center"/>
          </w:tcPr>
          <w:p w14:paraId="1E6C10A8" w14:textId="77777777" w:rsidR="00272AE4" w:rsidRPr="00DD47DF" w:rsidRDefault="00FD0399" w:rsidP="00A86EB3">
            <w:pPr>
              <w:pStyle w:val="Tabulka"/>
              <w:rPr>
                <w:rFonts w:cs="Calibri"/>
              </w:rPr>
            </w:pPr>
            <w:r w:rsidRPr="00DD47DF">
              <w:rPr>
                <w:rFonts w:cs="Calibri"/>
              </w:rPr>
              <w:t>0</w:t>
            </w:r>
          </w:p>
        </w:tc>
        <w:tc>
          <w:tcPr>
            <w:tcW w:w="468" w:type="pct"/>
            <w:tcBorders>
              <w:top w:val="single" w:sz="4" w:space="0" w:color="000000"/>
              <w:left w:val="single" w:sz="4" w:space="0" w:color="000000"/>
              <w:bottom w:val="single" w:sz="4" w:space="0" w:color="000000"/>
              <w:right w:val="single" w:sz="4" w:space="0" w:color="000000"/>
            </w:tcBorders>
            <w:vAlign w:val="center"/>
          </w:tcPr>
          <w:p w14:paraId="32C7C78C" w14:textId="77777777" w:rsidR="00272AE4" w:rsidRPr="00DD47DF" w:rsidRDefault="00FD0399" w:rsidP="00A86EB3">
            <w:pPr>
              <w:pStyle w:val="Tabulka"/>
              <w:rPr>
                <w:rFonts w:cs="Calibri"/>
              </w:rPr>
            </w:pPr>
            <w:r w:rsidRPr="00DD47DF">
              <w:rPr>
                <w:rFonts w:cs="Calibri"/>
              </w:rPr>
              <w:t>2014</w:t>
            </w:r>
          </w:p>
        </w:tc>
        <w:tc>
          <w:tcPr>
            <w:tcW w:w="513" w:type="pct"/>
            <w:tcBorders>
              <w:top w:val="single" w:sz="4" w:space="0" w:color="000000"/>
              <w:left w:val="single" w:sz="4" w:space="0" w:color="000000"/>
              <w:bottom w:val="single" w:sz="4" w:space="0" w:color="000000"/>
              <w:right w:val="single" w:sz="4" w:space="0" w:color="000000"/>
            </w:tcBorders>
            <w:vAlign w:val="center"/>
          </w:tcPr>
          <w:p w14:paraId="353F2522" w14:textId="0D7696FE" w:rsidR="00272AE4" w:rsidRPr="00DD47DF" w:rsidRDefault="0050432A" w:rsidP="00A86EB3">
            <w:pPr>
              <w:pStyle w:val="Tabulka"/>
              <w:rPr>
                <w:rFonts w:cs="Calibri"/>
              </w:rPr>
            </w:pPr>
            <w:r>
              <w:rPr>
                <w:rFonts w:cs="Calibri"/>
              </w:rPr>
              <w:t>650</w:t>
            </w:r>
          </w:p>
        </w:tc>
        <w:tc>
          <w:tcPr>
            <w:tcW w:w="357" w:type="pct"/>
            <w:tcBorders>
              <w:top w:val="single" w:sz="4" w:space="0" w:color="000000"/>
              <w:left w:val="single" w:sz="4" w:space="0" w:color="000000"/>
              <w:bottom w:val="single" w:sz="4" w:space="0" w:color="000000"/>
              <w:right w:val="single" w:sz="4" w:space="0" w:color="000000"/>
            </w:tcBorders>
            <w:vAlign w:val="center"/>
          </w:tcPr>
          <w:p w14:paraId="52804E52" w14:textId="77777777" w:rsidR="00272AE4" w:rsidRPr="00DD47DF" w:rsidRDefault="005F6D63" w:rsidP="00A86EB3">
            <w:pPr>
              <w:pStyle w:val="Tabulka"/>
              <w:rPr>
                <w:rFonts w:cs="Calibri"/>
              </w:rPr>
            </w:pPr>
            <w:r w:rsidRPr="00DD47DF">
              <w:rPr>
                <w:rFonts w:cs="Calibri"/>
              </w:rPr>
              <w:t>ŘO</w:t>
            </w:r>
          </w:p>
        </w:tc>
        <w:tc>
          <w:tcPr>
            <w:tcW w:w="527" w:type="pct"/>
            <w:tcBorders>
              <w:top w:val="single" w:sz="4" w:space="0" w:color="000000"/>
              <w:left w:val="single" w:sz="4" w:space="0" w:color="000000"/>
              <w:bottom w:val="single" w:sz="4" w:space="0" w:color="000000"/>
              <w:right w:val="single" w:sz="4" w:space="0" w:color="000000"/>
            </w:tcBorders>
            <w:vAlign w:val="center"/>
          </w:tcPr>
          <w:p w14:paraId="1F49947E" w14:textId="77777777" w:rsidR="00272AE4" w:rsidRPr="00DD47DF" w:rsidRDefault="00274100" w:rsidP="00A86EB3">
            <w:pPr>
              <w:pStyle w:val="Tabulka"/>
              <w:rPr>
                <w:rFonts w:cs="Calibri"/>
              </w:rPr>
            </w:pPr>
            <w:r w:rsidRPr="00DD47DF">
              <w:rPr>
                <w:rFonts w:cs="Calibri"/>
              </w:rPr>
              <w:t>ročně</w:t>
            </w:r>
          </w:p>
        </w:tc>
      </w:tr>
    </w:tbl>
    <w:p w14:paraId="7709C326" w14:textId="77777777" w:rsidR="00EC2D25" w:rsidRPr="00DD47DF" w:rsidRDefault="00EC2D25" w:rsidP="00AF242B">
      <w:pPr>
        <w:pStyle w:val="kapitola2A0"/>
        <w:numPr>
          <w:ilvl w:val="2"/>
          <w:numId w:val="67"/>
        </w:numPr>
      </w:pPr>
      <w:bookmarkStart w:id="75" w:name="_Toc520445288"/>
      <w:r w:rsidRPr="00DD47DF">
        <w:t>Opatření, jež má být podpořeno v rámci investiční priority</w:t>
      </w:r>
      <w:bookmarkEnd w:id="75"/>
    </w:p>
    <w:p w14:paraId="4C907F7E" w14:textId="77777777" w:rsidR="0058402E" w:rsidRPr="00DD47DF" w:rsidRDefault="00D479AF" w:rsidP="00A86EB3">
      <w:pPr>
        <w:pStyle w:val="Nadpis5"/>
        <w:numPr>
          <w:ilvl w:val="4"/>
          <w:numId w:val="23"/>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5E77D3D2" w14:textId="77777777" w:rsidR="0058402E" w:rsidRPr="00DD47DF" w:rsidRDefault="000A2EB4" w:rsidP="009912CD">
      <w:pPr>
        <w:pStyle w:val="Standardntext"/>
        <w:rPr>
          <w:b/>
        </w:rPr>
      </w:pPr>
      <w:r w:rsidRPr="00DD47DF">
        <w:rPr>
          <w:b/>
        </w:rPr>
        <w:t>Aktivity pro tento specifický cíl:</w:t>
      </w:r>
    </w:p>
    <w:p w14:paraId="36061155" w14:textId="77777777" w:rsidR="007D0E83" w:rsidRPr="00DD47DF" w:rsidRDefault="007D0E83" w:rsidP="00AF242B">
      <w:pPr>
        <w:pStyle w:val="Standardntext"/>
        <w:numPr>
          <w:ilvl w:val="0"/>
          <w:numId w:val="40"/>
        </w:numPr>
      </w:pPr>
      <w:r w:rsidRPr="00DD47DF">
        <w:lastRenderedPageBreak/>
        <w:t xml:space="preserve">Zavádění inovativních technologií v oblasti nízkouhlíkové dopravy (elektromobilita silničních vozidel), </w:t>
      </w:r>
    </w:p>
    <w:p w14:paraId="21D3AEE4" w14:textId="0D41019E" w:rsidR="007D0E83" w:rsidRPr="00DD47DF" w:rsidRDefault="00290041" w:rsidP="00AF242B">
      <w:pPr>
        <w:pStyle w:val="Standardntext"/>
        <w:numPr>
          <w:ilvl w:val="0"/>
          <w:numId w:val="40"/>
        </w:numPr>
      </w:pPr>
      <w:r w:rsidRPr="00700E39">
        <w:t>projekty zavádění technologií akumulace energie (např. akumulace elektřiny rámci inteligentních sítí a v budovách, akumulace tepla a chladu v budovách, aplikace vodíkových technologií)</w:t>
      </w:r>
      <w:r w:rsidR="007D0E83" w:rsidRPr="00DD47DF">
        <w:t xml:space="preserve">, </w:t>
      </w:r>
    </w:p>
    <w:p w14:paraId="50E91F78" w14:textId="77777777" w:rsidR="007D0E83" w:rsidRPr="00DD47DF" w:rsidRDefault="007D0E83" w:rsidP="00AF242B">
      <w:pPr>
        <w:pStyle w:val="Standardntext"/>
        <w:numPr>
          <w:ilvl w:val="0"/>
          <w:numId w:val="40"/>
        </w:numPr>
      </w:pPr>
      <w:r w:rsidRPr="00DD47DF">
        <w:t>zavádění nízkouhlíkových technologií v budovách (inteligentní prvky řízení budov, integrace OZE do budov, aplikace nových energeticky šetrných materiálů, využití druhotných surovin k udržitelné výstavbě),</w:t>
      </w:r>
    </w:p>
    <w:p w14:paraId="1A6912BE" w14:textId="77777777" w:rsidR="00BF3738" w:rsidRPr="00DD47DF" w:rsidRDefault="00EB01B2" w:rsidP="00AF242B">
      <w:pPr>
        <w:pStyle w:val="Standardntext"/>
        <w:numPr>
          <w:ilvl w:val="0"/>
          <w:numId w:val="40"/>
        </w:numPr>
      </w:pPr>
      <w:r w:rsidRPr="00DD47DF">
        <w:t>zavádění inovativních technologií v oblasti výroby energie z obnovitelných zdrojů</w:t>
      </w:r>
      <w:r w:rsidR="00BF3738" w:rsidRPr="00DD47DF">
        <w:t xml:space="preserve"> (např. využití biometanu),</w:t>
      </w:r>
    </w:p>
    <w:p w14:paraId="4C00B5D3" w14:textId="77777777" w:rsidR="007D0E83" w:rsidRPr="00DD47DF" w:rsidRDefault="007D0E83" w:rsidP="00AF242B">
      <w:pPr>
        <w:pStyle w:val="Standardntext"/>
        <w:numPr>
          <w:ilvl w:val="0"/>
          <w:numId w:val="40"/>
        </w:numPr>
      </w:pPr>
      <w:r w:rsidRPr="00DD47DF">
        <w:t>zavádění off grid systémů (městské a komunitní sítě, ostrovní systémy dodávek energií v budovách),</w:t>
      </w:r>
    </w:p>
    <w:p w14:paraId="524C3F56" w14:textId="77777777" w:rsidR="007D0E83" w:rsidRPr="00DD47DF" w:rsidRDefault="007D0E83" w:rsidP="00AF242B">
      <w:pPr>
        <w:pStyle w:val="Standardntext"/>
        <w:numPr>
          <w:ilvl w:val="0"/>
          <w:numId w:val="40"/>
        </w:numPr>
      </w:pPr>
      <w:r w:rsidRPr="00DD47DF">
        <w:t>zavádění systémů řízení spotřeby energií,</w:t>
      </w:r>
    </w:p>
    <w:p w14:paraId="52269E5B" w14:textId="77777777" w:rsidR="007D0E83" w:rsidRPr="00DD47DF" w:rsidRDefault="007D0E83" w:rsidP="00AF242B">
      <w:pPr>
        <w:pStyle w:val="Standardntext"/>
        <w:numPr>
          <w:ilvl w:val="0"/>
          <w:numId w:val="40"/>
        </w:numPr>
      </w:pPr>
      <w:r w:rsidRPr="00DD47DF">
        <w:t>zavádění inovativních nízkouhlíkatých technologií v oblasti zpracování a využívání druhotných surovin,</w:t>
      </w:r>
    </w:p>
    <w:p w14:paraId="2E95FA47" w14:textId="77777777" w:rsidR="007D0E83" w:rsidRPr="00DD47DF" w:rsidRDefault="007D0E83" w:rsidP="00AF242B">
      <w:pPr>
        <w:pStyle w:val="Standardntext"/>
        <w:numPr>
          <w:ilvl w:val="0"/>
          <w:numId w:val="40"/>
        </w:numPr>
      </w:pPr>
      <w:r w:rsidRPr="00DD47DF">
        <w:t>zavádění technologií k získávání druhotných surovin v kvalitě vhodné pro další využití v průmyslové výrobě např. z použitého papíru, skla, kovů, pneumatik, textilu, plastů, stavebních a demoličních odpadů, vedlejších energetických produktů a řady dalších výrobků s ukončenou životností,</w:t>
      </w:r>
    </w:p>
    <w:p w14:paraId="4AAF3AE0" w14:textId="77777777" w:rsidR="007D0E83" w:rsidRPr="00DD47DF" w:rsidRDefault="007D0E83" w:rsidP="00AF242B">
      <w:pPr>
        <w:pStyle w:val="Standardntext"/>
        <w:numPr>
          <w:ilvl w:val="0"/>
          <w:numId w:val="40"/>
        </w:numPr>
      </w:pPr>
      <w:r w:rsidRPr="00DD47DF">
        <w:t>zavádění technologií, kterými se budou z použitých výrobků získávat efektivním způsobem cenné druhotné suroviny, které jsou v ČR i v EU deficitní (zejména kritické suroviny),</w:t>
      </w:r>
    </w:p>
    <w:p w14:paraId="3F728F59" w14:textId="77777777" w:rsidR="009D1E8F" w:rsidRPr="00DD47DF" w:rsidRDefault="007D0E83" w:rsidP="00AF242B">
      <w:pPr>
        <w:pStyle w:val="Standardntext"/>
        <w:numPr>
          <w:ilvl w:val="0"/>
          <w:numId w:val="40"/>
        </w:numPr>
      </w:pPr>
      <w:r w:rsidRPr="00DD47DF">
        <w:t>zavádění technologií na výrobu inovativních výrobků vyrobených z druhotných surovin, včetně náhrad primárních zdrojů druhotnými surovinami, tam kde je to ekonomicky výhodné</w:t>
      </w:r>
      <w:r w:rsidR="00EB01B2" w:rsidRPr="00DD47DF">
        <w:t>.</w:t>
      </w:r>
    </w:p>
    <w:p w14:paraId="28F2195B" w14:textId="7BF6CA1B" w:rsidR="00896EDF" w:rsidRPr="00DD47DF" w:rsidRDefault="00D83C31" w:rsidP="007D0E83">
      <w:pPr>
        <w:pStyle w:val="Standardntext"/>
      </w:pPr>
      <w:r w:rsidRPr="00700E39">
        <w:t>Typovým projektem v oblasti zavádění nízkouhlíkových technologií v dopravě budou projekty zaměřené na zavádění elektromobility u podnikatelských subjektů tak, aby došlo k žádoucím synergiím s OP Doprava a Integrovaným regionálním operačním programem (blíže viz oddíl 8, resp. Nepovinná příloha č. 4). Způsobilé výdaje budou vynakládány na pořízení souvisejících technologií, dobíjecích stanic případně na možnost úhrady/příspěvku části kupní ceny elektromobilu, která přesahuje průměrnou cenu automobilů se spalovacím motorem. Výstupem projektu bude rozšiřování nabíjecí infrastruktury a počtu elektromobilů v ČR. Úspěšné projekty budou prezentovat elektromobilitu jako nízkoemisní a nízkonákladový dopravní prostředek ve velkých aglomeracích.</w:t>
      </w:r>
    </w:p>
    <w:p w14:paraId="6AC39198" w14:textId="77777777" w:rsidR="007D0E83" w:rsidRPr="00DD47DF" w:rsidRDefault="007D0E83" w:rsidP="007D0E83">
      <w:pPr>
        <w:pStyle w:val="Standardntext"/>
      </w:pPr>
      <w:r w:rsidRPr="00DD47DF">
        <w:t xml:space="preserve">Typovým projektem v oblasti využití druhotných surovin </w:t>
      </w:r>
      <w:r w:rsidR="00101D4E" w:rsidRPr="00DD47DF">
        <w:t>bude</w:t>
      </w:r>
      <w:r w:rsidRPr="00DD47DF">
        <w:t xml:space="preserve"> projekt, při kterém</w:t>
      </w:r>
      <w:r w:rsidR="00101D4E" w:rsidRPr="00DD47DF">
        <w:t xml:space="preserve"> bude</w:t>
      </w:r>
      <w:r w:rsidRPr="00DD47DF">
        <w:t xml:space="preserve"> poskytnuta podpora na pořízení technologie na výrobu inovativních výrobků vyrobených z druhotných surovin.</w:t>
      </w:r>
      <w:r w:rsidR="00101D4E" w:rsidRPr="00DD47DF">
        <w:t xml:space="preserve"> </w:t>
      </w:r>
      <w:r w:rsidRPr="00DD47DF">
        <w:t>Způsobilé výdaje budou veškeré investiční náklady přímo spojené s instalací zařízení.</w:t>
      </w:r>
      <w:r w:rsidR="00101D4E" w:rsidRPr="00DD47DF">
        <w:t xml:space="preserve"> </w:t>
      </w:r>
      <w:r w:rsidRPr="00DD47DF">
        <w:t>Výstupem bude instalovaná moderní technologie na produkci</w:t>
      </w:r>
      <w:r w:rsidR="00F76D49" w:rsidRPr="00DD47DF">
        <w:t xml:space="preserve"> výrobků z druhotných surovin, která povede k jejímu vyššímu využití v rámci podniku.</w:t>
      </w:r>
      <w:r w:rsidRPr="00DD47DF">
        <w:t xml:space="preserve"> </w:t>
      </w:r>
      <w:r w:rsidR="00F76D49" w:rsidRPr="00DD47DF">
        <w:t>Dopad těchto intervencí</w:t>
      </w:r>
      <w:r w:rsidRPr="00DD47DF">
        <w:t xml:space="preserve"> se projeví v úspoře primárních surovin, ve vyšší surovinové bezpečnosti.</w:t>
      </w:r>
    </w:p>
    <w:p w14:paraId="6BB576BE" w14:textId="77777777" w:rsidR="007D0E83" w:rsidRPr="00DD47DF" w:rsidRDefault="007D0E83" w:rsidP="007D0E83">
      <w:pPr>
        <w:pStyle w:val="Standardntext"/>
      </w:pPr>
      <w:r w:rsidRPr="00DD47DF">
        <w:t>Typovým projektem v oblasti inteligentních domů bude realizace stavby, jež bude obsahovat komplex zařízení ob</w:t>
      </w:r>
      <w:r w:rsidR="00101D4E" w:rsidRPr="00DD47DF">
        <w:t>s</w:t>
      </w:r>
      <w:r w:rsidRPr="00DD47DF">
        <w:t xml:space="preserve">ahujících inteligentní řízení, akumulaci energie, integrace OZE, využití </w:t>
      </w:r>
      <w:r w:rsidRPr="00DD47DF">
        <w:lastRenderedPageBreak/>
        <w:t>stavebních materiálů z druhotných surovin atd.)</w:t>
      </w:r>
      <w:r w:rsidR="00101D4E" w:rsidRPr="00DD47DF">
        <w:t xml:space="preserve">. </w:t>
      </w:r>
      <w:r w:rsidRPr="00DD47DF">
        <w:t>Způsobilé výdaje budou veškeré investiční náklady přímo spojené s instalací zařízení.</w:t>
      </w:r>
      <w:r w:rsidR="00101D4E" w:rsidRPr="00DD47DF">
        <w:t xml:space="preserve"> </w:t>
      </w:r>
      <w:r w:rsidRPr="00DD47DF">
        <w:t>Výstupem bude inteligentní budova, jejíž výsledky se projeví v oblasti urychlení zavádění moderních technologií do budov.</w:t>
      </w:r>
    </w:p>
    <w:p w14:paraId="2B9940E6" w14:textId="07DD5FD8" w:rsidR="007D0E83" w:rsidRPr="00DD47DF" w:rsidRDefault="00BB3B1F" w:rsidP="007D0E83">
      <w:pPr>
        <w:pStyle w:val="Standardntext"/>
      </w:pPr>
      <w:r w:rsidRPr="00700E39">
        <w:t>Dalším opatřením v rámci tohoto specifického cíle je rozvoj akumulace elektrické energie na úrovni středního, resp. nízkého napětí. Cílem je aplikace akumulační jednotky (zřejmě bateriového typu) stabilizovat dodávku z decentralizovaných zdrojů energie (FVE, VTE) do distribuční sítě a řešit přetoky do vyšších napěťových úrovní. Mezi technologické prvky akumulace elektrické energie patří nejen samotná bateriová jednotka, ale také řídící jednotka včetně SW přizpůsobení konkrétní aplikace, komunikační jednotka, připojovací kabeláže, měření, apod. Způsobilé výdaje budou veškeré investiční náklady přímo spojené s instalací zařízení. Výstupem projektu bude ověření perspektivní technologie eliminující vlivy decentralizovaných výrobních zdrojů na distribuční soustavu, ověření peak-offpeak arbitráže u zdrojů – řízení spotřeby/dodávky v čase dle potřeb distribuční soustavy a doložené ekonomické porovnání s nutnými investičními náklady do posílení výkonu transformátoru, resp. silového vedení při konvenčním způsobu řešení.</w:t>
      </w:r>
    </w:p>
    <w:p w14:paraId="315B845B" w14:textId="77777777" w:rsidR="00EF6B98" w:rsidRPr="00DD47DF" w:rsidRDefault="00EF6B98" w:rsidP="00EF6B98">
      <w:pPr>
        <w:pStyle w:val="Standardntext"/>
      </w:pPr>
      <w:r w:rsidRPr="00DD47DF">
        <w:t xml:space="preserve">Výstupy </w:t>
      </w:r>
      <w:r w:rsidR="00AE425C" w:rsidRPr="00DD47DF">
        <w:t xml:space="preserve">všech </w:t>
      </w:r>
      <w:r w:rsidRPr="00DD47DF">
        <w:t xml:space="preserve">výše uvedených aktivit přispějí k naplňování výsledků tohoto specifického cíle, tj. rozšíření aplikace </w:t>
      </w:r>
      <w:r w:rsidR="00634DCF" w:rsidRPr="00DD47DF">
        <w:t xml:space="preserve">doposud nevyužívaných </w:t>
      </w:r>
      <w:r w:rsidRPr="00DD47DF">
        <w:t>nízkouhlíkových technologií.</w:t>
      </w:r>
      <w:r w:rsidR="00220F0B" w:rsidRPr="00DD47DF">
        <w:t xml:space="preserve"> </w:t>
      </w:r>
      <w:r w:rsidR="00A976A0" w:rsidRPr="00DD47DF">
        <w:t xml:space="preserve">OP PIK </w:t>
      </w:r>
      <w:r w:rsidR="00A56556" w:rsidRPr="00DD47DF">
        <w:t xml:space="preserve">se </w:t>
      </w:r>
      <w:r w:rsidR="00A976A0" w:rsidRPr="00DD47DF">
        <w:t xml:space="preserve">prostřednictvím tohoto specifického cíle zaměřuje na podporu pilotních projektů v oblasti inovativních nízkouhlíkových technologií, které dosud nebyly v prostředí ČR aplikovány, </w:t>
      </w:r>
      <w:r w:rsidR="00AF242B" w:rsidRPr="00DD47DF">
        <w:t xml:space="preserve">proto </w:t>
      </w:r>
      <w:r w:rsidR="00A976A0" w:rsidRPr="00DD47DF">
        <w:t>je výchozí hodnota pro sledování výsledků stanovena jako nulová.</w:t>
      </w:r>
      <w:r w:rsidR="001E054A" w:rsidRPr="00DD47DF">
        <w:t xml:space="preserve"> Současně je nutné zmínit, že bude kladen důraz na edukační a osvětovou činnost a na šíření poznatků z aplikací inovativních technologií.</w:t>
      </w:r>
    </w:p>
    <w:p w14:paraId="1EF177DE" w14:textId="77777777" w:rsidR="0058402E" w:rsidRPr="00DD47DF" w:rsidRDefault="0058402E" w:rsidP="00D540FC">
      <w:pPr>
        <w:pStyle w:val="Standardntext"/>
      </w:pPr>
      <w:r w:rsidRPr="00DD47DF">
        <w:rPr>
          <w:b/>
          <w:bCs/>
        </w:rPr>
        <w:t xml:space="preserve">Hlavní cílová skupina: </w:t>
      </w:r>
      <w:r w:rsidR="00127389" w:rsidRPr="00DD47DF">
        <w:t>P</w:t>
      </w:r>
      <w:r w:rsidR="00D90173" w:rsidRPr="00DD47DF">
        <w:t xml:space="preserve">odnikatelské subjekty, </w:t>
      </w:r>
      <w:r w:rsidR="00D540FC" w:rsidRPr="00DD47DF">
        <w:t>především MSP, ale i velk</w:t>
      </w:r>
      <w:r w:rsidR="00D90173" w:rsidRPr="00DD47DF">
        <w:t>é</w:t>
      </w:r>
      <w:r w:rsidR="00D540FC" w:rsidRPr="00DD47DF">
        <w:t xml:space="preserve"> podnik</w:t>
      </w:r>
      <w:r w:rsidR="00D90173" w:rsidRPr="00DD47DF">
        <w:t>y</w:t>
      </w:r>
      <w:r w:rsidR="00D540FC" w:rsidRPr="00DD47DF">
        <w:t>, kte</w:t>
      </w:r>
      <w:r w:rsidR="00D90173" w:rsidRPr="00DD47DF">
        <w:t>ré</w:t>
      </w:r>
      <w:r w:rsidR="00D540FC" w:rsidRPr="00DD47DF">
        <w:t xml:space="preserve"> hodlají zavést inovativní nízkouhlíkovou technologii v oblasti nakládání energií, včetně nízkouhlíkové dopravy a zpracování druhotných surovin.</w:t>
      </w:r>
    </w:p>
    <w:p w14:paraId="30904D33" w14:textId="77777777" w:rsidR="0058402E" w:rsidRPr="00DD47DF" w:rsidRDefault="0058402E" w:rsidP="00D540FC">
      <w:pPr>
        <w:pStyle w:val="Standardntext"/>
      </w:pPr>
      <w:r w:rsidRPr="00DD47DF">
        <w:rPr>
          <w:b/>
          <w:bCs/>
        </w:rPr>
        <w:t xml:space="preserve">Cílové území: </w:t>
      </w:r>
      <w:r w:rsidR="001E0AA2" w:rsidRPr="00DD47DF">
        <w:t>Území České republiky, mimo území hl. m. Prahy.</w:t>
      </w:r>
      <w:r w:rsidR="00015039" w:rsidRPr="00DD47DF">
        <w:t xml:space="preserve"> Předpokládá se plošné směrování intervencí bez vymezení územní dimenze.</w:t>
      </w:r>
    </w:p>
    <w:p w14:paraId="2AEE774B" w14:textId="77777777" w:rsidR="0058402E" w:rsidRPr="00DD47DF" w:rsidRDefault="0058402E" w:rsidP="00D540FC">
      <w:pPr>
        <w:pStyle w:val="Standardntext"/>
      </w:pPr>
      <w:r w:rsidRPr="00DD47DF">
        <w:rPr>
          <w:b/>
          <w:bCs/>
        </w:rPr>
        <w:t xml:space="preserve">Typy příjemců: </w:t>
      </w:r>
      <w:r w:rsidRPr="00DD47DF">
        <w:t>Podnikatelské subjekty (malé, střední a případně velké podniky)</w:t>
      </w:r>
      <w:r w:rsidR="00D81209" w:rsidRPr="00DD47DF">
        <w:t xml:space="preserve">. </w:t>
      </w:r>
      <w:r w:rsidR="00E873A7" w:rsidRPr="00DD47DF">
        <w:t xml:space="preserve">V tomto specifickém cíli se předpokládá účast velkých podniků (dle čl. 3 odst. 1 písm. b) nařízení o EFRR), neboť </w:t>
      </w:r>
      <w:r w:rsidR="00082BCC" w:rsidRPr="00DD47DF">
        <w:t>představují</w:t>
      </w:r>
      <w:r w:rsidR="00802F4D" w:rsidRPr="00DD47DF">
        <w:t xml:space="preserve"> významnou cílovou skupinou pro zavádění nízkouhlíkových technologií z hlediska snížení negativního dopadu jejich činnosti na životní prostředí. To je dáno jednak rozsahem tohoto dopadu vzhledem k velikosti jejich produkce (velký potenciál ke zlepšení), a</w:t>
      </w:r>
      <w:r w:rsidR="00082BCC" w:rsidRPr="00DD47DF">
        <w:t>le</w:t>
      </w:r>
      <w:r w:rsidR="00802F4D" w:rsidRPr="00DD47DF">
        <w:t xml:space="preserve"> také tím, že řada velkých podniků má starší technologické vybavení a nevhodnou infrastrukturu přinášející zbytečnou ekologickou zátěž.</w:t>
      </w:r>
      <w:r w:rsidR="00E873A7" w:rsidRPr="00DD47DF">
        <w:t xml:space="preserve"> </w:t>
      </w:r>
    </w:p>
    <w:p w14:paraId="196342F4" w14:textId="77777777" w:rsidR="0058402E" w:rsidRPr="00DD47DF" w:rsidRDefault="00BA6461" w:rsidP="005F43DF">
      <w:pPr>
        <w:pStyle w:val="Nadpis5"/>
        <w:numPr>
          <w:ilvl w:val="4"/>
          <w:numId w:val="23"/>
        </w:numPr>
      </w:pPr>
      <w:r w:rsidRPr="00DD47DF">
        <w:t>Hlavní zásady pro výběr operací</w:t>
      </w:r>
    </w:p>
    <w:p w14:paraId="100C41CB" w14:textId="77777777" w:rsidR="0042487A" w:rsidRPr="00DD47DF" w:rsidRDefault="00FE3385" w:rsidP="0042487A">
      <w:pPr>
        <w:pStyle w:val="Standardntext"/>
      </w:pPr>
      <w:r w:rsidRPr="00DD47DF">
        <w:t>Společné obecné zásady pro výběr operací pro všechny investiční priority celého OP PIK jsou uvedeny v prioritní ose 1 v oddíle 2.A.6.2.</w:t>
      </w:r>
    </w:p>
    <w:p w14:paraId="4144B03C" w14:textId="77777777" w:rsidR="00C0640C" w:rsidRPr="00DD47DF" w:rsidRDefault="00C0640C" w:rsidP="00C0640C">
      <w:pPr>
        <w:pStyle w:val="Standardntext"/>
      </w:pPr>
      <w:r w:rsidRPr="00DD47DF">
        <w:t>V rámci výběru a hodnocení projektů budou posuzována především následující kritéria:</w:t>
      </w:r>
    </w:p>
    <w:p w14:paraId="0329BD13" w14:textId="77777777" w:rsidR="00C0640C" w:rsidRPr="00DD47DF" w:rsidRDefault="00C0640C" w:rsidP="00AF242B">
      <w:pPr>
        <w:pStyle w:val="Standardntext"/>
        <w:numPr>
          <w:ilvl w:val="0"/>
          <w:numId w:val="43"/>
        </w:numPr>
      </w:pPr>
      <w:r w:rsidRPr="00DD47DF">
        <w:t xml:space="preserve">Kvalita a potřebnost projektu </w:t>
      </w:r>
      <w:r w:rsidR="00DC4382" w:rsidRPr="00DD47DF">
        <w:t>s ohledem na jejich inovativní přínosy a ekonomickou efektivnost.</w:t>
      </w:r>
    </w:p>
    <w:p w14:paraId="73473C1E" w14:textId="77777777" w:rsidR="00A61EA1" w:rsidRPr="00DD47DF" w:rsidRDefault="00A61EA1" w:rsidP="00AF242B">
      <w:pPr>
        <w:pStyle w:val="Standardntext"/>
        <w:numPr>
          <w:ilvl w:val="0"/>
          <w:numId w:val="43"/>
        </w:numPr>
      </w:pPr>
      <w:r w:rsidRPr="00DD47DF">
        <w:t xml:space="preserve">Vliv projektů SC 3.4 z hlediska životní prostředí bude </w:t>
      </w:r>
      <w:r w:rsidR="00D5203D" w:rsidRPr="00DD47DF">
        <w:t xml:space="preserve">na projektové úrovni </w:t>
      </w:r>
      <w:r w:rsidRPr="00DD47DF">
        <w:t>sledován prostřednictvím indikátoru „Aplikované inovativní nízkouhlíkové technologie“</w:t>
      </w:r>
      <w:r w:rsidR="00C306CB" w:rsidRPr="00DD47DF">
        <w:t xml:space="preserve"> (2 17 </w:t>
      </w:r>
      <w:r w:rsidR="00C306CB" w:rsidRPr="00DD47DF">
        <w:lastRenderedPageBreak/>
        <w:t>10)</w:t>
      </w:r>
      <w:r w:rsidRPr="00DD47DF">
        <w:t>. Tento environmentální indikátor bude dále agregován pro potřeby Dohody o partnerství.</w:t>
      </w:r>
    </w:p>
    <w:p w14:paraId="0EDA5047" w14:textId="77777777" w:rsidR="000B12B7" w:rsidRPr="00DD47DF" w:rsidRDefault="000B12B7" w:rsidP="00AF242B">
      <w:pPr>
        <w:pStyle w:val="Standardntext"/>
        <w:numPr>
          <w:ilvl w:val="0"/>
          <w:numId w:val="43"/>
        </w:numPr>
      </w:pPr>
      <w:r w:rsidRPr="00DD47DF">
        <w:t xml:space="preserve">V případě zavádění inovativní technologií do budov budou </w:t>
      </w:r>
      <w:r w:rsidRPr="00DD47DF">
        <w:rPr>
          <w:bCs/>
        </w:rPr>
        <w:t>podporovány ukázkové šetrné budovy, které budou koncipovány po stavební stránce v minimálně pasivně energetickém standardu. Technologicky půjde o budovu s vysoce účinnými systémy pro vytváření zdravého a komfortního vnitřního prostředí. Součástí konceptu bude též chytré řízení a sběr dat o provozu takových systémů. Výstavba a provoz bude zásadně minimalizovat celkový dopad na životní prostředí a na čerpání surovinových zdrojů včetně pitné vody.</w:t>
      </w:r>
      <w:r w:rsidRPr="00DD47DF" w:rsidDel="003409F7">
        <w:t xml:space="preserve"> </w:t>
      </w:r>
    </w:p>
    <w:p w14:paraId="68466445" w14:textId="77777777" w:rsidR="000B12B7" w:rsidRPr="00DD47DF" w:rsidRDefault="000B12B7" w:rsidP="00AF242B">
      <w:pPr>
        <w:pStyle w:val="Standardntext"/>
        <w:numPr>
          <w:ilvl w:val="0"/>
          <w:numId w:val="43"/>
        </w:numPr>
      </w:pPr>
      <w:r w:rsidRPr="00DD47DF">
        <w:t>Projekt nesmí být financován provozní podporou obnovitelných zdrojů energie.</w:t>
      </w:r>
    </w:p>
    <w:p w14:paraId="6F8198E9" w14:textId="77777777" w:rsidR="000B12B7" w:rsidRPr="00DD47DF" w:rsidRDefault="000B12B7" w:rsidP="00AF242B">
      <w:pPr>
        <w:pStyle w:val="Standardntext"/>
        <w:numPr>
          <w:ilvl w:val="0"/>
          <w:numId w:val="43"/>
        </w:numPr>
      </w:pPr>
      <w:r w:rsidRPr="00DD47DF">
        <w:t>Podporovány budou projekty s vysokou mírou účinnosti.</w:t>
      </w:r>
    </w:p>
    <w:p w14:paraId="59D4076C" w14:textId="77777777" w:rsidR="000B12B7" w:rsidRPr="00DD47DF" w:rsidRDefault="000B12B7" w:rsidP="00AF242B">
      <w:pPr>
        <w:pStyle w:val="Standardntext"/>
        <w:numPr>
          <w:ilvl w:val="0"/>
          <w:numId w:val="43"/>
        </w:numPr>
      </w:pPr>
      <w:r w:rsidRPr="00DD47DF">
        <w:t>Při hodnocení míry inovativnosti, respektive způsobilosti projektu do tohoto specifického cíle bude aplikováno hodnocení Technology Readiness Level (TRL, Úroveň připravenosti technologie). Podpořeny budou projekty níže uvedených úrovní:</w:t>
      </w:r>
    </w:p>
    <w:p w14:paraId="362D9FEA" w14:textId="77777777" w:rsidR="000B12B7" w:rsidRPr="00DD47DF" w:rsidRDefault="000B12B7" w:rsidP="00D927A2">
      <w:pPr>
        <w:pStyle w:val="Standardntext"/>
        <w:numPr>
          <w:ilvl w:val="1"/>
          <w:numId w:val="43"/>
        </w:numPr>
      </w:pPr>
      <w:r w:rsidRPr="00DD47DF">
        <w:t>TRL 5 – technologie ověřena v relevantním prostředí (průmyslově významné prostředí v případě klíčových technologií)</w:t>
      </w:r>
    </w:p>
    <w:p w14:paraId="0F5C9A25" w14:textId="77777777" w:rsidR="000B12B7" w:rsidRPr="00DD47DF" w:rsidRDefault="000B12B7" w:rsidP="00D927A2">
      <w:pPr>
        <w:pStyle w:val="Standardntext"/>
        <w:numPr>
          <w:ilvl w:val="1"/>
          <w:numId w:val="43"/>
        </w:numPr>
      </w:pPr>
      <w:r w:rsidRPr="00DD47DF">
        <w:t>TRL 6 – technologie demonstrována v daném prostředí (průmyslově významné prostředí v případě klíčových technologií)</w:t>
      </w:r>
    </w:p>
    <w:p w14:paraId="6E923184" w14:textId="77777777" w:rsidR="000B12B7" w:rsidRPr="00DD47DF" w:rsidRDefault="000B12B7" w:rsidP="00D927A2">
      <w:pPr>
        <w:pStyle w:val="Standardntext"/>
        <w:numPr>
          <w:ilvl w:val="1"/>
          <w:numId w:val="43"/>
        </w:numPr>
      </w:pPr>
      <w:r w:rsidRPr="00DD47DF">
        <w:t>TRL 7 – demonstrace systémového prototypu v provozním prostředí</w:t>
      </w:r>
    </w:p>
    <w:p w14:paraId="79827801" w14:textId="77777777" w:rsidR="000B12B7" w:rsidRPr="00DD47DF" w:rsidRDefault="000B12B7" w:rsidP="00D927A2">
      <w:pPr>
        <w:pStyle w:val="Standardntext"/>
        <w:numPr>
          <w:ilvl w:val="1"/>
          <w:numId w:val="43"/>
        </w:numPr>
      </w:pPr>
      <w:r w:rsidRPr="00DD47DF">
        <w:t>TRL 8 – systém kompletní a kvalifikovaný</w:t>
      </w:r>
    </w:p>
    <w:p w14:paraId="1D42C3AA" w14:textId="77777777" w:rsidR="000B12B7" w:rsidRPr="00DD47DF" w:rsidRDefault="000B12B7" w:rsidP="00D927A2">
      <w:pPr>
        <w:pStyle w:val="Standardntext"/>
        <w:numPr>
          <w:ilvl w:val="1"/>
          <w:numId w:val="43"/>
        </w:numPr>
      </w:pPr>
      <w:r w:rsidRPr="00DD47DF">
        <w:t>TRL 9 – existující systém byl ověřen v provozním prostředí</w:t>
      </w:r>
      <w:r w:rsidR="008336D9" w:rsidRPr="00DD47DF">
        <w:t>.</w:t>
      </w:r>
    </w:p>
    <w:p w14:paraId="255909A1" w14:textId="77777777" w:rsidR="00C0640C" w:rsidRPr="00DD47DF" w:rsidRDefault="00C0640C" w:rsidP="00D927A2">
      <w:pPr>
        <w:pStyle w:val="Standardntext"/>
        <w:numPr>
          <w:ilvl w:val="0"/>
          <w:numId w:val="43"/>
        </w:numPr>
      </w:pPr>
      <w:r w:rsidRPr="00DD47DF">
        <w:t xml:space="preserve">Soulad projektu s horizontálními principy, mezi něž patří udržitelný rozvoj, rovné příležitosti a ochrana před diskriminací. Projekt, který bude v rozporu s těmito principy, nebude v rámci OP PIK podpořen (blíže viz oddíl 11). </w:t>
      </w:r>
    </w:p>
    <w:p w14:paraId="63D33A28" w14:textId="77777777" w:rsidR="001E054A" w:rsidRPr="00DD47DF" w:rsidRDefault="001E054A" w:rsidP="00D927A2">
      <w:pPr>
        <w:pStyle w:val="Standardntext"/>
        <w:numPr>
          <w:ilvl w:val="0"/>
          <w:numId w:val="43"/>
        </w:numPr>
      </w:pPr>
      <w:r w:rsidRPr="00DD47DF">
        <w:t>Podpořené projekty budou mít povinnost realizovat diseminační aktivity, např.: uspořádat veřejnou akci (konferenci, seminář, workshop atd.) tematicky zaměřenou na předmětnou inovativní technologii. Dále budou muset zpracovat a veřejně zpřístupnit odbornou publikaci/metodiku, která bude podrobně popisovat předmětnou technologii, konkrétní způsob její aplikace v projektu, výhody, nevýhody, doporučení dalším případným zájemcům apod.</w:t>
      </w:r>
    </w:p>
    <w:p w14:paraId="396AF41D" w14:textId="77777777" w:rsidR="00192F36" w:rsidRPr="00DD47DF" w:rsidRDefault="00192F36" w:rsidP="00D927A2">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5723BF5F" w14:textId="77777777" w:rsidR="0058402E" w:rsidRPr="00DD47DF" w:rsidRDefault="00BA6461" w:rsidP="005F43DF">
      <w:pPr>
        <w:pStyle w:val="Nadpis5"/>
        <w:numPr>
          <w:ilvl w:val="4"/>
          <w:numId w:val="23"/>
        </w:numPr>
        <w:rPr>
          <w:rFonts w:cs="Calibri"/>
        </w:rPr>
      </w:pPr>
      <w:r w:rsidRPr="00DD47DF">
        <w:t>Plánované využití finančních nástrojů (použije-li se)</w:t>
      </w:r>
    </w:p>
    <w:p w14:paraId="11717A41" w14:textId="77777777" w:rsidR="0058402E" w:rsidRPr="00DD47DF" w:rsidRDefault="00DC5013" w:rsidP="002A4D1D">
      <w:pPr>
        <w:pStyle w:val="Standardntext"/>
        <w:rPr>
          <w:color w:val="FF0000"/>
        </w:rPr>
      </w:pPr>
      <w:r w:rsidRPr="00DD47DF">
        <w:t xml:space="preserve">Řídící orgán nepředpokládá využití finančních nástrojů v této investiční prioritě. </w:t>
      </w:r>
      <w:r w:rsidR="006F58B4" w:rsidRPr="00DD47DF">
        <w:t>Detaily</w:t>
      </w:r>
      <w:r w:rsidRPr="00DD47DF">
        <w:t xml:space="preserve"> stanoví konečná verze předběžného posouzení finančních nástrojů OP PIK dle čl. 37 odst. 2 obecného nařízení, které provede ŘO OP PIK, případně jeho revize podle čl. 37 odst. 2 písm. g) obecného nařízení.</w:t>
      </w:r>
    </w:p>
    <w:p w14:paraId="496BC1D1" w14:textId="77777777" w:rsidR="0058402E" w:rsidRPr="00DD47DF" w:rsidRDefault="00BA6461" w:rsidP="005F43DF">
      <w:pPr>
        <w:pStyle w:val="Nadpis5"/>
        <w:numPr>
          <w:ilvl w:val="4"/>
          <w:numId w:val="23"/>
        </w:numPr>
      </w:pPr>
      <w:r w:rsidRPr="00DD47DF">
        <w:lastRenderedPageBreak/>
        <w:t>Plánované využití velkých projektů (použije-li se)</w:t>
      </w:r>
    </w:p>
    <w:p w14:paraId="45F73D3A" w14:textId="77777777" w:rsidR="002A4D1D" w:rsidRPr="00DD47DF" w:rsidRDefault="002A4D1D" w:rsidP="002A4D1D">
      <w:pPr>
        <w:pStyle w:val="Standardntext"/>
      </w:pPr>
      <w:r w:rsidRPr="00DD47DF">
        <w:t xml:space="preserve">Velké projekty ve smyslu čl. </w:t>
      </w:r>
      <w:r w:rsidR="008F52F8" w:rsidRPr="00DD47DF">
        <w:t>10</w:t>
      </w:r>
      <w:r w:rsidRPr="00DD47DF">
        <w:t>0 obecného nařízení nejsou plánovány.</w:t>
      </w:r>
    </w:p>
    <w:p w14:paraId="38F4ACCB" w14:textId="77777777" w:rsidR="0058402E" w:rsidRPr="00DD47DF" w:rsidRDefault="00BA6461" w:rsidP="001049C5">
      <w:pPr>
        <w:pStyle w:val="Nadpis5"/>
        <w:numPr>
          <w:ilvl w:val="4"/>
          <w:numId w:val="23"/>
        </w:numPr>
      </w:pPr>
      <w:r w:rsidRPr="00DD47DF">
        <w:t>Ukazatele výstupů podle investiční priority a případně podle kategorie regionů</w:t>
      </w:r>
    </w:p>
    <w:p w14:paraId="1D95AF9B" w14:textId="77777777" w:rsidR="0058402E" w:rsidRPr="00DD47DF" w:rsidRDefault="0058402E" w:rsidP="001049C5">
      <w:pPr>
        <w:pStyle w:val="Titulek"/>
        <w:keepNext/>
        <w:keepLines/>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480"/>
        <w:gridCol w:w="2257"/>
        <w:gridCol w:w="1095"/>
        <w:gridCol w:w="665"/>
        <w:gridCol w:w="1300"/>
        <w:gridCol w:w="1253"/>
        <w:gridCol w:w="997"/>
        <w:gridCol w:w="1279"/>
      </w:tblGrid>
      <w:tr w:rsidR="001B2E5C" w:rsidRPr="00DD47DF" w14:paraId="551138E5" w14:textId="77777777">
        <w:trPr>
          <w:trHeight w:hRule="exact" w:val="1044"/>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27E8835" w14:textId="77777777" w:rsidR="001B2E5C" w:rsidRPr="00DD47DF" w:rsidRDefault="001B2E5C" w:rsidP="001B2E5C">
            <w:pPr>
              <w:pStyle w:val="Tabulka"/>
              <w:rPr>
                <w:rFonts w:cs="Calibri"/>
                <w:b/>
              </w:rPr>
            </w:pPr>
            <w:r w:rsidRPr="00DD47DF">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B3C03E4" w14:textId="77777777" w:rsidR="001B2E5C" w:rsidRPr="00DD47DF" w:rsidRDefault="001B2E5C" w:rsidP="001B2E5C">
            <w:pPr>
              <w:pStyle w:val="Tabulka"/>
              <w:rPr>
                <w:rFonts w:cs="Calibri"/>
                <w:b/>
              </w:rPr>
            </w:pPr>
            <w:r w:rsidRPr="00DD47DF">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86E02DD" w14:textId="77777777" w:rsidR="001B2E5C" w:rsidRPr="00DD47DF" w:rsidRDefault="001B2E5C" w:rsidP="001B2E5C">
            <w:pPr>
              <w:pStyle w:val="Tabulka"/>
              <w:rPr>
                <w:rFonts w:cs="Calibri"/>
                <w:b/>
              </w:rPr>
            </w:pPr>
            <w:r w:rsidRPr="00DD47DF">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5F70CB99" w14:textId="77777777" w:rsidR="001B2E5C" w:rsidRPr="00DD47DF" w:rsidRDefault="001B2E5C" w:rsidP="001B2E5C">
            <w:pPr>
              <w:pStyle w:val="Tabulka"/>
              <w:rPr>
                <w:rFonts w:cs="Calibri"/>
                <w:b/>
              </w:rPr>
            </w:pPr>
            <w:r w:rsidRPr="00DD47DF">
              <w:rPr>
                <w:rFonts w:cs="Calibri"/>
                <w:b/>
              </w:rPr>
              <w:t>Fond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53F9B54" w14:textId="77777777" w:rsidR="001B2E5C" w:rsidRPr="00DD47DF" w:rsidRDefault="001B2E5C" w:rsidP="001B2E5C">
            <w:pPr>
              <w:pStyle w:val="Tabulka"/>
              <w:rPr>
                <w:rFonts w:cs="Calibri"/>
                <w:b/>
              </w:rPr>
            </w:pPr>
            <w:r w:rsidRPr="00DD47DF">
              <w:rPr>
                <w:rFonts w:cs="Calibri"/>
                <w:b/>
              </w:rPr>
              <w:t>Kategorie regionu</w:t>
            </w:r>
          </w:p>
        </w:tc>
        <w:tc>
          <w:tcPr>
            <w:tcW w:w="1253"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436AAD2" w14:textId="77777777" w:rsidR="001B2E5C" w:rsidRPr="00DD47DF" w:rsidRDefault="001B2E5C" w:rsidP="00956C4F">
            <w:pPr>
              <w:pStyle w:val="Tabulka"/>
              <w:rPr>
                <w:rFonts w:cs="Calibri"/>
                <w:b/>
              </w:rPr>
            </w:pPr>
            <w:r w:rsidRPr="00DD47DF">
              <w:rPr>
                <w:rFonts w:cs="Calibri"/>
                <w:b/>
              </w:rPr>
              <w:t>Cílová hodnota</w:t>
            </w:r>
            <w:r w:rsidR="00956C4F" w:rsidRPr="00DD47DF">
              <w:rPr>
                <w:rFonts w:cs="Calibri"/>
                <w:b/>
              </w:rPr>
              <w:t xml:space="preserve"> </w:t>
            </w:r>
            <w:r w:rsidRPr="00DD47DF">
              <w:rPr>
                <w:rFonts w:cs="Calibri"/>
                <w:b/>
              </w:rPr>
              <w:t>(2023)</w:t>
            </w:r>
          </w:p>
        </w:tc>
        <w:tc>
          <w:tcPr>
            <w:tcW w:w="665"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0443B2A" w14:textId="77777777" w:rsidR="001B2E5C" w:rsidRPr="00DD47DF" w:rsidRDefault="001B2E5C" w:rsidP="001B2E5C">
            <w:pPr>
              <w:pStyle w:val="Tabulka"/>
              <w:rPr>
                <w:rFonts w:cs="Calibri"/>
                <w:b/>
              </w:rPr>
            </w:pPr>
            <w:r w:rsidRPr="00DD47DF">
              <w:rPr>
                <w:rFonts w:cs="Calibri"/>
                <w:b/>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49EA449" w14:textId="77777777" w:rsidR="001B2E5C" w:rsidRPr="00DD47DF" w:rsidRDefault="001B2E5C" w:rsidP="001B2E5C">
            <w:pPr>
              <w:pStyle w:val="Tabulka"/>
              <w:rPr>
                <w:rFonts w:cs="Calibri"/>
                <w:b/>
              </w:rPr>
            </w:pPr>
            <w:r w:rsidRPr="00DD47DF">
              <w:rPr>
                <w:rFonts w:cs="Calibri"/>
                <w:b/>
              </w:rPr>
              <w:t>Četnost podávání zpráv</w:t>
            </w:r>
          </w:p>
        </w:tc>
      </w:tr>
      <w:tr w:rsidR="00F94124" w:rsidRPr="00DD47DF" w14:paraId="3B8F13C9"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10C081C3" w14:textId="6FCB6216" w:rsidR="00F94124" w:rsidRPr="00DD47DF" w:rsidRDefault="00C75691" w:rsidP="007E38FF">
            <w:pPr>
              <w:pStyle w:val="Tabulka"/>
              <w:rPr>
                <w:rFonts w:cs="Calibri"/>
              </w:rPr>
            </w:pPr>
            <w:r w:rsidRPr="00DD47DF">
              <w:rPr>
                <w:rFonts w:cs="Calibri"/>
              </w:rPr>
              <w:t xml:space="preserve">CO </w:t>
            </w:r>
            <w:r w:rsidR="00223936" w:rsidRPr="00DD47DF">
              <w:rPr>
                <w:rFonts w:cs="Calibri"/>
              </w:rPr>
              <w:t>0</w:t>
            </w:r>
            <w:r w:rsidR="00F94124" w:rsidRPr="00DD47DF">
              <w:rPr>
                <w:rFonts w:cs="Calibri"/>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443EBDC7" w14:textId="77777777" w:rsidR="00F94124" w:rsidRPr="00DD47DF" w:rsidRDefault="00F94124" w:rsidP="007E38FF">
            <w:pPr>
              <w:pStyle w:val="Tabulka"/>
              <w:jc w:val="left"/>
              <w:rPr>
                <w:rFonts w:cs="Calibri"/>
              </w:rPr>
            </w:pPr>
            <w:r w:rsidRPr="00DD47DF">
              <w:rPr>
                <w:rFonts w:cs="Calibri"/>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36034E04" w14:textId="77777777" w:rsidR="00F94124" w:rsidRPr="00DD47DF" w:rsidRDefault="00F94124" w:rsidP="007E38FF">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37D4B74F" w14:textId="77777777" w:rsidR="00F94124" w:rsidRPr="00DD47DF" w:rsidRDefault="00F94124" w:rsidP="007E38FF">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768932F4" w14:textId="77777777" w:rsidR="00F94124" w:rsidRPr="00DD47DF" w:rsidRDefault="00F94124" w:rsidP="007E38FF">
            <w:pPr>
              <w:pStyle w:val="Tabulka"/>
              <w:rPr>
                <w:rFonts w:cs="Calibri"/>
              </w:rPr>
            </w:pPr>
            <w:r w:rsidRPr="00DD47DF">
              <w:rPr>
                <w:rFonts w:cs="Calibri"/>
              </w:rPr>
              <w:t>Méně rozvinuté regiony</w:t>
            </w:r>
          </w:p>
        </w:tc>
        <w:tc>
          <w:tcPr>
            <w:tcW w:w="1253" w:type="dxa"/>
            <w:tcBorders>
              <w:top w:val="single" w:sz="4" w:space="0" w:color="000000"/>
              <w:left w:val="single" w:sz="4" w:space="0" w:color="000000"/>
              <w:bottom w:val="single" w:sz="4" w:space="0" w:color="000000"/>
              <w:right w:val="single" w:sz="4" w:space="0" w:color="000000"/>
            </w:tcBorders>
            <w:vAlign w:val="center"/>
          </w:tcPr>
          <w:p w14:paraId="0874B201" w14:textId="52B2A953" w:rsidR="00F94124" w:rsidRPr="00DD47DF" w:rsidRDefault="004A3B8E" w:rsidP="00994365">
            <w:pPr>
              <w:pStyle w:val="Tabulka"/>
              <w:rPr>
                <w:rFonts w:cs="Calibri"/>
              </w:rPr>
            </w:pPr>
            <w:r>
              <w:rPr>
                <w:rFonts w:cs="Calibri"/>
              </w:rPr>
              <w:t>600</w:t>
            </w:r>
          </w:p>
        </w:tc>
        <w:tc>
          <w:tcPr>
            <w:tcW w:w="665" w:type="dxa"/>
            <w:tcBorders>
              <w:top w:val="single" w:sz="4" w:space="0" w:color="000000"/>
              <w:left w:val="single" w:sz="4" w:space="0" w:color="000000"/>
              <w:bottom w:val="single" w:sz="4" w:space="0" w:color="000000"/>
              <w:right w:val="single" w:sz="4" w:space="0" w:color="000000"/>
            </w:tcBorders>
            <w:vAlign w:val="center"/>
          </w:tcPr>
          <w:p w14:paraId="7FDD9179" w14:textId="77777777" w:rsidR="00F94124" w:rsidRPr="00DD47DF" w:rsidRDefault="00FC7054" w:rsidP="007E38FF">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7222C93D" w14:textId="77777777" w:rsidR="00F94124" w:rsidRPr="00DD47DF" w:rsidRDefault="00FC7054" w:rsidP="007E38FF">
            <w:pPr>
              <w:pStyle w:val="Tabulka"/>
              <w:rPr>
                <w:rFonts w:cs="Calibri"/>
              </w:rPr>
            </w:pPr>
            <w:r>
              <w:rPr>
                <w:rFonts w:cs="Calibri"/>
              </w:rPr>
              <w:t>průběžně</w:t>
            </w:r>
          </w:p>
        </w:tc>
      </w:tr>
      <w:tr w:rsidR="00F94124" w:rsidRPr="00DD47DF" w14:paraId="7FE06C79"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7AF6CBC6" w14:textId="687ED5DC" w:rsidR="00F94124" w:rsidRPr="00DD47DF" w:rsidRDefault="00C75691" w:rsidP="007E38FF">
            <w:pPr>
              <w:pStyle w:val="Tabulka"/>
              <w:rPr>
                <w:rFonts w:cs="Calibri"/>
              </w:rPr>
            </w:pPr>
            <w:r w:rsidRPr="00DD47DF">
              <w:rPr>
                <w:rFonts w:cs="Calibri"/>
              </w:rPr>
              <w:t xml:space="preserve">CO </w:t>
            </w:r>
            <w:r w:rsidR="00223936" w:rsidRPr="00DD47DF">
              <w:rPr>
                <w:rFonts w:cs="Calibri"/>
              </w:rPr>
              <w:t>0</w:t>
            </w:r>
            <w:r w:rsidR="00F94124" w:rsidRPr="00DD47DF">
              <w:rPr>
                <w:rFonts w:cs="Calibri"/>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68F46F40" w14:textId="77777777" w:rsidR="00F94124" w:rsidRPr="00DD47DF" w:rsidRDefault="00F94124" w:rsidP="007E38FF">
            <w:pPr>
              <w:pStyle w:val="Tabulka"/>
              <w:jc w:val="left"/>
              <w:rPr>
                <w:rFonts w:cs="Calibri"/>
              </w:rPr>
            </w:pPr>
            <w:r w:rsidRPr="00DD47DF">
              <w:rPr>
                <w:rFonts w:cs="Calibri"/>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045CE210" w14:textId="77777777" w:rsidR="00F94124" w:rsidRPr="00DD47DF" w:rsidRDefault="00F94124" w:rsidP="007E38FF">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7A59444B" w14:textId="77777777" w:rsidR="00F94124" w:rsidRPr="00DD47DF" w:rsidRDefault="00F94124" w:rsidP="007E38FF">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4D9DF232" w14:textId="77777777" w:rsidR="00F94124" w:rsidRPr="00DD47DF" w:rsidRDefault="00F94124" w:rsidP="007E38FF">
            <w:pPr>
              <w:pStyle w:val="Tabulka"/>
              <w:rPr>
                <w:rFonts w:cs="Calibri"/>
              </w:rPr>
            </w:pPr>
            <w:r w:rsidRPr="00DD47DF">
              <w:rPr>
                <w:rFonts w:cs="Calibri"/>
              </w:rPr>
              <w:t>Méně rozvinuté regiony</w:t>
            </w:r>
          </w:p>
        </w:tc>
        <w:tc>
          <w:tcPr>
            <w:tcW w:w="1253" w:type="dxa"/>
            <w:tcBorders>
              <w:top w:val="single" w:sz="4" w:space="0" w:color="000000"/>
              <w:left w:val="single" w:sz="4" w:space="0" w:color="000000"/>
              <w:bottom w:val="single" w:sz="4" w:space="0" w:color="000000"/>
              <w:right w:val="single" w:sz="4" w:space="0" w:color="000000"/>
            </w:tcBorders>
            <w:vAlign w:val="center"/>
          </w:tcPr>
          <w:p w14:paraId="3F61593B" w14:textId="2B16B669" w:rsidR="00F94124" w:rsidRPr="00DD47DF" w:rsidRDefault="004A3B8E" w:rsidP="00994365">
            <w:pPr>
              <w:pStyle w:val="Tabulka"/>
              <w:rPr>
                <w:rFonts w:cs="Calibri"/>
              </w:rPr>
            </w:pPr>
            <w:r>
              <w:rPr>
                <w:rFonts w:cs="Calibri"/>
              </w:rPr>
              <w:t>600</w:t>
            </w:r>
          </w:p>
        </w:tc>
        <w:tc>
          <w:tcPr>
            <w:tcW w:w="665" w:type="dxa"/>
            <w:tcBorders>
              <w:top w:val="single" w:sz="4" w:space="0" w:color="000000"/>
              <w:left w:val="single" w:sz="4" w:space="0" w:color="000000"/>
              <w:bottom w:val="single" w:sz="4" w:space="0" w:color="000000"/>
              <w:right w:val="single" w:sz="4" w:space="0" w:color="000000"/>
            </w:tcBorders>
            <w:vAlign w:val="center"/>
          </w:tcPr>
          <w:p w14:paraId="14A909F2" w14:textId="77777777" w:rsidR="00F94124" w:rsidRPr="00DD47DF" w:rsidRDefault="00FC7054" w:rsidP="007E38FF">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33EF56C4" w14:textId="77777777" w:rsidR="00F94124" w:rsidRPr="00DD47DF" w:rsidRDefault="00FC7054" w:rsidP="007E38FF">
            <w:pPr>
              <w:pStyle w:val="Tabulka"/>
              <w:rPr>
                <w:rFonts w:cs="Calibri"/>
              </w:rPr>
            </w:pPr>
            <w:r>
              <w:rPr>
                <w:rFonts w:cs="Calibri"/>
              </w:rPr>
              <w:t>průběžně</w:t>
            </w:r>
          </w:p>
        </w:tc>
      </w:tr>
      <w:tr w:rsidR="00F94124" w:rsidRPr="00DD47DF" w14:paraId="376674D4"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5FAE64E7" w14:textId="64DF3A1A" w:rsidR="00F94124" w:rsidRPr="00DD47DF" w:rsidRDefault="00C75691" w:rsidP="007E38FF">
            <w:pPr>
              <w:pStyle w:val="Tabulka"/>
              <w:rPr>
                <w:rFonts w:cs="Calibri"/>
              </w:rPr>
            </w:pPr>
            <w:r w:rsidRPr="00DD47DF">
              <w:rPr>
                <w:rFonts w:cs="Calibri"/>
              </w:rPr>
              <w:t xml:space="preserve">CO </w:t>
            </w:r>
            <w:r w:rsidR="00223936" w:rsidRPr="00DD47DF">
              <w:rPr>
                <w:rFonts w:cs="Calibri"/>
              </w:rPr>
              <w:t>0</w:t>
            </w:r>
            <w:r w:rsidR="00F94124" w:rsidRPr="00DD47DF">
              <w:rPr>
                <w:rFonts w:cs="Calibri"/>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4061D101" w14:textId="77777777" w:rsidR="00F94124" w:rsidRPr="00DD47DF" w:rsidRDefault="00892451" w:rsidP="007E38FF">
            <w:pPr>
              <w:pStyle w:val="Tabulka"/>
              <w:jc w:val="left"/>
              <w:rPr>
                <w:rFonts w:cs="Calibri"/>
              </w:rPr>
            </w:pPr>
            <w:r w:rsidRPr="00892451">
              <w:rPr>
                <w:rFonts w:cs="Calibri"/>
              </w:rPr>
              <w:t>Soukromé investice odpovídající veřejné podpoře podniků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039BDA19" w14:textId="77777777" w:rsidR="00F94124" w:rsidRPr="00DD47DF" w:rsidRDefault="00F94124" w:rsidP="007E38FF">
            <w:pPr>
              <w:pStyle w:val="Tabulka"/>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0D0AB68B" w14:textId="77777777" w:rsidR="00F94124" w:rsidRPr="00DD47DF" w:rsidRDefault="00F94124" w:rsidP="007E38FF">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6F09B495" w14:textId="77777777" w:rsidR="00F94124" w:rsidRPr="00DD47DF" w:rsidRDefault="00F94124" w:rsidP="007E38FF">
            <w:pPr>
              <w:pStyle w:val="Tabulka"/>
              <w:rPr>
                <w:rFonts w:cs="Calibri"/>
              </w:rPr>
            </w:pPr>
            <w:r w:rsidRPr="00DD47DF">
              <w:rPr>
                <w:rFonts w:cs="Calibri"/>
              </w:rPr>
              <w:t>Méně rozvinuté regiony</w:t>
            </w:r>
          </w:p>
        </w:tc>
        <w:tc>
          <w:tcPr>
            <w:tcW w:w="1253" w:type="dxa"/>
            <w:tcBorders>
              <w:top w:val="single" w:sz="4" w:space="0" w:color="000000"/>
              <w:left w:val="single" w:sz="4" w:space="0" w:color="000000"/>
              <w:bottom w:val="single" w:sz="4" w:space="0" w:color="000000"/>
              <w:right w:val="single" w:sz="4" w:space="0" w:color="000000"/>
            </w:tcBorders>
            <w:vAlign w:val="center"/>
          </w:tcPr>
          <w:p w14:paraId="626199E9" w14:textId="14926B7B" w:rsidR="00F94124" w:rsidRPr="00DD47DF" w:rsidRDefault="004A3B8E" w:rsidP="00994365">
            <w:pPr>
              <w:pStyle w:val="Tabulka"/>
              <w:rPr>
                <w:rFonts w:cs="Calibri"/>
              </w:rPr>
            </w:pPr>
            <w:r>
              <w:rPr>
                <w:rFonts w:cs="Calibri"/>
              </w:rPr>
              <w:t>50</w:t>
            </w:r>
            <w:r w:rsidRPr="00DD47DF">
              <w:rPr>
                <w:rFonts w:cs="Calibri"/>
              </w:rPr>
              <w:t> </w:t>
            </w:r>
            <w:r w:rsidR="00F94124" w:rsidRPr="00DD47DF">
              <w:rPr>
                <w:rFonts w:cs="Calibri"/>
              </w:rPr>
              <w:t>000 000</w:t>
            </w:r>
          </w:p>
        </w:tc>
        <w:tc>
          <w:tcPr>
            <w:tcW w:w="665" w:type="dxa"/>
            <w:tcBorders>
              <w:top w:val="single" w:sz="4" w:space="0" w:color="000000"/>
              <w:left w:val="single" w:sz="4" w:space="0" w:color="000000"/>
              <w:bottom w:val="single" w:sz="4" w:space="0" w:color="000000"/>
              <w:right w:val="single" w:sz="4" w:space="0" w:color="000000"/>
            </w:tcBorders>
            <w:vAlign w:val="center"/>
          </w:tcPr>
          <w:p w14:paraId="555A5B22" w14:textId="77777777" w:rsidR="00F94124" w:rsidRPr="00DD47DF" w:rsidRDefault="00800418" w:rsidP="007E38FF">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0666F8E1" w14:textId="77777777" w:rsidR="00F94124" w:rsidRPr="00DD47DF" w:rsidRDefault="00934A97" w:rsidP="007E38FF">
            <w:pPr>
              <w:pStyle w:val="Tabulka"/>
              <w:rPr>
                <w:rFonts w:cs="Calibri"/>
              </w:rPr>
            </w:pPr>
            <w:r>
              <w:rPr>
                <w:rFonts w:cs="Calibri"/>
              </w:rPr>
              <w:t>průběžně</w:t>
            </w:r>
          </w:p>
        </w:tc>
      </w:tr>
    </w:tbl>
    <w:p w14:paraId="709CBF7B" w14:textId="77777777" w:rsidR="00EC2D25" w:rsidRPr="00DD47DF" w:rsidRDefault="00EC2D25" w:rsidP="00DA3512">
      <w:pPr>
        <w:pStyle w:val="kapitola2A0"/>
        <w:numPr>
          <w:ilvl w:val="2"/>
          <w:numId w:val="68"/>
        </w:numPr>
      </w:pPr>
      <w:bookmarkStart w:id="76" w:name="_Toc351464393"/>
      <w:bookmarkStart w:id="77" w:name="_Toc520445289"/>
      <w:r w:rsidRPr="00DD47DF">
        <w:t>INVESTIČNÍ PRIORITA 5 prioritní osy 3: Podpora využívání vysoce účinné kombinované výroby tepla a elektřiny na základě poptávky po užitečném teple</w:t>
      </w:r>
      <w:bookmarkEnd w:id="77"/>
    </w:p>
    <w:p w14:paraId="486AC30D" w14:textId="77777777" w:rsidR="003B05CA" w:rsidRPr="00DD47DF" w:rsidRDefault="008C7D72" w:rsidP="00DA3512">
      <w:pPr>
        <w:pStyle w:val="kapitola2A0"/>
        <w:numPr>
          <w:ilvl w:val="2"/>
          <w:numId w:val="68"/>
        </w:numPr>
      </w:pPr>
      <w:bookmarkStart w:id="78" w:name="_Toc520445290"/>
      <w:r w:rsidRPr="00DD47DF">
        <w:t>Specifické cíle odpovídající investiční prioritě a očekávané výsledky</w:t>
      </w:r>
      <w:bookmarkEnd w:id="78"/>
    </w:p>
    <w:p w14:paraId="42C99CD1" w14:textId="77777777" w:rsidR="00272AE4" w:rsidRPr="00DD47DF" w:rsidRDefault="00272AE4" w:rsidP="00396141">
      <w:pPr>
        <w:pStyle w:val="Modrnadpis"/>
      </w:pPr>
      <w:r w:rsidRPr="00DD47DF">
        <w:t xml:space="preserve">SPECIFICKÝ CÍL </w:t>
      </w:r>
      <w:r w:rsidR="00C71E6F" w:rsidRPr="00DD47DF">
        <w:t>3.</w:t>
      </w:r>
      <w:r w:rsidRPr="00DD47DF">
        <w:t xml:space="preserve">5: </w:t>
      </w:r>
      <w:r w:rsidR="007E355B" w:rsidRPr="00DD47DF">
        <w:t>Zvýšit účinnost soustav zásobování teplem</w:t>
      </w:r>
    </w:p>
    <w:bookmarkEnd w:id="76"/>
    <w:p w14:paraId="4B91E8A0" w14:textId="77777777" w:rsidR="00583E19" w:rsidRPr="00DD47DF" w:rsidRDefault="00686722" w:rsidP="00686722">
      <w:pPr>
        <w:pStyle w:val="Standardntext"/>
      </w:pPr>
      <w:r w:rsidRPr="00DD47DF">
        <w:t>Č</w:t>
      </w:r>
      <w:r w:rsidR="00583E19" w:rsidRPr="00DD47DF">
        <w:t>R</w:t>
      </w:r>
      <w:r w:rsidRPr="00DD47DF">
        <w:t xml:space="preserve"> disponuje rozsáhlý</w:t>
      </w:r>
      <w:r w:rsidR="00583E19" w:rsidRPr="00DD47DF">
        <w:t xml:space="preserve">mi soustavami zásobování teplem, které </w:t>
      </w:r>
      <w:r w:rsidRPr="00DD47DF">
        <w:t xml:space="preserve">však již dnes </w:t>
      </w:r>
      <w:r w:rsidR="00583E19" w:rsidRPr="00DD47DF">
        <w:t xml:space="preserve">v mnoha případech </w:t>
      </w:r>
      <w:r w:rsidRPr="00DD47DF">
        <w:t>neodpovída</w:t>
      </w:r>
      <w:r w:rsidR="00583E19" w:rsidRPr="00DD47DF">
        <w:t>jí požadovaným parametrům. Zároveň</w:t>
      </w:r>
      <w:r w:rsidRPr="00DD47DF">
        <w:t xml:space="preserve"> v ČR existuje nevyužitý potenciál kombinované výroby elektřiny a tepla, kdy je celá řada soustav zásobování teplem napájena ze zdroje monovýroby tepla a teplo z výroby elektrické energie není využito. </w:t>
      </w:r>
      <w:r w:rsidR="00583E19" w:rsidRPr="00DD47DF">
        <w:t>Hlavním cílem je podpora konkurenceschopnosti a udržitelnosti české ekonomiky prostřednictvím využití kombinované výroby elektřiny a tepla.</w:t>
      </w:r>
    </w:p>
    <w:p w14:paraId="37960EC7" w14:textId="77777777" w:rsidR="00686722" w:rsidRPr="00DD47DF" w:rsidRDefault="003508A9" w:rsidP="00686722">
      <w:pPr>
        <w:pStyle w:val="Modrnadpis"/>
      </w:pPr>
      <w:r w:rsidRPr="00DD47DF">
        <w:t>Výsledky, kterých chce ČR dosáhnout s podporou Unie</w:t>
      </w:r>
    </w:p>
    <w:p w14:paraId="12C1BB2B" w14:textId="77777777" w:rsidR="00583E19" w:rsidRPr="00DD47DF" w:rsidRDefault="00583E19" w:rsidP="00FB3387">
      <w:pPr>
        <w:pStyle w:val="Standardntext"/>
        <w:numPr>
          <w:ilvl w:val="0"/>
          <w:numId w:val="51"/>
        </w:numPr>
      </w:pPr>
      <w:r w:rsidRPr="00DD47DF">
        <w:t>Příspěvek k naplnění Směrnice Evropského parlamentu a Rady 2012/27/EU o energetické účinnosti, která nabádá členské státy, aby přijmuli politiky, které podporují náležité zohledňování potenciálu využívání účinných systémů vytápění a chlazení, zejména systémů využívajících vysoce účinnou kombinovanou výrobu tepla a elektřiny.</w:t>
      </w:r>
    </w:p>
    <w:p w14:paraId="2D36100D" w14:textId="77777777" w:rsidR="007E355B" w:rsidRPr="00DD47DF" w:rsidRDefault="007E355B" w:rsidP="00FB3387">
      <w:pPr>
        <w:pStyle w:val="Standardntext"/>
        <w:numPr>
          <w:ilvl w:val="0"/>
          <w:numId w:val="51"/>
        </w:numPr>
      </w:pPr>
      <w:r w:rsidRPr="00DD47DF">
        <w:t>Dosažení úspor primární energie díky využití nízkopotenciálního tepla z výroby elektřiny, které by jinak bylo vyvedeno do okolního prostředí a zavádění kombinované výroby elektřiny a tepla (dále také „KVET“) v soustavách zásobování teplem, kde byla poptávka po teple uspokojována pouze monovýrobou tepla.</w:t>
      </w:r>
    </w:p>
    <w:p w14:paraId="0E129BBE" w14:textId="77777777" w:rsidR="00B65348" w:rsidRPr="00DD47DF" w:rsidRDefault="007E355B" w:rsidP="00FB3387">
      <w:pPr>
        <w:pStyle w:val="Standardntext"/>
        <w:numPr>
          <w:ilvl w:val="0"/>
          <w:numId w:val="51"/>
        </w:numPr>
      </w:pPr>
      <w:r w:rsidRPr="00DD47DF">
        <w:lastRenderedPageBreak/>
        <w:t>Modernizace soustav zásobování teplem, optimalizace jejich provozu a snižování ztrát tepla v rozvodech. Při rekonstrukci tepelných sítí dojde ke snížení ztrát díky lepším izolačním parametrům, změně teploty provozního média a dojde k dimenzování soustavy s ohledem na současnou a budoucí spotřebu tepla. V některých případech je nutno počítat s řízeným přechodem některých velkých soustav na větší množství menších systémů využívajících menší kogenerační jednotky.</w:t>
      </w:r>
    </w:p>
    <w:p w14:paraId="7AED7367" w14:textId="77777777" w:rsidR="00272AE4" w:rsidRPr="00DD47DF" w:rsidRDefault="00272AE4" w:rsidP="001D58DB">
      <w:pPr>
        <w:pStyle w:val="Titulek"/>
        <w:rPr>
          <w:rFonts w:cs="Calibri"/>
        </w:rPr>
      </w:pPr>
      <w:r w:rsidRPr="00DD47DF">
        <w:rPr>
          <w:rFonts w:cs="Calibri"/>
        </w:rPr>
        <w:t xml:space="preserve">Tabulka </w:t>
      </w:r>
      <w:r w:rsidR="002756E7" w:rsidRPr="00DD47DF">
        <w:rPr>
          <w:rFonts w:cs="Calibri"/>
        </w:rPr>
        <w:fldChar w:fldCharType="begin"/>
      </w:r>
      <w:r w:rsidR="00F7325F"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5000" w:type="pct"/>
        <w:tblCellMar>
          <w:left w:w="57" w:type="dxa"/>
          <w:right w:w="57" w:type="dxa"/>
        </w:tblCellMar>
        <w:tblLook w:val="01E0" w:firstRow="1" w:lastRow="1" w:firstColumn="1" w:lastColumn="1" w:noHBand="0" w:noVBand="0"/>
      </w:tblPr>
      <w:tblGrid>
        <w:gridCol w:w="1068"/>
        <w:gridCol w:w="1399"/>
        <w:gridCol w:w="985"/>
        <w:gridCol w:w="1142"/>
        <w:gridCol w:w="974"/>
        <w:gridCol w:w="873"/>
        <w:gridCol w:w="992"/>
        <w:gridCol w:w="757"/>
        <w:gridCol w:w="1136"/>
      </w:tblGrid>
      <w:tr w:rsidR="00D57106" w:rsidRPr="00DD47DF" w14:paraId="7DCF0540" w14:textId="77777777">
        <w:trPr>
          <w:trHeight w:hRule="exact" w:val="1297"/>
        </w:trPr>
        <w:tc>
          <w:tcPr>
            <w:tcW w:w="573"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2713D25" w14:textId="77777777" w:rsidR="00CF739D" w:rsidRPr="00DD47DF" w:rsidRDefault="00CF739D" w:rsidP="001D58DB">
            <w:pPr>
              <w:pStyle w:val="Tabulka"/>
              <w:rPr>
                <w:rFonts w:cs="Calibri"/>
                <w:b/>
                <w:bCs/>
              </w:rPr>
            </w:pPr>
            <w:r w:rsidRPr="00DD47DF">
              <w:rPr>
                <w:rFonts w:cs="Calibri"/>
                <w:b/>
                <w:bCs/>
              </w:rPr>
              <w:t>ID</w:t>
            </w:r>
          </w:p>
        </w:tc>
        <w:tc>
          <w:tcPr>
            <w:tcW w:w="750"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4D435855" w14:textId="77777777" w:rsidR="00CF739D" w:rsidRPr="00DD47DF" w:rsidRDefault="00CF739D" w:rsidP="001D58DB">
            <w:pPr>
              <w:pStyle w:val="Tabulka"/>
              <w:rPr>
                <w:rFonts w:cs="Calibri"/>
                <w:b/>
                <w:bCs/>
              </w:rPr>
            </w:pPr>
            <w:r w:rsidRPr="00DD47DF">
              <w:rPr>
                <w:rFonts w:cs="Calibri"/>
                <w:b/>
                <w:bCs/>
              </w:rPr>
              <w:t>Ukazatel</w:t>
            </w:r>
          </w:p>
        </w:tc>
        <w:tc>
          <w:tcPr>
            <w:tcW w:w="528"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BA08EF2" w14:textId="77777777" w:rsidR="00CF739D" w:rsidRPr="00DD47DF" w:rsidRDefault="00CF739D" w:rsidP="001D58DB">
            <w:pPr>
              <w:pStyle w:val="Tabulka"/>
              <w:rPr>
                <w:rFonts w:cs="Calibri"/>
                <w:b/>
                <w:bCs/>
              </w:rPr>
            </w:pPr>
            <w:r w:rsidRPr="00DD47DF">
              <w:rPr>
                <w:rFonts w:cs="Calibri"/>
                <w:b/>
                <w:bCs/>
              </w:rPr>
              <w:t>Měrná</w:t>
            </w:r>
          </w:p>
          <w:p w14:paraId="4998B121" w14:textId="77777777" w:rsidR="00CF739D" w:rsidRPr="00DD47DF" w:rsidRDefault="00CF739D" w:rsidP="001D58DB">
            <w:pPr>
              <w:pStyle w:val="Tabulka"/>
              <w:rPr>
                <w:rFonts w:cs="Calibri"/>
                <w:b/>
                <w:bCs/>
              </w:rPr>
            </w:pPr>
            <w:r w:rsidRPr="00DD47DF">
              <w:rPr>
                <w:rFonts w:cs="Calibri"/>
                <w:b/>
                <w:bCs/>
              </w:rPr>
              <w:t>jednotka</w:t>
            </w:r>
          </w:p>
        </w:tc>
        <w:tc>
          <w:tcPr>
            <w:tcW w:w="612"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1D02951" w14:textId="77777777" w:rsidR="00CF739D" w:rsidRPr="00DD47DF" w:rsidRDefault="00CF739D" w:rsidP="001D58DB">
            <w:pPr>
              <w:pStyle w:val="Tabulka"/>
              <w:rPr>
                <w:rFonts w:cs="Calibri"/>
                <w:b/>
                <w:bCs/>
              </w:rPr>
            </w:pPr>
            <w:r w:rsidRPr="00DD47DF">
              <w:rPr>
                <w:rFonts w:cs="Calibri"/>
                <w:b/>
                <w:bCs/>
              </w:rPr>
              <w:t>Kategorie regionů (je-li relevantní)</w:t>
            </w:r>
          </w:p>
        </w:tc>
        <w:tc>
          <w:tcPr>
            <w:tcW w:w="522"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9CDB23D" w14:textId="77777777" w:rsidR="00CF739D" w:rsidRPr="00DD47DF" w:rsidRDefault="004B0854" w:rsidP="001D58DB">
            <w:pPr>
              <w:pStyle w:val="Tabulka"/>
              <w:rPr>
                <w:rFonts w:cs="Calibri"/>
                <w:b/>
                <w:bCs/>
              </w:rPr>
            </w:pPr>
            <w:r w:rsidRPr="00DD47DF">
              <w:rPr>
                <w:rFonts w:cs="Calibri"/>
                <w:b/>
                <w:bCs/>
              </w:rPr>
              <w:t>Výchozí hodnota</w:t>
            </w:r>
          </w:p>
        </w:tc>
        <w:tc>
          <w:tcPr>
            <w:tcW w:w="468"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33B8F46" w14:textId="77777777" w:rsidR="00CF739D" w:rsidRPr="00DD47DF" w:rsidRDefault="004B0854" w:rsidP="001D58DB">
            <w:pPr>
              <w:pStyle w:val="Tabulka"/>
              <w:rPr>
                <w:rFonts w:cs="Calibri"/>
                <w:b/>
                <w:bCs/>
              </w:rPr>
            </w:pPr>
            <w:r w:rsidRPr="00DD47DF">
              <w:rPr>
                <w:rFonts w:cs="Calibri"/>
                <w:b/>
                <w:bCs/>
              </w:rPr>
              <w:t xml:space="preserve">Výchozí </w:t>
            </w:r>
            <w:r w:rsidR="00CF739D" w:rsidRPr="00DD47DF">
              <w:rPr>
                <w:rFonts w:cs="Calibri"/>
                <w:b/>
                <w:bCs/>
              </w:rPr>
              <w:t>rok</w:t>
            </w:r>
          </w:p>
        </w:tc>
        <w:tc>
          <w:tcPr>
            <w:tcW w:w="532"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EF45B5B" w14:textId="77777777" w:rsidR="00CF739D" w:rsidRPr="00DD47DF" w:rsidRDefault="00CF739D" w:rsidP="001D58DB">
            <w:pPr>
              <w:pStyle w:val="Tabulka"/>
              <w:rPr>
                <w:rFonts w:cs="Calibri"/>
                <w:b/>
                <w:bCs/>
              </w:rPr>
            </w:pPr>
            <w:r w:rsidRPr="00DD47DF">
              <w:rPr>
                <w:rFonts w:cs="Calibri"/>
                <w:b/>
                <w:bCs/>
              </w:rPr>
              <w:t>Cílová hodnota (2023)</w:t>
            </w:r>
          </w:p>
        </w:tc>
        <w:tc>
          <w:tcPr>
            <w:tcW w:w="406"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F616D40" w14:textId="77777777" w:rsidR="00CF739D" w:rsidRPr="00DD47DF" w:rsidRDefault="00CF739D" w:rsidP="001D58DB">
            <w:pPr>
              <w:pStyle w:val="Tabulka"/>
              <w:rPr>
                <w:rFonts w:cs="Calibri"/>
                <w:b/>
                <w:bCs/>
              </w:rPr>
            </w:pPr>
            <w:r w:rsidRPr="00DD47DF">
              <w:rPr>
                <w:rFonts w:cs="Calibri"/>
                <w:b/>
                <w:bCs/>
              </w:rPr>
              <w:t>Zdroj údajů</w:t>
            </w:r>
          </w:p>
        </w:tc>
        <w:tc>
          <w:tcPr>
            <w:tcW w:w="609"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7A91D20" w14:textId="77777777" w:rsidR="00CF739D" w:rsidRPr="00DD47DF" w:rsidRDefault="00CF739D" w:rsidP="001D58DB">
            <w:pPr>
              <w:pStyle w:val="Tabulka"/>
              <w:rPr>
                <w:rFonts w:cs="Calibri"/>
                <w:b/>
                <w:bCs/>
              </w:rPr>
            </w:pPr>
            <w:r w:rsidRPr="00DD47DF">
              <w:rPr>
                <w:rFonts w:cs="Calibri"/>
                <w:b/>
                <w:bCs/>
              </w:rPr>
              <w:t>Četnost podávání zpráv</w:t>
            </w:r>
          </w:p>
        </w:tc>
      </w:tr>
      <w:tr w:rsidR="00D57106" w:rsidRPr="00DD47DF" w14:paraId="5775582C" w14:textId="77777777" w:rsidTr="00B90373">
        <w:trPr>
          <w:trHeight w:hRule="exact" w:val="1572"/>
        </w:trPr>
        <w:tc>
          <w:tcPr>
            <w:tcW w:w="573" w:type="pct"/>
            <w:tcBorders>
              <w:top w:val="single" w:sz="4" w:space="0" w:color="000000"/>
              <w:left w:val="single" w:sz="4" w:space="0" w:color="000000"/>
              <w:bottom w:val="single" w:sz="4" w:space="0" w:color="000000"/>
              <w:right w:val="single" w:sz="4" w:space="0" w:color="000000"/>
            </w:tcBorders>
            <w:vAlign w:val="center"/>
          </w:tcPr>
          <w:p w14:paraId="0A096409" w14:textId="1836B1E2" w:rsidR="00272AE4" w:rsidRPr="00DD47DF" w:rsidRDefault="002252D2" w:rsidP="00FA6560">
            <w:pPr>
              <w:pStyle w:val="Tabulka"/>
              <w:rPr>
                <w:rFonts w:cs="Calibri"/>
              </w:rPr>
            </w:pPr>
            <w:r w:rsidRPr="00DD47DF">
              <w:rPr>
                <w:rFonts w:cs="Calibri"/>
              </w:rPr>
              <w:t>326</w:t>
            </w:r>
            <w:r w:rsidR="003F52E6">
              <w:rPr>
                <w:rFonts w:cs="Calibri"/>
              </w:rPr>
              <w:t>20</w:t>
            </w:r>
          </w:p>
        </w:tc>
        <w:tc>
          <w:tcPr>
            <w:tcW w:w="750" w:type="pct"/>
            <w:tcBorders>
              <w:top w:val="single" w:sz="4" w:space="0" w:color="000000"/>
              <w:left w:val="single" w:sz="4" w:space="0" w:color="000000"/>
              <w:bottom w:val="single" w:sz="4" w:space="0" w:color="000000"/>
              <w:right w:val="single" w:sz="4" w:space="0" w:color="000000"/>
            </w:tcBorders>
            <w:vAlign w:val="center"/>
          </w:tcPr>
          <w:p w14:paraId="254F6372" w14:textId="0136FA3F" w:rsidR="00272AE4" w:rsidRPr="00DD47DF" w:rsidRDefault="0047406C" w:rsidP="001D58DB">
            <w:pPr>
              <w:pStyle w:val="Tabulka"/>
              <w:jc w:val="left"/>
              <w:rPr>
                <w:rFonts w:cs="Calibri"/>
              </w:rPr>
            </w:pPr>
            <w:r w:rsidRPr="0047406C">
              <w:rPr>
                <w:rFonts w:cs="Calibri"/>
                <w:szCs w:val="20"/>
              </w:rPr>
              <w:t>Vsázka paliva do tepláren (KVET) a výtopen SZT</w:t>
            </w:r>
          </w:p>
        </w:tc>
        <w:tc>
          <w:tcPr>
            <w:tcW w:w="528" w:type="pct"/>
            <w:tcBorders>
              <w:top w:val="single" w:sz="4" w:space="0" w:color="000000"/>
              <w:left w:val="single" w:sz="4" w:space="0" w:color="000000"/>
              <w:bottom w:val="single" w:sz="4" w:space="0" w:color="000000"/>
              <w:right w:val="single" w:sz="4" w:space="0" w:color="000000"/>
            </w:tcBorders>
            <w:vAlign w:val="center"/>
          </w:tcPr>
          <w:p w14:paraId="71A6CC66" w14:textId="77777777" w:rsidR="00272AE4" w:rsidRPr="00DD47DF" w:rsidRDefault="003A01C6" w:rsidP="001D58DB">
            <w:pPr>
              <w:pStyle w:val="Tabulka"/>
              <w:rPr>
                <w:rFonts w:cs="Calibri"/>
              </w:rPr>
            </w:pPr>
            <w:r w:rsidRPr="00DD47DF">
              <w:rPr>
                <w:rFonts w:cs="Calibri"/>
              </w:rPr>
              <w:t>TJ</w:t>
            </w:r>
          </w:p>
        </w:tc>
        <w:tc>
          <w:tcPr>
            <w:tcW w:w="612" w:type="pct"/>
            <w:tcBorders>
              <w:top w:val="single" w:sz="4" w:space="0" w:color="000000"/>
              <w:left w:val="single" w:sz="4" w:space="0" w:color="000000"/>
              <w:bottom w:val="single" w:sz="4" w:space="0" w:color="000000"/>
              <w:right w:val="single" w:sz="4" w:space="0" w:color="000000"/>
            </w:tcBorders>
            <w:vAlign w:val="center"/>
          </w:tcPr>
          <w:p w14:paraId="26FC69E8" w14:textId="77777777" w:rsidR="00272AE4" w:rsidRPr="00DD47DF" w:rsidRDefault="00FD0399" w:rsidP="001D58DB">
            <w:pPr>
              <w:pStyle w:val="Tabulka"/>
              <w:rPr>
                <w:rFonts w:cs="Calibri"/>
              </w:rPr>
            </w:pPr>
            <w:r w:rsidRPr="00DD47DF">
              <w:rPr>
                <w:rFonts w:cs="Calibri"/>
              </w:rPr>
              <w:t>Méně rozvinuté regiony</w:t>
            </w:r>
          </w:p>
        </w:tc>
        <w:tc>
          <w:tcPr>
            <w:tcW w:w="522" w:type="pct"/>
            <w:tcBorders>
              <w:top w:val="single" w:sz="4" w:space="0" w:color="000000"/>
              <w:left w:val="single" w:sz="4" w:space="0" w:color="000000"/>
              <w:bottom w:val="single" w:sz="4" w:space="0" w:color="000000"/>
              <w:right w:val="single" w:sz="4" w:space="0" w:color="000000"/>
            </w:tcBorders>
            <w:vAlign w:val="center"/>
          </w:tcPr>
          <w:p w14:paraId="3C779EB5" w14:textId="50321AA2" w:rsidR="00272AE4" w:rsidRPr="00DD47DF" w:rsidRDefault="009C3FDA" w:rsidP="001D58DB">
            <w:pPr>
              <w:pStyle w:val="Tabulka"/>
              <w:rPr>
                <w:rFonts w:cs="Calibri"/>
              </w:rPr>
            </w:pPr>
            <w:r w:rsidRPr="00700E39">
              <w:rPr>
                <w:rFonts w:cs="Calibri"/>
              </w:rPr>
              <w:t>546 410</w:t>
            </w:r>
          </w:p>
        </w:tc>
        <w:tc>
          <w:tcPr>
            <w:tcW w:w="468" w:type="pct"/>
            <w:tcBorders>
              <w:top w:val="single" w:sz="4" w:space="0" w:color="000000"/>
              <w:left w:val="single" w:sz="4" w:space="0" w:color="000000"/>
              <w:bottom w:val="single" w:sz="4" w:space="0" w:color="000000"/>
              <w:right w:val="single" w:sz="4" w:space="0" w:color="000000"/>
            </w:tcBorders>
            <w:vAlign w:val="center"/>
          </w:tcPr>
          <w:p w14:paraId="54104CC9" w14:textId="77777777" w:rsidR="00272AE4" w:rsidRPr="00DD47DF" w:rsidRDefault="001779BC" w:rsidP="001D58DB">
            <w:pPr>
              <w:pStyle w:val="Tabulka"/>
              <w:rPr>
                <w:rFonts w:cs="Calibri"/>
              </w:rPr>
            </w:pPr>
            <w:r w:rsidRPr="00DD47DF">
              <w:rPr>
                <w:rFonts w:cs="Calibri"/>
              </w:rPr>
              <w:t>2012</w:t>
            </w:r>
          </w:p>
        </w:tc>
        <w:tc>
          <w:tcPr>
            <w:tcW w:w="532" w:type="pct"/>
            <w:tcBorders>
              <w:top w:val="single" w:sz="4" w:space="0" w:color="000000"/>
              <w:left w:val="single" w:sz="4" w:space="0" w:color="000000"/>
              <w:bottom w:val="single" w:sz="4" w:space="0" w:color="000000"/>
              <w:right w:val="single" w:sz="4" w:space="0" w:color="000000"/>
            </w:tcBorders>
            <w:vAlign w:val="center"/>
          </w:tcPr>
          <w:p w14:paraId="105E9C5B" w14:textId="2D34A799" w:rsidR="00272AE4" w:rsidRPr="00DD47DF" w:rsidRDefault="009C3FDA" w:rsidP="001D58DB">
            <w:pPr>
              <w:pStyle w:val="Tabulka"/>
              <w:rPr>
                <w:rFonts w:cs="Calibri"/>
              </w:rPr>
            </w:pPr>
            <w:r w:rsidRPr="00700E39">
              <w:rPr>
                <w:rFonts w:cs="Calibri"/>
              </w:rPr>
              <w:t>543 744</w:t>
            </w:r>
          </w:p>
        </w:tc>
        <w:tc>
          <w:tcPr>
            <w:tcW w:w="406" w:type="pct"/>
            <w:tcBorders>
              <w:top w:val="single" w:sz="4" w:space="0" w:color="000000"/>
              <w:left w:val="single" w:sz="4" w:space="0" w:color="000000"/>
              <w:bottom w:val="single" w:sz="4" w:space="0" w:color="000000"/>
              <w:right w:val="single" w:sz="4" w:space="0" w:color="000000"/>
            </w:tcBorders>
            <w:vAlign w:val="center"/>
          </w:tcPr>
          <w:p w14:paraId="18A100AA" w14:textId="09F8A556" w:rsidR="00272AE4" w:rsidRPr="00DD47DF" w:rsidRDefault="00AC072C" w:rsidP="009872FD">
            <w:pPr>
              <w:pStyle w:val="Tabulka"/>
              <w:rPr>
                <w:rFonts w:cs="Calibri"/>
              </w:rPr>
            </w:pPr>
            <w:r w:rsidRPr="00DD47DF">
              <w:rPr>
                <w:rFonts w:cs="Calibri"/>
              </w:rPr>
              <w:t>ČSÚ</w:t>
            </w:r>
          </w:p>
        </w:tc>
        <w:tc>
          <w:tcPr>
            <w:tcW w:w="609" w:type="pct"/>
            <w:tcBorders>
              <w:top w:val="single" w:sz="4" w:space="0" w:color="000000"/>
              <w:left w:val="single" w:sz="4" w:space="0" w:color="000000"/>
              <w:bottom w:val="single" w:sz="4" w:space="0" w:color="000000"/>
              <w:right w:val="single" w:sz="4" w:space="0" w:color="000000"/>
            </w:tcBorders>
            <w:vAlign w:val="center"/>
          </w:tcPr>
          <w:p w14:paraId="73A336AC" w14:textId="77777777" w:rsidR="00272AE4" w:rsidRPr="00DD47DF" w:rsidRDefault="003A01C6" w:rsidP="001D58DB">
            <w:pPr>
              <w:pStyle w:val="Tabulka"/>
              <w:rPr>
                <w:rFonts w:cs="Calibri"/>
              </w:rPr>
            </w:pPr>
            <w:r w:rsidRPr="00DD47DF">
              <w:rPr>
                <w:rFonts w:cs="Calibri"/>
              </w:rPr>
              <w:t>ročně</w:t>
            </w:r>
          </w:p>
        </w:tc>
      </w:tr>
    </w:tbl>
    <w:p w14:paraId="4BC47B35" w14:textId="77777777" w:rsidR="00EC2D25" w:rsidRPr="00DD47DF" w:rsidRDefault="00EC2D25" w:rsidP="00DA3512">
      <w:pPr>
        <w:pStyle w:val="kapitola2A0"/>
        <w:numPr>
          <w:ilvl w:val="2"/>
          <w:numId w:val="68"/>
        </w:numPr>
      </w:pPr>
      <w:bookmarkStart w:id="79" w:name="_Toc520445291"/>
      <w:r w:rsidRPr="00DD47DF">
        <w:t>Opatření, jež má být podpořeno v rámci investiční priority</w:t>
      </w:r>
      <w:bookmarkEnd w:id="79"/>
    </w:p>
    <w:p w14:paraId="4BB77752" w14:textId="77777777" w:rsidR="00272AE4" w:rsidRPr="00DD47DF" w:rsidRDefault="00D479AF" w:rsidP="001D58DB">
      <w:pPr>
        <w:pStyle w:val="Nadpis5"/>
        <w:numPr>
          <w:ilvl w:val="4"/>
          <w:numId w:val="24"/>
        </w:numPr>
      </w:pPr>
      <w:bookmarkStart w:id="80" w:name="_Toc351464395"/>
      <w:r w:rsidRPr="00DD47DF">
        <w:t>Popis typů a příkladů opatření, která mají být podporována, a jejich očekávaný přínos k plnění specifických cílů, případně včetně určení hlavních cílových skupin, konkrétních cílových území a druhů příjemců</w:t>
      </w:r>
    </w:p>
    <w:bookmarkEnd w:id="80"/>
    <w:p w14:paraId="5869612D" w14:textId="77777777" w:rsidR="00272AE4" w:rsidRPr="00DD47DF" w:rsidRDefault="000A2EB4" w:rsidP="009912CD">
      <w:pPr>
        <w:pStyle w:val="Standardntext"/>
        <w:rPr>
          <w:b/>
        </w:rPr>
      </w:pPr>
      <w:r w:rsidRPr="00DD47DF">
        <w:rPr>
          <w:b/>
        </w:rPr>
        <w:t>Aktivity pro tento specifický cíl:</w:t>
      </w:r>
    </w:p>
    <w:p w14:paraId="5DC1D3C3" w14:textId="77777777" w:rsidR="00272AE4" w:rsidRPr="00DD47DF" w:rsidRDefault="001E5FB8" w:rsidP="00FB3387">
      <w:pPr>
        <w:pStyle w:val="Standardntext"/>
        <w:numPr>
          <w:ilvl w:val="0"/>
          <w:numId w:val="41"/>
        </w:numPr>
      </w:pPr>
      <w:r w:rsidRPr="00DD47DF">
        <w:t>R</w:t>
      </w:r>
      <w:r w:rsidR="009A6E4E" w:rsidRPr="00DD47DF">
        <w:t xml:space="preserve">ekonstrukce a rozvoj soustav zásobování teplem resp. rozvodných </w:t>
      </w:r>
      <w:r w:rsidR="00EE7AF6" w:rsidRPr="00DD47DF">
        <w:t xml:space="preserve">tepelných </w:t>
      </w:r>
      <w:r w:rsidR="009A6E4E" w:rsidRPr="00DD47DF">
        <w:t>zařízení</w:t>
      </w:r>
      <w:r w:rsidR="00272AE4" w:rsidRPr="00DD47DF">
        <w:t>,</w:t>
      </w:r>
    </w:p>
    <w:p w14:paraId="6FE5C690" w14:textId="77777777" w:rsidR="00272AE4" w:rsidRPr="00DD47DF" w:rsidRDefault="009A6E4E" w:rsidP="00FB3387">
      <w:pPr>
        <w:pStyle w:val="Standardntext"/>
        <w:numPr>
          <w:ilvl w:val="0"/>
          <w:numId w:val="41"/>
        </w:numPr>
      </w:pPr>
      <w:r w:rsidRPr="00DD47DF">
        <w:t>zavádění a zvyšování účinnosti systémů kombinované výroby elektřiny a tepla</w:t>
      </w:r>
      <w:r w:rsidR="00272AE4" w:rsidRPr="00DD47DF">
        <w:t>.</w:t>
      </w:r>
    </w:p>
    <w:p w14:paraId="5CFF83A3" w14:textId="77777777" w:rsidR="007E355B" w:rsidRPr="00DD47DF" w:rsidRDefault="003A03E8" w:rsidP="00687183">
      <w:pPr>
        <w:pStyle w:val="Standardntext"/>
      </w:pPr>
      <w:r w:rsidRPr="00DD47DF">
        <w:t>Jak vyplynulo z implementace obdobných proje</w:t>
      </w:r>
      <w:r w:rsidR="00903715" w:rsidRPr="00DD47DF">
        <w:t xml:space="preserve">ktů v OPPI v letech 2007 – 2013, </w:t>
      </w:r>
      <w:r w:rsidR="007E355B" w:rsidRPr="00DD47DF">
        <w:t xml:space="preserve">mohou projekty </w:t>
      </w:r>
      <w:r w:rsidRPr="00DD47DF">
        <w:t xml:space="preserve">ve výše uvedených aktivitách </w:t>
      </w:r>
      <w:r w:rsidR="007E355B" w:rsidRPr="00DD47DF">
        <w:t xml:space="preserve">obsahovat pouze jeden typ úsporného opatření (modernizace tepelných rozvodů) či kombinaci několika úsporných opatření. Doporučenou variantu řešení bude obsahovat </w:t>
      </w:r>
      <w:r w:rsidR="00A924D2" w:rsidRPr="00DD47DF">
        <w:t>e</w:t>
      </w:r>
      <w:r w:rsidR="007E355B" w:rsidRPr="00DD47DF">
        <w:t>nergetický audit, kter</w:t>
      </w:r>
      <w:r w:rsidR="00A924D2" w:rsidRPr="00DD47DF">
        <w:t>ý</w:t>
      </w:r>
      <w:r w:rsidR="007E355B" w:rsidRPr="00DD47DF">
        <w:t xml:space="preserve"> bude povinnou součástí žádosti o </w:t>
      </w:r>
      <w:r w:rsidR="00A924D2" w:rsidRPr="00DD47DF">
        <w:t>podporu.</w:t>
      </w:r>
    </w:p>
    <w:p w14:paraId="5169F1D6" w14:textId="77777777" w:rsidR="00A924D2" w:rsidRPr="00DD47DF" w:rsidRDefault="00A924D2" w:rsidP="00A924D2">
      <w:pPr>
        <w:pStyle w:val="Standardntext"/>
      </w:pPr>
      <w:r w:rsidRPr="00DD47DF">
        <w:t>V rámci tohoto SC budou podporovány následující typové příklady či jejich kombinace:</w:t>
      </w:r>
    </w:p>
    <w:p w14:paraId="686F6E9D" w14:textId="77777777" w:rsidR="00A924D2" w:rsidRPr="00DD47DF" w:rsidRDefault="00A924D2" w:rsidP="00FB3387">
      <w:pPr>
        <w:pStyle w:val="Standardntext"/>
        <w:numPr>
          <w:ilvl w:val="0"/>
          <w:numId w:val="41"/>
        </w:numPr>
      </w:pPr>
      <w:r w:rsidRPr="00DD47DF">
        <w:t xml:space="preserve">Instalace </w:t>
      </w:r>
      <w:r w:rsidR="00DD1988" w:rsidRPr="00DD47DF">
        <w:t xml:space="preserve">vysokoúčinných (plynových) </w:t>
      </w:r>
      <w:r w:rsidRPr="00DD47DF">
        <w:t>kogeneračních jednotek v soustavách zásobování teplem, kde doposud probíhala pouze výroba tepla nebo kde je možné zvýšit množství tepla pocházejícího z vysokoúčinné kombinované výroby elektřiny a tepla, včetně rozvoje a propojování existujících soustav za účelem vyššího využití kombinované výroby elektřiny a tepla s cílem dosažení úspor primární energie.</w:t>
      </w:r>
    </w:p>
    <w:p w14:paraId="15F36F01" w14:textId="77777777" w:rsidR="008614C4" w:rsidRPr="00DD47DF" w:rsidRDefault="008614C4" w:rsidP="00FB3387">
      <w:pPr>
        <w:pStyle w:val="Standardntext"/>
        <w:numPr>
          <w:ilvl w:val="0"/>
          <w:numId w:val="41"/>
        </w:numPr>
      </w:pPr>
      <w:r w:rsidRPr="00DD47DF">
        <w:t xml:space="preserve">Instalace </w:t>
      </w:r>
      <w:r w:rsidR="00DD1988" w:rsidRPr="00DD47DF">
        <w:t xml:space="preserve">vysokoúčinné (plynové) </w:t>
      </w:r>
      <w:r w:rsidRPr="00DD47DF">
        <w:t>kogenerační jednotky za účelem lokální spotřeby tepelné energie.</w:t>
      </w:r>
    </w:p>
    <w:p w14:paraId="36F63768" w14:textId="77777777" w:rsidR="00A924D2" w:rsidRPr="00DD47DF" w:rsidRDefault="00A924D2" w:rsidP="00FB3387">
      <w:pPr>
        <w:pStyle w:val="Standardntext"/>
        <w:numPr>
          <w:ilvl w:val="0"/>
          <w:numId w:val="41"/>
        </w:numPr>
      </w:pPr>
      <w:r w:rsidRPr="00DD47DF">
        <w:t>Rekonstrukce stávajících zařízení s kombinovanou výrobou elektřiny a tepla s cílem dosažení úspory primární energie díky zlepšení technických parametrů zařízení.</w:t>
      </w:r>
    </w:p>
    <w:p w14:paraId="1EB8538B" w14:textId="77777777" w:rsidR="00A924D2" w:rsidRPr="00DD47DF" w:rsidRDefault="00DD1988" w:rsidP="00FB3387">
      <w:pPr>
        <w:pStyle w:val="Standardntext"/>
        <w:numPr>
          <w:ilvl w:val="0"/>
          <w:numId w:val="41"/>
        </w:numPr>
      </w:pPr>
      <w:r w:rsidRPr="00DD47DF">
        <w:lastRenderedPageBreak/>
        <w:t>Výstavba a r</w:t>
      </w:r>
      <w:r w:rsidR="00A924D2" w:rsidRPr="00DD47DF">
        <w:t>ozvoj stávajících soustav zásobování teplem včetně předávacích stanic s cílem maximálního využití tepla z vysokoúčinné kombinované výroby elektřiny a tepla případně odpadního tepla z průmyslových procesů a dosažení úspor primární energie.</w:t>
      </w:r>
      <w:r w:rsidR="00657F1B" w:rsidRPr="00DD47DF">
        <w:t xml:space="preserve"> Podpora bude poskytována na projekty, které se zaměřují na rozvoj systémů zásobování teplem, za předpokladu, že analýza nákladů a přínosů dle čl. 14 směrnice č. 2012/27/EU o energetické účinnosti, identifikuje potenciál pro využití vysoce účinné kogenerace </w:t>
      </w:r>
      <w:r w:rsidR="000F32C8" w:rsidRPr="00DD47DF">
        <w:t>tepla a elektřiny</w:t>
      </w:r>
      <w:r w:rsidR="00657F1B" w:rsidRPr="00DD47DF">
        <w:t xml:space="preserve"> nebo efektivní vzdálené vytápění a chlazení, jehož přínosy </w:t>
      </w:r>
      <w:r w:rsidR="000F32C8" w:rsidRPr="00DD47DF">
        <w:t>převýší náklady.</w:t>
      </w:r>
    </w:p>
    <w:p w14:paraId="2069CF45" w14:textId="77777777" w:rsidR="008336D9" w:rsidRPr="00DD47DF" w:rsidRDefault="00A924D2" w:rsidP="00A924D2">
      <w:pPr>
        <w:pStyle w:val="Standardntext"/>
      </w:pPr>
      <w:r w:rsidRPr="00DD47DF">
        <w:t>Rekonstrukce stávajících tepelných sítí včetně předávacích stanic s cílem snížení ztrát tepla a dosažení úspor primární energie. Typickým příkladem je změna teplonosného média z páry na horkou vodu, která umožňuje lepší regulovatelnost dodávky tepelné energie konečným spotřebitelům a přináší významné snížení ztrát tepla v rozvodu. Součástí rozsáhlých rekonstrukcí tepelných sítí může být také budování části nových sítí v nových trasách s cílem optimalizace topologie tepelné sítě a snížení ztrát tepla.</w:t>
      </w:r>
    </w:p>
    <w:p w14:paraId="16414064" w14:textId="77777777" w:rsidR="0054394C" w:rsidRPr="00DD47DF" w:rsidRDefault="004A1E6D" w:rsidP="0054394C">
      <w:pPr>
        <w:pStyle w:val="Standardntext"/>
      </w:pPr>
      <w:r w:rsidRPr="00DD47DF">
        <w:t>Podpora je poskytována na investice do vysoce účinných zařízení na kombinovanou výrobu tepla a elektřiny, jejichž cílem je dosažení co nejnižších emisí CO</w:t>
      </w:r>
      <w:r w:rsidRPr="00DD47DF">
        <w:rPr>
          <w:vertAlign w:val="subscript"/>
        </w:rPr>
        <w:t>2</w:t>
      </w:r>
      <w:r w:rsidRPr="00DD47DF">
        <w:t xml:space="preserve"> a maximální snížení znečištění ovzduší a zajištění ekonomické udržitelnosti. Kromě těchto podmínek by veškeré investice do modernizace stávajících zařízení na vysoce účinná zařízení na kombinovanou výrobu tepla a elektřiny měly vést ke snížení emisí CO</w:t>
      </w:r>
      <w:r w:rsidRPr="00DD47DF">
        <w:rPr>
          <w:vertAlign w:val="subscript"/>
        </w:rPr>
        <w:t>2</w:t>
      </w:r>
      <w:r w:rsidRPr="00DD47DF">
        <w:t xml:space="preserve"> nejméně o 30 % ve srovnání se stávajícími zařízeními.</w:t>
      </w:r>
      <w:r w:rsidR="0054394C" w:rsidRPr="00DD47DF">
        <w:t xml:space="preserve"> </w:t>
      </w:r>
    </w:p>
    <w:p w14:paraId="60500A40" w14:textId="77777777" w:rsidR="0054394C" w:rsidRPr="00DD47DF" w:rsidRDefault="004A1E6D" w:rsidP="0054394C">
      <w:pPr>
        <w:pStyle w:val="Standardntext"/>
      </w:pPr>
      <w:r w:rsidRPr="00DD47DF">
        <w:t>V případě nových zařízení by mělo být dosaženo alespoň 10% nárůstu energetické účinnosti ve srovnání s oddělenou výrobou elektřiny a tepla při využití nejlepších dostupných technologií. Investiční podporu pro vysoce účinnou kombinovanou výrobu tepla a elektřiny na bázi zemního plynu lze poskytnout, pokud to nebude mít za následek vytlačení nízkouhlíkových řešení a pokud by alternativní řešení bylo méně účinné a s vyšším obsahem uhlíku</w:t>
      </w:r>
      <w:r w:rsidR="0054394C" w:rsidRPr="00DD47DF">
        <w:t>.</w:t>
      </w:r>
    </w:p>
    <w:p w14:paraId="79A635DA" w14:textId="77777777" w:rsidR="006A5E3C" w:rsidRPr="00DD47DF" w:rsidRDefault="006A5E3C" w:rsidP="00A924D2">
      <w:pPr>
        <w:pStyle w:val="Standardntext"/>
      </w:pPr>
      <w:r w:rsidRPr="00DD47DF">
        <w:t xml:space="preserve">Vyšší prioritu bude mít modernizace soustav zásobování teplem se zdroji do 20 MW, současně však </w:t>
      </w:r>
      <w:r w:rsidR="00385E18" w:rsidRPr="00DD47DF">
        <w:t>budou podporován</w:t>
      </w:r>
      <w:r w:rsidR="0054394C" w:rsidRPr="00DD47DF">
        <w:t>a i tepelná rozvodná zařízení</w:t>
      </w:r>
      <w:r w:rsidRPr="00DD47DF">
        <w:t>, do nichž je dodáváno teplo ze zdrojů s vyšším výkonem než 20 MW</w:t>
      </w:r>
      <w:r w:rsidR="0054394C" w:rsidRPr="00DD47DF">
        <w:t>. Rekonstrukce/modernizace zdroje  bude umožněna pouze do 20 MW tepelného příkonu.</w:t>
      </w:r>
    </w:p>
    <w:p w14:paraId="786CEF04" w14:textId="77777777" w:rsidR="00A924D2" w:rsidRPr="00DD47DF" w:rsidRDefault="00A924D2" w:rsidP="00A924D2">
      <w:pPr>
        <w:pStyle w:val="Standardntext"/>
      </w:pPr>
      <w:r w:rsidRPr="00DD47DF">
        <w:t>Způsobilými výdaji budou výdaje na stavbu a technologická zařízení včetně měření a regulace v soustavách zásobování teplem nezbytná pro dosažení úspor primární energie</w:t>
      </w:r>
      <w:r w:rsidR="005F7F3F" w:rsidRPr="00DD47DF">
        <w:t>,</w:t>
      </w:r>
      <w:r w:rsidRPr="00DD47DF">
        <w:t xml:space="preserve"> včetně projektové dokumentace a energetického auditu.</w:t>
      </w:r>
    </w:p>
    <w:p w14:paraId="061A725B" w14:textId="77777777" w:rsidR="00471031" w:rsidRPr="00DD47DF" w:rsidRDefault="00471031" w:rsidP="00471031">
      <w:pPr>
        <w:pStyle w:val="Standardntext"/>
        <w:rPr>
          <w:bCs/>
        </w:rPr>
      </w:pPr>
      <w:r w:rsidRPr="00DD47DF">
        <w:t>Výstupy výše uvedených aktivit přispějí k naplňování hlavního výsledku tohoto specifického cíle, kterým je zvýšení úspory primární energie.</w:t>
      </w:r>
      <w:r w:rsidR="008A2959" w:rsidRPr="00DD47DF">
        <w:t xml:space="preserve"> </w:t>
      </w:r>
      <w:r w:rsidR="007C2897" w:rsidRPr="00DD47DF">
        <w:t>Výsledky pokrývají jen teplárenský sektor</w:t>
      </w:r>
      <w:r w:rsidR="008A2959" w:rsidRPr="00DD47DF">
        <w:t>.</w:t>
      </w:r>
    </w:p>
    <w:p w14:paraId="3FA1B0F3" w14:textId="77777777" w:rsidR="00272AE4" w:rsidRPr="00DD47DF" w:rsidRDefault="00272AE4" w:rsidP="009A6E4E">
      <w:pPr>
        <w:pStyle w:val="Standardntext"/>
      </w:pPr>
      <w:r w:rsidRPr="00DD47DF">
        <w:rPr>
          <w:b/>
          <w:bCs/>
        </w:rPr>
        <w:t xml:space="preserve">Hlavní cílová skupina: </w:t>
      </w:r>
      <w:r w:rsidR="00FA6AB3" w:rsidRPr="00DD47DF">
        <w:rPr>
          <w:bCs/>
        </w:rPr>
        <w:t>Podnikatelské subjekty (</w:t>
      </w:r>
      <w:r w:rsidR="009A6E4E" w:rsidRPr="00DD47DF">
        <w:t>velké podniky</w:t>
      </w:r>
      <w:r w:rsidR="00FA6AB3" w:rsidRPr="00DD47DF">
        <w:t xml:space="preserve">, </w:t>
      </w:r>
      <w:r w:rsidR="009A6E4E" w:rsidRPr="00DD47DF">
        <w:t>ale i střední</w:t>
      </w:r>
      <w:r w:rsidR="003D0A72" w:rsidRPr="00DD47DF">
        <w:t xml:space="preserve"> a</w:t>
      </w:r>
      <w:r w:rsidR="009A6E4E" w:rsidRPr="00DD47DF">
        <w:t xml:space="preserve"> případně malé</w:t>
      </w:r>
      <w:r w:rsidR="00FA6AB3" w:rsidRPr="00DD47DF">
        <w:t xml:space="preserve"> podniky) </w:t>
      </w:r>
      <w:r w:rsidR="009A6E4E" w:rsidRPr="00DD47DF">
        <w:t xml:space="preserve">které se soustředí na výrobu a dodávku tepla do systému </w:t>
      </w:r>
      <w:r w:rsidR="003D0A72" w:rsidRPr="00DD47DF">
        <w:t xml:space="preserve">zásobování teplem z </w:t>
      </w:r>
      <w:r w:rsidR="00EE7AF6" w:rsidRPr="00DD47DF">
        <w:t>kombinované výroby elektřiny a tepla</w:t>
      </w:r>
      <w:r w:rsidR="003D0A72" w:rsidRPr="00DD47DF">
        <w:t>.</w:t>
      </w:r>
    </w:p>
    <w:p w14:paraId="390E3458" w14:textId="77777777" w:rsidR="00272AE4" w:rsidRPr="00DD47DF" w:rsidRDefault="00272AE4" w:rsidP="009A6E4E">
      <w:pPr>
        <w:pStyle w:val="Standardntext"/>
      </w:pPr>
      <w:r w:rsidRPr="00DD47DF">
        <w:rPr>
          <w:b/>
          <w:bCs/>
        </w:rPr>
        <w:t xml:space="preserve">Cílové území: </w:t>
      </w:r>
      <w:r w:rsidR="001E0AA2" w:rsidRPr="00DD47DF">
        <w:t>Území České republiky, mimo území hl. m. Prahy.</w:t>
      </w:r>
      <w:r w:rsidR="00015039" w:rsidRPr="00DD47DF">
        <w:t xml:space="preserve"> Z hlediska územní dimenze </w:t>
      </w:r>
      <w:r w:rsidR="00A46CD6" w:rsidRPr="00DD47DF">
        <w:t>bude tento specifický cíl zaměřen na urbánní území, kde se předpokládá zapojení do integrovaného nástroje ITI.</w:t>
      </w:r>
    </w:p>
    <w:p w14:paraId="70FAD42E" w14:textId="31F79BF5" w:rsidR="000F32C8" w:rsidRPr="00DD47DF" w:rsidRDefault="00272AE4" w:rsidP="00951C8A">
      <w:pPr>
        <w:pStyle w:val="Standardntext"/>
      </w:pPr>
      <w:r w:rsidRPr="00DD47DF">
        <w:rPr>
          <w:b/>
          <w:bCs/>
        </w:rPr>
        <w:t xml:space="preserve">Typy příjemců: </w:t>
      </w:r>
      <w:r w:rsidRPr="00DD47DF">
        <w:t>Podnikatelské subjekty (malé, střední a velké podniky).</w:t>
      </w:r>
      <w:r w:rsidR="00951C8A" w:rsidRPr="00DD47DF">
        <w:t xml:space="preserve"> </w:t>
      </w:r>
      <w:r w:rsidR="000F32C8" w:rsidRPr="00DD47DF">
        <w:t>Dělící linie mezi OP PIK a OP ŽP: OP PIK se zaměřuje na podnikatelské subjekty, včetně těch, které jsou až ze 100 % vlastněny státem; OP ŽP se zaměřuje na veřejný sektor.</w:t>
      </w:r>
    </w:p>
    <w:p w14:paraId="61AADC19" w14:textId="77777777" w:rsidR="00951C8A" w:rsidRPr="00DD47DF" w:rsidRDefault="00951C8A" w:rsidP="00951C8A">
      <w:pPr>
        <w:pStyle w:val="Standardntext"/>
      </w:pPr>
      <w:r w:rsidRPr="00DD47DF">
        <w:lastRenderedPageBreak/>
        <w:t>Z hlediska podpory velkých podniků (dle čl. 3 odst. 1 písm. b) nařízení o EFRR) je třeba upozornit, že teplárenské společnosti, ve kterých má obec nebo město vlastnický podíl 25 a více procent s výjimkou obcí do 5000 obyvatel a s rozpočtem nižším než 10 milionů EUR nejsou podle definice MSP uvedené v příloze č. II návrhu Nařízení Komise</w:t>
      </w:r>
      <w:r w:rsidR="005F7F3F" w:rsidRPr="00DD47DF">
        <w:t xml:space="preserve"> o blokových výjimkách</w:t>
      </w:r>
      <w:r w:rsidRPr="00DD47DF">
        <w:t>, kterým se v souladu s články 107 a 108 Smlouvy prohlašují určité kategorie podpory za slučitelné s vnitřním trhem, považovány za MSP i v případě, že sami o sobě podmínky MSP splňují. Významná část teplárenských společností je v ČR ve vlastnictví municipalit a tyto společnosti by byly s ohledem na definici MSP zcela vyloučeny z možnosti čerpání podpory v oblasti specifického cíle 3.5.</w:t>
      </w:r>
    </w:p>
    <w:p w14:paraId="72CAA0CB" w14:textId="77777777" w:rsidR="00951C8A" w:rsidRPr="00DD47DF" w:rsidRDefault="00951C8A" w:rsidP="00951C8A">
      <w:pPr>
        <w:pStyle w:val="Standardntext"/>
      </w:pPr>
      <w:r w:rsidRPr="00DD47DF">
        <w:t>Podíl podniků, které nesplňují definici MSP na celkových agregovaných údajích sektoru, lze velmi konzervativně odhadnout následujícím způsobem. Podíl velkých podniků na délce rozvodů tepla přesahuje 50 %, na celkové dodávce tepla do soustav dálkového vytápění přesahuje 70 % a na výrobě elektřiny z kombinované výroby elektřiny a tepla přesahuje 75 %. Mezi velké podniky byly zařazeny pouze společnosti, u kterých byl jejich status ověřen. Reálný podíl společností, které nesplní definici MSP, bude ve skutečnosti významně vyšší. I uvedená čísla však přesvědčivě dokumentují ztrátu absorpční kapacity specifického cíle 3.5, ke které by došlo v případě vyloučení velkých podniků z možnosti čerpání podpory v této oblasti.</w:t>
      </w:r>
    </w:p>
    <w:p w14:paraId="6287734C" w14:textId="77777777" w:rsidR="00272AE4" w:rsidRPr="00DD47DF" w:rsidRDefault="00951C8A" w:rsidP="00951C8A">
      <w:pPr>
        <w:pStyle w:val="Standardntext"/>
      </w:pPr>
      <w:r w:rsidRPr="00DD47DF">
        <w:t>V neposlední řadě je potřeba upozornit, že podnikání společností provozujících soustavy dálkového vytápění je pevně vázáno na příslušnou soustavu a má tudíž výrazně lokální charakter. Z tohoto důvodu si jednotlivé společnosti a tedy ani MSP a velké podniky v tomto odvětví v zásadě vzájemně nekonkurují. Podpora velkých podniků v oblasti specifického cíle 3.5 tedy nemůže mít negativní dopady na rozvoj MSP.</w:t>
      </w:r>
    </w:p>
    <w:p w14:paraId="015F05A7" w14:textId="77777777" w:rsidR="00272AE4" w:rsidRPr="00DD47DF" w:rsidRDefault="00BA6461" w:rsidP="005F43DF">
      <w:pPr>
        <w:pStyle w:val="Nadpis5"/>
        <w:numPr>
          <w:ilvl w:val="4"/>
          <w:numId w:val="24"/>
        </w:numPr>
      </w:pPr>
      <w:r w:rsidRPr="00DD47DF">
        <w:t>Hlavní zásady pro výběr operací</w:t>
      </w:r>
    </w:p>
    <w:p w14:paraId="35687F62" w14:textId="77777777" w:rsidR="0042487A" w:rsidRPr="00DD47DF" w:rsidRDefault="00FE3385" w:rsidP="0042487A">
      <w:pPr>
        <w:pStyle w:val="Standardntext"/>
      </w:pPr>
      <w:r w:rsidRPr="00DD47DF">
        <w:t>Společné obecné zásady pro výběr operací pro všechny investiční priority celého OP PIK jsou uvedeny v prioritní ose 1 v oddíle 2.A.6.2.</w:t>
      </w:r>
    </w:p>
    <w:p w14:paraId="04EB906C" w14:textId="77777777" w:rsidR="00C0640C" w:rsidRPr="00DD47DF" w:rsidRDefault="00C0640C" w:rsidP="00C0640C">
      <w:pPr>
        <w:pStyle w:val="Standardntext"/>
      </w:pPr>
      <w:r w:rsidRPr="00DD47DF">
        <w:t>V rámci výběru a hodnocení projektů budou posuzována především následující kritéria:</w:t>
      </w:r>
    </w:p>
    <w:p w14:paraId="5C10388E" w14:textId="77777777" w:rsidR="00C0640C" w:rsidRPr="00DD47DF" w:rsidRDefault="00C0640C" w:rsidP="00FB3387">
      <w:pPr>
        <w:pStyle w:val="Standardntext"/>
        <w:numPr>
          <w:ilvl w:val="0"/>
          <w:numId w:val="43"/>
        </w:numPr>
      </w:pPr>
      <w:r w:rsidRPr="00DD47DF">
        <w:t xml:space="preserve">Kvalita a potřebnost projektu s ohledem na </w:t>
      </w:r>
      <w:r w:rsidR="00945CA9" w:rsidRPr="00DD47DF">
        <w:t>jeho ekologické přínosy a ekonomickou efektivnost; zejména bude kladen důraz na poměr investičních nákladů k úspoře energii a redukci emisí znečišťujících látek.</w:t>
      </w:r>
    </w:p>
    <w:p w14:paraId="755677B3" w14:textId="77777777" w:rsidR="00DD1988" w:rsidRPr="00DD47DF" w:rsidRDefault="00DD1988" w:rsidP="00FB3387">
      <w:pPr>
        <w:pStyle w:val="Standardntext"/>
        <w:numPr>
          <w:ilvl w:val="0"/>
          <w:numId w:val="43"/>
        </w:numPr>
      </w:pPr>
      <w:r w:rsidRPr="00DD47DF">
        <w:t>Prioritně budou podpořeny projekty rekonstrukce tepelných sítí.</w:t>
      </w:r>
    </w:p>
    <w:p w14:paraId="113AFF3F" w14:textId="77777777" w:rsidR="00DD1988" w:rsidRPr="00DD47DF" w:rsidRDefault="00DD1988" w:rsidP="00FB3387">
      <w:pPr>
        <w:pStyle w:val="Standardntext"/>
        <w:numPr>
          <w:ilvl w:val="0"/>
          <w:numId w:val="43"/>
        </w:numPr>
      </w:pPr>
      <w:r w:rsidRPr="00DD47DF">
        <w:t>Výstavba zcela nové soustavy zásobování teplem  či výstavba tepelných rozvodů bude možná pouze za podmínky zpracování analýzy, která prokáže zvýšení energetické účinnosti, nákladově optimální řešení, a která přinese nejlepší úspory energie ve srovnání s jinými opatřeními.</w:t>
      </w:r>
    </w:p>
    <w:p w14:paraId="1F5ED90C" w14:textId="77777777" w:rsidR="00A92A82" w:rsidRPr="00DD47DF" w:rsidRDefault="00A92A82" w:rsidP="002E46E2">
      <w:pPr>
        <w:pStyle w:val="Standardntext"/>
        <w:numPr>
          <w:ilvl w:val="0"/>
          <w:numId w:val="43"/>
        </w:numPr>
      </w:pPr>
      <w:r w:rsidRPr="00DD47DF">
        <w:t xml:space="preserve">Podpořen nebude projekt </w:t>
      </w:r>
      <w:r w:rsidR="00B80388" w:rsidRPr="00DD47DF">
        <w:t xml:space="preserve">instalace a </w:t>
      </w:r>
      <w:r w:rsidRPr="00DD47DF">
        <w:t>rekonstrukce zařízení (zdroje) nad 20 MW tepelného příkon</w:t>
      </w:r>
      <w:r w:rsidR="008701FE" w:rsidRPr="00DD47DF">
        <w:t>u</w:t>
      </w:r>
      <w:r w:rsidRPr="00DD47DF">
        <w:t xml:space="preserve"> (po rekonstrukci).</w:t>
      </w:r>
    </w:p>
    <w:p w14:paraId="14B96DF0" w14:textId="77777777" w:rsidR="00B80388" w:rsidRPr="00DD47DF" w:rsidRDefault="00276C89" w:rsidP="00FB3387">
      <w:pPr>
        <w:pStyle w:val="Standardntext"/>
        <w:numPr>
          <w:ilvl w:val="0"/>
          <w:numId w:val="43"/>
        </w:numPr>
      </w:pPr>
      <w:r w:rsidRPr="00DD47DF">
        <w:t>Žádná podpora nebude udělena na spolufinancování zařízení, na něž se vztahuje směrnice o průmyslových emisích, která je použitelná na zařízení pro výrobu energie a dálkové vytápění nad 50 MW</w:t>
      </w:r>
      <w:r w:rsidR="00B80388" w:rsidRPr="00DD47DF">
        <w:t>.</w:t>
      </w:r>
    </w:p>
    <w:p w14:paraId="28BB5C17" w14:textId="77777777" w:rsidR="00902AAE" w:rsidRPr="00DD47DF" w:rsidRDefault="00902AAE" w:rsidP="00902AAE">
      <w:pPr>
        <w:pStyle w:val="Standardntext"/>
        <w:numPr>
          <w:ilvl w:val="0"/>
          <w:numId w:val="43"/>
        </w:numPr>
      </w:pPr>
      <w:r w:rsidRPr="00DD47DF">
        <w:t>Měly by být vybírány projekty, které zajišťují nejnižší emise CO</w:t>
      </w:r>
      <w:r w:rsidRPr="00DD47DF">
        <w:rPr>
          <w:vertAlign w:val="subscript"/>
        </w:rPr>
        <w:t>2</w:t>
      </w:r>
      <w:r w:rsidRPr="00DD47DF">
        <w:t xml:space="preserve"> a nejmenší znečištění ovzduší – zejména PM10.</w:t>
      </w:r>
    </w:p>
    <w:p w14:paraId="36C8B845" w14:textId="77777777" w:rsidR="00902AAE" w:rsidRPr="00DD47DF" w:rsidRDefault="00902AAE" w:rsidP="00902AAE">
      <w:pPr>
        <w:pStyle w:val="Standardntext"/>
        <w:numPr>
          <w:ilvl w:val="0"/>
          <w:numId w:val="43"/>
        </w:numPr>
      </w:pPr>
      <w:r w:rsidRPr="00DD47DF">
        <w:lastRenderedPageBreak/>
        <w:t>Projekty by měly prokázat ekonomickou udržitelnost a – je-li to relevantní – řešit energetickou chudobu.</w:t>
      </w:r>
    </w:p>
    <w:p w14:paraId="4D5207B5" w14:textId="77777777" w:rsidR="00902AAE" w:rsidRPr="00DD47DF" w:rsidRDefault="00902AAE" w:rsidP="00902AAE">
      <w:pPr>
        <w:pStyle w:val="Standardntext"/>
        <w:numPr>
          <w:ilvl w:val="0"/>
          <w:numId w:val="43"/>
        </w:numPr>
      </w:pPr>
      <w:r w:rsidRPr="00DD47DF">
        <w:t xml:space="preserve">Přednost by měly dostat projekty využívající energii z obnovitelných zdrojů. </w:t>
      </w:r>
    </w:p>
    <w:p w14:paraId="5EFE8005" w14:textId="77777777" w:rsidR="00902AAE" w:rsidRPr="00DD47DF" w:rsidRDefault="00BB5CA2" w:rsidP="00902AAE">
      <w:pPr>
        <w:pStyle w:val="Standardntext"/>
        <w:numPr>
          <w:ilvl w:val="0"/>
          <w:numId w:val="43"/>
        </w:numPr>
      </w:pPr>
      <w:r w:rsidRPr="00DD47DF">
        <w:t>Projekt by měl prokázat, že investice je založena na poptávce po užitečném teple.</w:t>
      </w:r>
      <w:r w:rsidR="00902AAE" w:rsidRPr="00DD47DF">
        <w:t xml:space="preserve"> </w:t>
      </w:r>
    </w:p>
    <w:p w14:paraId="648234C7" w14:textId="77777777" w:rsidR="00902AAE" w:rsidRPr="00DD47DF" w:rsidRDefault="00902AAE" w:rsidP="00902AAE">
      <w:pPr>
        <w:pStyle w:val="Standardntext"/>
        <w:numPr>
          <w:ilvl w:val="0"/>
          <w:numId w:val="43"/>
        </w:numPr>
      </w:pPr>
      <w:r w:rsidRPr="00DD47DF">
        <w:t>Všechny investice musí být v souladu s normami a právními předpisy EU v oblasti životního prostředí.</w:t>
      </w:r>
    </w:p>
    <w:p w14:paraId="722FA4E2" w14:textId="77777777" w:rsidR="0054394C" w:rsidRPr="00DD47DF" w:rsidRDefault="00902AAE" w:rsidP="00902AAE">
      <w:pPr>
        <w:pStyle w:val="Standardntext"/>
        <w:numPr>
          <w:ilvl w:val="0"/>
          <w:numId w:val="43"/>
        </w:numPr>
      </w:pPr>
      <w:r w:rsidRPr="00DD47DF">
        <w:t>Mělo být podporováno využívání poskytovatelů energetických služeb a finančních nástrojů.</w:t>
      </w:r>
    </w:p>
    <w:p w14:paraId="28D57634" w14:textId="1F0D00A6" w:rsidR="0054394C" w:rsidRPr="00DD47DF" w:rsidRDefault="00427C5D" w:rsidP="00427C5D">
      <w:pPr>
        <w:pStyle w:val="Standardntext"/>
        <w:numPr>
          <w:ilvl w:val="0"/>
          <w:numId w:val="43"/>
        </w:numPr>
      </w:pPr>
      <w:r w:rsidRPr="00427C5D">
        <w:t>Podpořeny budou pouze projekty, které splňují požadavky mezních hodnot emisí pro spalovací zařízení podle Směrnice 2015/2193/ES o omezení emisí některých znečišťujících látek do ovzduší ze středních spalovacích zařízení. Prioritně budou podporovány projekty, které přispívají k plnění směrnice o nových národních emisních stropech, která vstoupila v platnost dne 31. prosince 2016.</w:t>
      </w:r>
      <w:r w:rsidR="002E46E2" w:rsidRPr="00DD47DF">
        <w:t xml:space="preserve"> </w:t>
      </w:r>
    </w:p>
    <w:p w14:paraId="2024655C" w14:textId="77777777" w:rsidR="0054394C" w:rsidRPr="00DD47DF" w:rsidRDefault="00463683" w:rsidP="009D3B07">
      <w:pPr>
        <w:pStyle w:val="Standardntext"/>
        <w:numPr>
          <w:ilvl w:val="0"/>
          <w:numId w:val="43"/>
        </w:numPr>
      </w:pPr>
      <w:r w:rsidRPr="00DD47DF">
        <w:t>Životnost investic v tomto odvětví se počítá na desítky let, a měly by proto odpovídat příslušným ustanovením a politikám právních předpisů EU. Systémy vytápění finančně podporované z OP musí již od počátku programového období splňovat minimální požadavky na energetickou účinnost a na emise platné ke konci roku 2020, jak to stanoví prováděcí opatření směrnice o ekodesignu 2009/125/ES.</w:t>
      </w:r>
    </w:p>
    <w:p w14:paraId="2F51444D" w14:textId="77777777" w:rsidR="006A5E3C" w:rsidRPr="00DD47DF" w:rsidRDefault="00A92A82" w:rsidP="0054394C">
      <w:pPr>
        <w:pStyle w:val="Standardntext"/>
        <w:numPr>
          <w:ilvl w:val="0"/>
          <w:numId w:val="43"/>
        </w:numPr>
      </w:pPr>
      <w:r w:rsidRPr="00DD47DF">
        <w:t>Podpořeny nebudou projekty zaměřené na výstavbu a rekonstrukci zdrojů tepla a kombinované výroby elektřiny a tepla z biomasy.</w:t>
      </w:r>
    </w:p>
    <w:p w14:paraId="5BB61B8F" w14:textId="77777777" w:rsidR="00A92A82" w:rsidRPr="00DD47DF" w:rsidRDefault="00A92A82" w:rsidP="00FB3387">
      <w:pPr>
        <w:pStyle w:val="Standardntext"/>
        <w:numPr>
          <w:ilvl w:val="0"/>
          <w:numId w:val="43"/>
        </w:numPr>
      </w:pPr>
      <w:r w:rsidRPr="00DD47DF">
        <w:t>Podpořeny nebudou projekty zaměřené na rekonstrukci/výstavbu zdroje kombinované výroby elektřiny a tepla a monovýroby tepla, která využívá jako palivo uhlí včetně  spoluspalování uhlí a biomasy. (Rekonstrukce a výstavba tepelných rozvodných zařízení bude podporována bez ohledu na to, jaké palivo využívá zdroj dodávající teplo do tepelného rozvodného zařízení).</w:t>
      </w:r>
    </w:p>
    <w:p w14:paraId="744C11C4" w14:textId="77777777" w:rsidR="00453052" w:rsidRPr="00DD47DF" w:rsidRDefault="00453052" w:rsidP="00FB3387">
      <w:pPr>
        <w:pStyle w:val="Standardntext"/>
        <w:numPr>
          <w:ilvl w:val="0"/>
          <w:numId w:val="43"/>
        </w:numPr>
      </w:pPr>
      <w:r w:rsidRPr="00DD47DF">
        <w:t>Základním předpokladem každého projektu by měla být zajištěná poptávka po užitečném teple. Prioritně se bude podpora zaměřovat na snížení ztrát tepelných rozvodů a v případě, kde nebude zajištěna dodávka užitečného tepla, se přistoupí k zavádění kogenerační výroby.</w:t>
      </w:r>
    </w:p>
    <w:p w14:paraId="25527DB9" w14:textId="77777777" w:rsidR="00C0640C" w:rsidRPr="00DD47DF" w:rsidRDefault="001963EC" w:rsidP="00FB3387">
      <w:pPr>
        <w:pStyle w:val="Standardntext"/>
        <w:numPr>
          <w:ilvl w:val="0"/>
          <w:numId w:val="43"/>
        </w:numPr>
      </w:pPr>
      <w:r w:rsidRPr="00DD47DF">
        <w:t>Soulad projektu s</w:t>
      </w:r>
      <w:r w:rsidR="00BA4E72" w:rsidRPr="00DD47DF">
        <w:t xml:space="preserve"> </w:t>
      </w:r>
      <w:r w:rsidRPr="00DD47DF">
        <w:t xml:space="preserve">územní dimenzí a uplatněním integrovaných </w:t>
      </w:r>
      <w:r w:rsidR="009D1769" w:rsidRPr="00DD47DF">
        <w:t>nástrojů</w:t>
      </w:r>
      <w:r w:rsidRPr="00DD47DF">
        <w:t xml:space="preserve"> (ITI) v rámci této investiční priority</w:t>
      </w:r>
      <w:r w:rsidR="00C63CF5" w:rsidRPr="00DD47DF">
        <w:t xml:space="preserve"> (viz </w:t>
      </w:r>
      <w:r w:rsidR="00C63CF5" w:rsidRPr="00DD47DF">
        <w:rPr>
          <w:i/>
        </w:rPr>
        <w:t>Cílové území</w:t>
      </w:r>
      <w:r w:rsidR="00C63CF5" w:rsidRPr="00DD47DF">
        <w:t xml:space="preserve"> v oddíle 2.A.6.1 a dále oddíl 4)</w:t>
      </w:r>
      <w:r w:rsidRPr="00DD47DF">
        <w:t>.</w:t>
      </w:r>
    </w:p>
    <w:p w14:paraId="68ADDCE0" w14:textId="77777777" w:rsidR="00C0640C" w:rsidRPr="00DD47DF" w:rsidRDefault="00C0640C" w:rsidP="00FB3387">
      <w:pPr>
        <w:pStyle w:val="Standardntext"/>
        <w:numPr>
          <w:ilvl w:val="0"/>
          <w:numId w:val="43"/>
        </w:numPr>
      </w:pPr>
      <w:r w:rsidRPr="00DD47DF">
        <w:t xml:space="preserve">Soulad projektu s horizontálními principy, mezi něž patří udržitelný rozvoj, rovné příležitosti a ochrana před diskriminací. Projekt, který bude v rozporu s těmito principy, nebude v rámci OP PIK podpořen (blíže viz oddíl 11). </w:t>
      </w:r>
    </w:p>
    <w:p w14:paraId="70FF5FD4" w14:textId="77777777" w:rsidR="00A92A82" w:rsidRPr="00DD47DF" w:rsidRDefault="00A92A82" w:rsidP="00FB3387">
      <w:pPr>
        <w:pStyle w:val="Standardntext"/>
        <w:numPr>
          <w:ilvl w:val="0"/>
          <w:numId w:val="43"/>
        </w:numPr>
      </w:pPr>
      <w:r w:rsidRPr="00DD47DF">
        <w:t>Soulad projektu s nízkouhlíkovou strategií/akčním plánem pro udržitelnou energii.</w:t>
      </w:r>
    </w:p>
    <w:p w14:paraId="100C3BC8" w14:textId="7C894554" w:rsidR="00D5203D" w:rsidRPr="00DD47DF" w:rsidRDefault="00D5203D" w:rsidP="00DC0681">
      <w:pPr>
        <w:pStyle w:val="Standardntext"/>
        <w:numPr>
          <w:ilvl w:val="0"/>
          <w:numId w:val="43"/>
        </w:numPr>
      </w:pPr>
      <w:r w:rsidRPr="00DD47DF">
        <w:t>Vliv projektu na oblast klimatu bude na projektové úrovni sledován prostřednictvím indikátoru „Odhadované roční snížení emisí skleníkových plynů“</w:t>
      </w:r>
      <w:r w:rsidR="00C306CB" w:rsidRPr="00DD47DF">
        <w:t xml:space="preserve"> (3 60 10)</w:t>
      </w:r>
      <w:r w:rsidRPr="00DD47DF">
        <w:t>. Nad rámec toho bude na projektové úrovni interně monitorován vliv daného projektu na oblast ovzduší prostřednictvím indikátoru „</w:t>
      </w:r>
      <w:r w:rsidR="00DC0681" w:rsidRPr="00DC0681">
        <w:t xml:space="preserve">Množství emisí primárních částic a prekurzorů </w:t>
      </w:r>
      <w:r w:rsidR="00DC0681" w:rsidRPr="00DC0681">
        <w:lastRenderedPageBreak/>
        <w:t>sekundárních částic</w:t>
      </w:r>
      <w:r w:rsidRPr="00DD47DF">
        <w:t>“</w:t>
      </w:r>
      <w:r w:rsidR="00C306CB" w:rsidRPr="00DD47DF">
        <w:t xml:space="preserve"> (3 61 11)</w:t>
      </w:r>
      <w:r w:rsidR="00E624A1" w:rsidRPr="00DD47DF">
        <w:rPr>
          <w:rStyle w:val="Znakapoznpodarou"/>
        </w:rPr>
        <w:footnoteReference w:id="68"/>
      </w:r>
      <w:r w:rsidRPr="00DD47DF">
        <w:t>. Tyto environmentální indikátory budou dále agregovány pro potřeby Dohody o partnerství</w:t>
      </w:r>
      <w:r w:rsidR="00E624A1" w:rsidRPr="00DD47DF">
        <w:t xml:space="preserve"> a Výročních zpráv OP PIK</w:t>
      </w:r>
      <w:r w:rsidRPr="00DD47DF">
        <w:t>.</w:t>
      </w:r>
    </w:p>
    <w:p w14:paraId="405E338F" w14:textId="77777777" w:rsidR="0038435E" w:rsidRPr="00DD47DF" w:rsidRDefault="0038435E" w:rsidP="0038435E">
      <w:pPr>
        <w:pStyle w:val="Standardntext"/>
        <w:numPr>
          <w:ilvl w:val="0"/>
          <w:numId w:val="43"/>
        </w:numPr>
      </w:pPr>
      <w:r w:rsidRPr="00DD47DF">
        <w:t>Projekt musí splňovat alespoň požadavky na úrovni kladené spodní polovinou intervalu nejlepších dostupných technik</w:t>
      </w:r>
      <w:r w:rsidRPr="00DD47DF" w:rsidDel="00A808D6">
        <w:t xml:space="preserve"> </w:t>
      </w:r>
      <w:r w:rsidRPr="00DD47DF">
        <w:rPr>
          <w:rStyle w:val="Znakapoznpodarou"/>
        </w:rPr>
        <w:footnoteReference w:id="69"/>
      </w:r>
      <w:r w:rsidRPr="00DD47DF">
        <w:t>.</w:t>
      </w:r>
    </w:p>
    <w:p w14:paraId="78ECCEDC" w14:textId="77777777" w:rsidR="00A92A82" w:rsidRPr="00DD47DF" w:rsidRDefault="00A92A82" w:rsidP="00FB3387">
      <w:pPr>
        <w:pStyle w:val="Standardntext"/>
        <w:numPr>
          <w:ilvl w:val="0"/>
          <w:numId w:val="43"/>
        </w:numPr>
      </w:pPr>
      <w:r w:rsidRPr="00DD47DF">
        <w:t>Podporovány budou projekty s vysokou mírou účinnosti.</w:t>
      </w:r>
    </w:p>
    <w:p w14:paraId="2FC8CCED" w14:textId="77777777" w:rsidR="00A92A82" w:rsidRPr="00DD47DF" w:rsidRDefault="00A92A82" w:rsidP="00FB3387">
      <w:pPr>
        <w:pStyle w:val="Standardntext"/>
        <w:numPr>
          <w:ilvl w:val="0"/>
          <w:numId w:val="43"/>
        </w:numPr>
      </w:pPr>
      <w:r w:rsidRPr="00DD47DF">
        <w:t>Projekt nesmí být financován provozní podporou obnovitelných zdrojů energie.</w:t>
      </w:r>
    </w:p>
    <w:p w14:paraId="456A7571" w14:textId="77777777" w:rsidR="00C0640C" w:rsidRPr="00DD47DF" w:rsidRDefault="00C0640C" w:rsidP="00FB3387">
      <w:pPr>
        <w:pStyle w:val="Standardntext"/>
        <w:numPr>
          <w:ilvl w:val="0"/>
          <w:numId w:val="43"/>
        </w:numPr>
      </w:pPr>
      <w:r w:rsidRPr="00DD47DF">
        <w:t>Součástí projektu musí být energetický audit</w:t>
      </w:r>
      <w:r w:rsidR="008A7937" w:rsidRPr="00DD47DF">
        <w:t xml:space="preserve"> doporučující nejvhodnější opatření, která budou realizována</w:t>
      </w:r>
      <w:r w:rsidRPr="00DD47DF">
        <w:t xml:space="preserve">. </w:t>
      </w:r>
    </w:p>
    <w:p w14:paraId="4403A8DF" w14:textId="77777777" w:rsidR="00192F36" w:rsidRPr="00DD47DF" w:rsidRDefault="00192F36" w:rsidP="00FB3387">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5B72511F" w14:textId="77777777" w:rsidR="00272AE4" w:rsidRPr="00DD47DF" w:rsidRDefault="00BA6461" w:rsidP="005F43DF">
      <w:pPr>
        <w:pStyle w:val="Nadpis5"/>
        <w:numPr>
          <w:ilvl w:val="4"/>
          <w:numId w:val="24"/>
        </w:numPr>
        <w:rPr>
          <w:rFonts w:cs="Calibri"/>
        </w:rPr>
      </w:pPr>
      <w:r w:rsidRPr="00DD47DF">
        <w:t xml:space="preserve">Plánované využití finančních nástrojů </w:t>
      </w:r>
    </w:p>
    <w:p w14:paraId="4B9EF17F" w14:textId="09D0112A" w:rsidR="00C45CD5" w:rsidRPr="00DD47DF" w:rsidRDefault="00FA317B" w:rsidP="000373F5">
      <w:pPr>
        <w:pStyle w:val="Standardntext"/>
      </w:pPr>
      <w:r w:rsidRPr="00FA317B">
        <w:t>Řídící orgán nepředpokládá využití finančních nástrojů v této investiční prioritě. Detaily stanoví konečná verze předběžného posouzení finančních nástrojů OP PIK dle čl. 37 odst. 2 obecného nařízení, které provede ŘO OP PIK, případně jeho revize podle čl. 37 odst. 2 písm. g) obecného nařízení.</w:t>
      </w:r>
    </w:p>
    <w:p w14:paraId="2BA369CF" w14:textId="77777777" w:rsidR="00272AE4" w:rsidRPr="00DD47DF" w:rsidRDefault="00BA6461" w:rsidP="005F43DF">
      <w:pPr>
        <w:pStyle w:val="Nadpis5"/>
        <w:numPr>
          <w:ilvl w:val="4"/>
          <w:numId w:val="24"/>
        </w:numPr>
      </w:pPr>
      <w:r w:rsidRPr="00DD47DF">
        <w:t>Plánované využití velkých projektů (použije-li se)</w:t>
      </w:r>
    </w:p>
    <w:p w14:paraId="371EE76B" w14:textId="16DCC9A2" w:rsidR="002A4D1D" w:rsidRPr="00DD47DF" w:rsidRDefault="009C19AC" w:rsidP="002A4D1D">
      <w:pPr>
        <w:pStyle w:val="Standardntext"/>
      </w:pPr>
      <w:r w:rsidRPr="009C19AC">
        <w:t>Velké projekty ve smyslu čl. 100 obecného nařízení jsou plánovány. OP PPIK bude realizován také prostřednictvím tzv. velkých projektů, jejichž celkové způsobilé náklady budou vyšší než 50 mil. EUR</w:t>
      </w:r>
      <w:r w:rsidR="002A4D1D" w:rsidRPr="00DD47DF">
        <w:t>.</w:t>
      </w:r>
    </w:p>
    <w:p w14:paraId="37A0B6B5" w14:textId="77777777" w:rsidR="0058402E" w:rsidRPr="00DD47DF" w:rsidRDefault="00BA6461" w:rsidP="001049C5">
      <w:pPr>
        <w:pStyle w:val="Nadpis5"/>
        <w:keepNext w:val="0"/>
        <w:keepLines w:val="0"/>
        <w:numPr>
          <w:ilvl w:val="4"/>
          <w:numId w:val="24"/>
        </w:numPr>
      </w:pPr>
      <w:r w:rsidRPr="00DD47DF">
        <w:t>Ukazatele výstupů podle investiční priority a případně podle kategorie regionů</w:t>
      </w:r>
    </w:p>
    <w:p w14:paraId="2B8E187E" w14:textId="77777777" w:rsidR="0058402E" w:rsidRPr="00DD47DF" w:rsidRDefault="0058402E" w:rsidP="001049C5">
      <w:pPr>
        <w:pStyle w:val="Titulek"/>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668"/>
        <w:gridCol w:w="2071"/>
        <w:gridCol w:w="1293"/>
        <w:gridCol w:w="665"/>
        <w:gridCol w:w="1177"/>
        <w:gridCol w:w="1317"/>
        <w:gridCol w:w="997"/>
        <w:gridCol w:w="1138"/>
      </w:tblGrid>
      <w:tr w:rsidR="001B2E5C" w:rsidRPr="00DD47DF" w14:paraId="12F886F9" w14:textId="77777777">
        <w:trPr>
          <w:trHeight w:hRule="exact" w:val="1044"/>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54E7258" w14:textId="77777777" w:rsidR="001B2E5C" w:rsidRPr="00DD47DF" w:rsidRDefault="001B2E5C" w:rsidP="001049C5">
            <w:pPr>
              <w:pStyle w:val="Tabulka"/>
              <w:rPr>
                <w:rFonts w:cs="Calibri"/>
                <w:b/>
              </w:rPr>
            </w:pPr>
            <w:r w:rsidRPr="00DD47DF">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D8541E8" w14:textId="77777777" w:rsidR="001B2E5C" w:rsidRPr="00DD47DF" w:rsidRDefault="001B2E5C" w:rsidP="001049C5">
            <w:pPr>
              <w:pStyle w:val="Tabulka"/>
              <w:rPr>
                <w:rFonts w:cs="Calibri"/>
                <w:b/>
              </w:rPr>
            </w:pPr>
            <w:r w:rsidRPr="00DD47DF">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C3E3400" w14:textId="77777777" w:rsidR="001B2E5C" w:rsidRPr="00DD47DF" w:rsidRDefault="001B2E5C" w:rsidP="001049C5">
            <w:pPr>
              <w:pStyle w:val="Tabulka"/>
              <w:rPr>
                <w:rFonts w:cs="Calibri"/>
                <w:b/>
              </w:rPr>
            </w:pPr>
            <w:r w:rsidRPr="00DD47DF">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95DD239" w14:textId="77777777" w:rsidR="001B2E5C" w:rsidRPr="00DD47DF" w:rsidRDefault="001B2E5C" w:rsidP="001049C5">
            <w:pPr>
              <w:pStyle w:val="Tabulka"/>
              <w:rPr>
                <w:rFonts w:cs="Calibri"/>
                <w:b/>
              </w:rPr>
            </w:pPr>
            <w:r w:rsidRPr="00DD47DF">
              <w:rPr>
                <w:rFonts w:cs="Calibri"/>
                <w:b/>
              </w:rPr>
              <w:t>Fond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F568FAE" w14:textId="77777777" w:rsidR="001B2E5C" w:rsidRPr="00DD47DF" w:rsidRDefault="001B2E5C" w:rsidP="001049C5">
            <w:pPr>
              <w:pStyle w:val="Tabulka"/>
              <w:rPr>
                <w:rFonts w:cs="Calibri"/>
                <w:b/>
              </w:rPr>
            </w:pPr>
            <w:r w:rsidRPr="00DD47DF">
              <w:rPr>
                <w:rFonts w:cs="Calibri"/>
                <w:b/>
              </w:rPr>
              <w:t>Kategorie regionu</w:t>
            </w:r>
          </w:p>
        </w:tc>
        <w:tc>
          <w:tcPr>
            <w:tcW w:w="1317"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06D2B7D1" w14:textId="77777777" w:rsidR="001B2E5C" w:rsidRPr="00DD47DF" w:rsidRDefault="001B2E5C" w:rsidP="001049C5">
            <w:pPr>
              <w:pStyle w:val="Tabulka"/>
              <w:rPr>
                <w:rFonts w:cs="Calibri"/>
                <w:b/>
              </w:rPr>
            </w:pPr>
            <w:r w:rsidRPr="00DD47DF">
              <w:rPr>
                <w:rFonts w:cs="Calibri"/>
                <w:b/>
              </w:rPr>
              <w:t>Cílová hodnota</w:t>
            </w:r>
            <w:r w:rsidR="00956C4F" w:rsidRPr="00DD47DF">
              <w:rPr>
                <w:rFonts w:cs="Calibri"/>
                <w:b/>
              </w:rPr>
              <w:t xml:space="preserve"> </w:t>
            </w:r>
            <w:r w:rsidRPr="00DD47DF">
              <w:rPr>
                <w:rFonts w:cs="Calibri"/>
                <w:b/>
              </w:rPr>
              <w:t>(2023)</w:t>
            </w:r>
          </w:p>
        </w:tc>
        <w:tc>
          <w:tcPr>
            <w:tcW w:w="713"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CE289D7" w14:textId="77777777" w:rsidR="001B2E5C" w:rsidRPr="00DD47DF" w:rsidRDefault="001B2E5C" w:rsidP="001049C5">
            <w:pPr>
              <w:pStyle w:val="Tabulka"/>
              <w:rPr>
                <w:rFonts w:cs="Calibri"/>
                <w:b/>
              </w:rPr>
            </w:pPr>
            <w:r w:rsidRPr="00DD47DF">
              <w:rPr>
                <w:rFonts w:cs="Calibri"/>
                <w:b/>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9CEF0CB" w14:textId="77777777" w:rsidR="001B2E5C" w:rsidRPr="00DD47DF" w:rsidRDefault="001B2E5C" w:rsidP="001049C5">
            <w:pPr>
              <w:pStyle w:val="Tabulka"/>
              <w:rPr>
                <w:rFonts w:cs="Calibri"/>
                <w:b/>
              </w:rPr>
            </w:pPr>
            <w:r w:rsidRPr="00DD47DF">
              <w:rPr>
                <w:rFonts w:cs="Calibri"/>
                <w:b/>
              </w:rPr>
              <w:t>Četnost podávání zpráv</w:t>
            </w:r>
          </w:p>
        </w:tc>
      </w:tr>
      <w:tr w:rsidR="00FD0399" w:rsidRPr="00DD47DF" w14:paraId="32C10303"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635EAF3C" w14:textId="62C4E7D6" w:rsidR="00FD0399" w:rsidRPr="00DD47DF" w:rsidRDefault="00C75691" w:rsidP="001049C5">
            <w:pPr>
              <w:pStyle w:val="Tabulka"/>
              <w:rPr>
                <w:rFonts w:cs="Calibri"/>
              </w:rPr>
            </w:pPr>
            <w:r w:rsidRPr="00DD47DF">
              <w:rPr>
                <w:rFonts w:cs="Calibri"/>
              </w:rPr>
              <w:lastRenderedPageBreak/>
              <w:t xml:space="preserve">CO </w:t>
            </w:r>
            <w:r w:rsidR="00D803FD" w:rsidRPr="00DD47DF">
              <w:rPr>
                <w:rFonts w:cs="Calibri"/>
              </w:rPr>
              <w:t>0</w:t>
            </w:r>
            <w:r w:rsidR="00FD0399" w:rsidRPr="00DD47DF">
              <w:rPr>
                <w:rFonts w:cs="Calibri"/>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42757427" w14:textId="77777777" w:rsidR="00FD0399" w:rsidRPr="00DD47DF" w:rsidRDefault="007D6298" w:rsidP="001049C5">
            <w:pPr>
              <w:pStyle w:val="Tabulka"/>
              <w:jc w:val="left"/>
              <w:rPr>
                <w:rFonts w:cs="Calibri"/>
              </w:rPr>
            </w:pPr>
            <w:r w:rsidRPr="00DD47DF">
              <w:rPr>
                <w:rFonts w:cs="Calibri"/>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2EF5D077" w14:textId="77777777" w:rsidR="00FD0399" w:rsidRPr="00DD47DF" w:rsidRDefault="00FD0399" w:rsidP="001049C5">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274B25F8" w14:textId="77777777" w:rsidR="00FD0399" w:rsidRPr="00DD47DF" w:rsidRDefault="002B3F69" w:rsidP="001049C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08FC728A" w14:textId="77777777" w:rsidR="00FD0399" w:rsidRPr="00DD47DF" w:rsidRDefault="00FD0399" w:rsidP="001049C5">
            <w:pPr>
              <w:pStyle w:val="Tabulka"/>
              <w:rPr>
                <w:rFonts w:cs="Calibri"/>
              </w:rPr>
            </w:pPr>
            <w:r w:rsidRPr="00DD47DF">
              <w:rPr>
                <w:rFonts w:cs="Calibri"/>
              </w:rPr>
              <w:t>Méně rozvinuté regiony</w:t>
            </w:r>
          </w:p>
        </w:tc>
        <w:tc>
          <w:tcPr>
            <w:tcW w:w="1317" w:type="dxa"/>
            <w:tcBorders>
              <w:top w:val="single" w:sz="4" w:space="0" w:color="000000"/>
              <w:left w:val="single" w:sz="4" w:space="0" w:color="000000"/>
              <w:bottom w:val="single" w:sz="4" w:space="0" w:color="000000"/>
              <w:right w:val="single" w:sz="4" w:space="0" w:color="000000"/>
            </w:tcBorders>
            <w:vAlign w:val="center"/>
          </w:tcPr>
          <w:p w14:paraId="57C2CAA2" w14:textId="43B33133" w:rsidR="00FD0399" w:rsidRPr="00DD47DF" w:rsidRDefault="00BE6815" w:rsidP="00873E0A">
            <w:pPr>
              <w:pStyle w:val="Tabulka"/>
              <w:rPr>
                <w:rFonts w:cs="Calibri"/>
              </w:rPr>
            </w:pPr>
            <w:r w:rsidRPr="00F21247">
              <w:rPr>
                <w:rFonts w:cs="Calibri"/>
              </w:rPr>
              <w:t>254</w:t>
            </w:r>
          </w:p>
        </w:tc>
        <w:tc>
          <w:tcPr>
            <w:tcW w:w="713" w:type="dxa"/>
            <w:tcBorders>
              <w:top w:val="single" w:sz="4" w:space="0" w:color="000000"/>
              <w:left w:val="single" w:sz="4" w:space="0" w:color="000000"/>
              <w:bottom w:val="single" w:sz="4" w:space="0" w:color="000000"/>
              <w:right w:val="single" w:sz="4" w:space="0" w:color="000000"/>
            </w:tcBorders>
            <w:vAlign w:val="center"/>
          </w:tcPr>
          <w:p w14:paraId="66E49306" w14:textId="77777777" w:rsidR="00FC7054" w:rsidRPr="00DD47DF" w:rsidRDefault="00FC7054" w:rsidP="00FC7054">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69E935C7" w14:textId="77777777" w:rsidR="00FD0399" w:rsidRPr="00DD47DF" w:rsidRDefault="00FC7054" w:rsidP="001049C5">
            <w:pPr>
              <w:pStyle w:val="Tabulka"/>
              <w:rPr>
                <w:rFonts w:cs="Calibri"/>
              </w:rPr>
            </w:pPr>
            <w:r>
              <w:rPr>
                <w:rFonts w:cs="Calibri"/>
              </w:rPr>
              <w:t>průběžně</w:t>
            </w:r>
          </w:p>
        </w:tc>
      </w:tr>
      <w:tr w:rsidR="00B324A0" w:rsidRPr="00DD47DF" w14:paraId="740FF2FC" w14:textId="77777777" w:rsidTr="00F85EE2">
        <w:trPr>
          <w:trHeight w:val="363"/>
        </w:trPr>
        <w:tc>
          <w:tcPr>
            <w:tcW w:w="0" w:type="auto"/>
            <w:tcBorders>
              <w:top w:val="single" w:sz="4" w:space="0" w:color="000000"/>
              <w:left w:val="single" w:sz="4" w:space="0" w:color="000000"/>
              <w:bottom w:val="single" w:sz="4" w:space="0" w:color="000000"/>
              <w:right w:val="single" w:sz="4" w:space="0" w:color="000000"/>
            </w:tcBorders>
            <w:vAlign w:val="center"/>
          </w:tcPr>
          <w:p w14:paraId="319D5D43" w14:textId="36FEE844" w:rsidR="00B324A0" w:rsidRPr="00DD47DF" w:rsidRDefault="00B324A0" w:rsidP="001049C5">
            <w:pPr>
              <w:pStyle w:val="Tabulka"/>
              <w:rPr>
                <w:rFonts w:cs="Calibri"/>
              </w:rPr>
            </w:pPr>
            <w:r w:rsidRPr="00DD47DF">
              <w:rPr>
                <w:rFonts w:cs="Calibri"/>
              </w:rPr>
              <w:t>CO 02</w:t>
            </w:r>
          </w:p>
        </w:tc>
        <w:tc>
          <w:tcPr>
            <w:tcW w:w="0" w:type="auto"/>
            <w:tcBorders>
              <w:top w:val="single" w:sz="4" w:space="0" w:color="000000"/>
              <w:left w:val="single" w:sz="4" w:space="0" w:color="000000"/>
              <w:bottom w:val="single" w:sz="4" w:space="0" w:color="000000"/>
              <w:right w:val="single" w:sz="4" w:space="0" w:color="000000"/>
            </w:tcBorders>
            <w:vAlign w:val="center"/>
          </w:tcPr>
          <w:p w14:paraId="7D0F9EA4" w14:textId="77777777" w:rsidR="00B324A0" w:rsidRPr="00DD47DF" w:rsidRDefault="00B324A0" w:rsidP="001049C5">
            <w:pPr>
              <w:pStyle w:val="Tabulka"/>
              <w:jc w:val="left"/>
              <w:rPr>
                <w:rFonts w:cs="Calibri"/>
              </w:rPr>
            </w:pPr>
            <w:r w:rsidRPr="00DD47DF">
              <w:rPr>
                <w:rFonts w:cs="Calibri"/>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5B45E878" w14:textId="77777777" w:rsidR="00B324A0" w:rsidRPr="00DD47DF" w:rsidRDefault="00B324A0" w:rsidP="001049C5">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23F43D34" w14:textId="77777777" w:rsidR="00B324A0" w:rsidRPr="00DD47DF" w:rsidRDefault="00B324A0" w:rsidP="001049C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6BDCC629" w14:textId="77777777" w:rsidR="00B324A0" w:rsidRPr="00DD47DF" w:rsidRDefault="00B324A0" w:rsidP="001049C5">
            <w:pPr>
              <w:pStyle w:val="Tabulka"/>
              <w:rPr>
                <w:rFonts w:cs="Calibri"/>
              </w:rPr>
            </w:pPr>
            <w:r w:rsidRPr="00DD47DF">
              <w:rPr>
                <w:rFonts w:cs="Calibri"/>
              </w:rPr>
              <w:t>Méně rozvinuté regiony</w:t>
            </w:r>
          </w:p>
        </w:tc>
        <w:tc>
          <w:tcPr>
            <w:tcW w:w="1317" w:type="dxa"/>
            <w:tcBorders>
              <w:top w:val="single" w:sz="4" w:space="0" w:color="000000"/>
              <w:left w:val="single" w:sz="4" w:space="0" w:color="000000"/>
              <w:bottom w:val="single" w:sz="4" w:space="0" w:color="000000"/>
              <w:right w:val="single" w:sz="4" w:space="0" w:color="000000"/>
            </w:tcBorders>
            <w:vAlign w:val="center"/>
          </w:tcPr>
          <w:p w14:paraId="0FAAFDAC" w14:textId="7F5878B8" w:rsidR="00B324A0" w:rsidRPr="00DD47DF" w:rsidRDefault="00BE6815" w:rsidP="00873E0A">
            <w:pPr>
              <w:pStyle w:val="Tabulka"/>
              <w:rPr>
                <w:rFonts w:cs="Calibri"/>
              </w:rPr>
            </w:pPr>
            <w:r w:rsidRPr="00F21247">
              <w:rPr>
                <w:rFonts w:cs="Calibri"/>
              </w:rPr>
              <w:t>254</w:t>
            </w:r>
          </w:p>
        </w:tc>
        <w:tc>
          <w:tcPr>
            <w:tcW w:w="713" w:type="dxa"/>
            <w:tcBorders>
              <w:top w:val="single" w:sz="4" w:space="0" w:color="000000"/>
              <w:left w:val="single" w:sz="4" w:space="0" w:color="000000"/>
              <w:bottom w:val="single" w:sz="4" w:space="0" w:color="000000"/>
              <w:right w:val="single" w:sz="4" w:space="0" w:color="000000"/>
            </w:tcBorders>
            <w:vAlign w:val="center"/>
          </w:tcPr>
          <w:p w14:paraId="2DD25CD1" w14:textId="77777777" w:rsidR="00B324A0" w:rsidRPr="00DD47DF" w:rsidRDefault="00FC7054" w:rsidP="001049C5">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7A3F93A4" w14:textId="77777777" w:rsidR="00B324A0" w:rsidRPr="00DD47DF" w:rsidRDefault="00FC7054" w:rsidP="001049C5">
            <w:pPr>
              <w:pStyle w:val="Tabulka"/>
              <w:rPr>
                <w:rFonts w:cs="Calibri"/>
              </w:rPr>
            </w:pPr>
            <w:r>
              <w:rPr>
                <w:rFonts w:cs="Calibri"/>
              </w:rPr>
              <w:t>průběžně</w:t>
            </w:r>
          </w:p>
        </w:tc>
      </w:tr>
      <w:tr w:rsidR="00B324A0" w:rsidRPr="00DD47DF" w14:paraId="1E588F6D"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22E9A9DB" w14:textId="6C214547" w:rsidR="00B324A0" w:rsidRPr="00DD47DF" w:rsidRDefault="00B324A0" w:rsidP="001049C5">
            <w:pPr>
              <w:pStyle w:val="Tabulka"/>
              <w:rPr>
                <w:rFonts w:cs="Calibri"/>
              </w:rPr>
            </w:pPr>
            <w:r w:rsidRPr="00DD47DF">
              <w:rPr>
                <w:rFonts w:cs="Calibri"/>
              </w:rPr>
              <w:t>CO 03</w:t>
            </w:r>
          </w:p>
        </w:tc>
        <w:tc>
          <w:tcPr>
            <w:tcW w:w="0" w:type="auto"/>
            <w:tcBorders>
              <w:top w:val="single" w:sz="4" w:space="0" w:color="000000"/>
              <w:left w:val="single" w:sz="4" w:space="0" w:color="000000"/>
              <w:bottom w:val="single" w:sz="4" w:space="0" w:color="000000"/>
              <w:right w:val="single" w:sz="4" w:space="0" w:color="000000"/>
            </w:tcBorders>
            <w:vAlign w:val="center"/>
          </w:tcPr>
          <w:p w14:paraId="7925F738" w14:textId="77777777" w:rsidR="00B324A0" w:rsidRPr="00DD47DF" w:rsidRDefault="00B324A0" w:rsidP="001049C5">
            <w:pPr>
              <w:pStyle w:val="Tabulka"/>
              <w:jc w:val="left"/>
              <w:rPr>
                <w:rFonts w:cs="Calibri"/>
              </w:rPr>
            </w:pPr>
            <w:r w:rsidRPr="00DD47DF">
              <w:rPr>
                <w:rFonts w:cs="Calibri"/>
              </w:rPr>
              <w:t>Počet podniků p</w:t>
            </w:r>
            <w:r w:rsidR="00546318">
              <w:rPr>
                <w:rFonts w:cs="Calibri"/>
              </w:rPr>
              <w:t>obírajících jinou finanční podporu</w:t>
            </w:r>
            <w:r w:rsidRPr="00DD47DF">
              <w:rPr>
                <w:rFonts w:cs="Calibri"/>
              </w:rPr>
              <w:t xml:space="preserve"> než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408A162E" w14:textId="77777777" w:rsidR="00B324A0" w:rsidRPr="00DD47DF" w:rsidRDefault="00B324A0" w:rsidP="001049C5">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0C81BFDA" w14:textId="77777777" w:rsidR="00B324A0" w:rsidRPr="00DD47DF" w:rsidRDefault="00B324A0" w:rsidP="001049C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68A9B934" w14:textId="77777777" w:rsidR="00B324A0" w:rsidRPr="00DD47DF" w:rsidRDefault="00B324A0" w:rsidP="001049C5">
            <w:pPr>
              <w:pStyle w:val="Tabulka"/>
              <w:rPr>
                <w:rFonts w:cs="Calibri"/>
              </w:rPr>
            </w:pPr>
            <w:r w:rsidRPr="00DD47DF">
              <w:rPr>
                <w:rFonts w:cs="Calibri"/>
              </w:rPr>
              <w:t>Méně rozvinuté regiony</w:t>
            </w:r>
          </w:p>
        </w:tc>
        <w:tc>
          <w:tcPr>
            <w:tcW w:w="1317" w:type="dxa"/>
            <w:tcBorders>
              <w:top w:val="single" w:sz="4" w:space="0" w:color="000000"/>
              <w:left w:val="single" w:sz="4" w:space="0" w:color="000000"/>
              <w:bottom w:val="single" w:sz="4" w:space="0" w:color="000000"/>
              <w:right w:val="single" w:sz="4" w:space="0" w:color="000000"/>
            </w:tcBorders>
            <w:vAlign w:val="center"/>
          </w:tcPr>
          <w:p w14:paraId="5232E3C5" w14:textId="001C35C4" w:rsidR="00B324A0" w:rsidRPr="00DD47DF" w:rsidRDefault="00BE6815" w:rsidP="00803F6A">
            <w:pPr>
              <w:pStyle w:val="Tabulka"/>
              <w:rPr>
                <w:rFonts w:cs="Calibri"/>
              </w:rPr>
            </w:pPr>
            <w:r>
              <w:rPr>
                <w:rFonts w:cs="Calibri"/>
              </w:rPr>
              <w:t>0</w:t>
            </w:r>
          </w:p>
        </w:tc>
        <w:tc>
          <w:tcPr>
            <w:tcW w:w="713" w:type="dxa"/>
            <w:tcBorders>
              <w:top w:val="single" w:sz="4" w:space="0" w:color="000000"/>
              <w:left w:val="single" w:sz="4" w:space="0" w:color="000000"/>
              <w:bottom w:val="single" w:sz="4" w:space="0" w:color="000000"/>
              <w:right w:val="single" w:sz="4" w:space="0" w:color="000000"/>
            </w:tcBorders>
            <w:vAlign w:val="center"/>
          </w:tcPr>
          <w:p w14:paraId="0558DB48" w14:textId="77777777" w:rsidR="00B324A0" w:rsidRPr="00DD47DF" w:rsidRDefault="00392BCA" w:rsidP="001049C5">
            <w:pPr>
              <w:pStyle w:val="Tabulka"/>
              <w:rPr>
                <w:rFonts w:cs="Calibri"/>
              </w:rPr>
            </w:pPr>
            <w:r>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3CE0FD0C" w14:textId="77777777" w:rsidR="00B324A0" w:rsidRPr="00DD47DF" w:rsidRDefault="00392BCA" w:rsidP="001049C5">
            <w:pPr>
              <w:pStyle w:val="Tabulka"/>
              <w:rPr>
                <w:rFonts w:cs="Calibri"/>
              </w:rPr>
            </w:pPr>
            <w:r>
              <w:rPr>
                <w:rFonts w:cs="Calibri"/>
              </w:rPr>
              <w:t>průběžně</w:t>
            </w:r>
          </w:p>
        </w:tc>
      </w:tr>
      <w:tr w:rsidR="00B324A0" w:rsidRPr="00DD47DF" w14:paraId="6866EE01"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468308D0" w14:textId="536BA70F" w:rsidR="00B324A0" w:rsidRPr="00DD47DF" w:rsidRDefault="00B324A0" w:rsidP="001049C5">
            <w:pPr>
              <w:pStyle w:val="Tabulka"/>
              <w:rPr>
                <w:rFonts w:cs="Calibri"/>
              </w:rPr>
            </w:pPr>
            <w:r w:rsidRPr="00DD47DF">
              <w:rPr>
                <w:rFonts w:cs="Calibri"/>
              </w:rPr>
              <w:t>CO 06</w:t>
            </w:r>
          </w:p>
        </w:tc>
        <w:tc>
          <w:tcPr>
            <w:tcW w:w="0" w:type="auto"/>
            <w:tcBorders>
              <w:top w:val="single" w:sz="4" w:space="0" w:color="000000"/>
              <w:left w:val="single" w:sz="4" w:space="0" w:color="000000"/>
              <w:bottom w:val="single" w:sz="4" w:space="0" w:color="000000"/>
              <w:right w:val="single" w:sz="4" w:space="0" w:color="000000"/>
            </w:tcBorders>
            <w:vAlign w:val="center"/>
          </w:tcPr>
          <w:p w14:paraId="2BF5E097" w14:textId="77777777" w:rsidR="00B324A0" w:rsidRPr="00DD47DF" w:rsidRDefault="00892451" w:rsidP="001049C5">
            <w:pPr>
              <w:pStyle w:val="Tabulka"/>
              <w:jc w:val="left"/>
              <w:rPr>
                <w:rFonts w:cs="Calibri"/>
              </w:rPr>
            </w:pPr>
            <w:r w:rsidRPr="00892451">
              <w:rPr>
                <w:rFonts w:cs="Calibri"/>
              </w:rPr>
              <w:t>Soukromé investice odpovídající veřejné podpoře podniků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12B5D035" w14:textId="77777777" w:rsidR="00B324A0" w:rsidRPr="00DD47DF" w:rsidRDefault="00B324A0" w:rsidP="001049C5">
            <w:pPr>
              <w:pStyle w:val="Tabulka"/>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64014271" w14:textId="77777777" w:rsidR="00B324A0" w:rsidRPr="00DD47DF" w:rsidRDefault="00B324A0" w:rsidP="001049C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1F5EC3F1" w14:textId="77777777" w:rsidR="00B324A0" w:rsidRPr="00DD47DF" w:rsidRDefault="00B324A0" w:rsidP="001049C5">
            <w:pPr>
              <w:pStyle w:val="Tabulka"/>
              <w:rPr>
                <w:rFonts w:cs="Calibri"/>
              </w:rPr>
            </w:pPr>
            <w:r w:rsidRPr="00DD47DF">
              <w:rPr>
                <w:rFonts w:cs="Calibri"/>
              </w:rPr>
              <w:t>Méně rozvinuté regiony</w:t>
            </w:r>
          </w:p>
        </w:tc>
        <w:tc>
          <w:tcPr>
            <w:tcW w:w="1317" w:type="dxa"/>
            <w:tcBorders>
              <w:top w:val="single" w:sz="4" w:space="0" w:color="000000"/>
              <w:left w:val="single" w:sz="4" w:space="0" w:color="000000"/>
              <w:bottom w:val="single" w:sz="4" w:space="0" w:color="000000"/>
              <w:right w:val="single" w:sz="4" w:space="0" w:color="000000"/>
            </w:tcBorders>
            <w:vAlign w:val="center"/>
          </w:tcPr>
          <w:p w14:paraId="118FB4B1" w14:textId="55474AB0" w:rsidR="00B324A0" w:rsidRPr="00DD47DF" w:rsidRDefault="00BE6815" w:rsidP="001049C5">
            <w:pPr>
              <w:pStyle w:val="Tabulka"/>
              <w:rPr>
                <w:rFonts w:cs="Calibri"/>
              </w:rPr>
            </w:pPr>
            <w:r>
              <w:rPr>
                <w:rFonts w:cs="Calibri"/>
              </w:rPr>
              <w:t>219 000 000</w:t>
            </w:r>
          </w:p>
        </w:tc>
        <w:tc>
          <w:tcPr>
            <w:tcW w:w="713" w:type="dxa"/>
            <w:tcBorders>
              <w:top w:val="single" w:sz="4" w:space="0" w:color="000000"/>
              <w:left w:val="single" w:sz="4" w:space="0" w:color="000000"/>
              <w:bottom w:val="single" w:sz="4" w:space="0" w:color="000000"/>
              <w:right w:val="single" w:sz="4" w:space="0" w:color="000000"/>
            </w:tcBorders>
            <w:vAlign w:val="center"/>
          </w:tcPr>
          <w:p w14:paraId="5113B05C" w14:textId="77777777" w:rsidR="00B324A0" w:rsidRPr="00DD47DF" w:rsidRDefault="00800418" w:rsidP="001049C5">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7B618CE4" w14:textId="77777777" w:rsidR="00B324A0" w:rsidRPr="00DD47DF" w:rsidRDefault="00934A97" w:rsidP="001049C5">
            <w:pPr>
              <w:pStyle w:val="Tabulka"/>
              <w:rPr>
                <w:rFonts w:cs="Calibri"/>
              </w:rPr>
            </w:pPr>
            <w:r>
              <w:rPr>
                <w:rFonts w:cs="Calibri"/>
              </w:rPr>
              <w:t>průběžně</w:t>
            </w:r>
          </w:p>
        </w:tc>
      </w:tr>
      <w:tr w:rsidR="00B324A0" w:rsidRPr="00DD47DF" w14:paraId="7F89A297"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4FC57AD9" w14:textId="63F4C470" w:rsidR="00B324A0" w:rsidRPr="00DD47DF" w:rsidRDefault="00B324A0" w:rsidP="001049C5">
            <w:pPr>
              <w:pStyle w:val="Tabulka"/>
              <w:rPr>
                <w:rFonts w:cs="Calibri"/>
              </w:rPr>
            </w:pPr>
            <w:r w:rsidRPr="00DD47DF">
              <w:rPr>
                <w:rFonts w:cs="Calibri"/>
              </w:rPr>
              <w:t>CO 07</w:t>
            </w:r>
          </w:p>
        </w:tc>
        <w:tc>
          <w:tcPr>
            <w:tcW w:w="0" w:type="auto"/>
            <w:tcBorders>
              <w:top w:val="single" w:sz="4" w:space="0" w:color="000000"/>
              <w:left w:val="single" w:sz="4" w:space="0" w:color="000000"/>
              <w:bottom w:val="single" w:sz="4" w:space="0" w:color="000000"/>
              <w:right w:val="single" w:sz="4" w:space="0" w:color="000000"/>
            </w:tcBorders>
            <w:vAlign w:val="center"/>
          </w:tcPr>
          <w:p w14:paraId="6606B28B" w14:textId="77777777" w:rsidR="00B324A0" w:rsidRPr="00DD47DF" w:rsidRDefault="006D0B6D" w:rsidP="001049C5">
            <w:pPr>
              <w:pStyle w:val="Tabulka"/>
              <w:jc w:val="left"/>
              <w:rPr>
                <w:rFonts w:cs="Calibri"/>
              </w:rPr>
            </w:pPr>
            <w:r w:rsidRPr="006D0B6D">
              <w:rPr>
                <w:rFonts w:cs="Calibri"/>
              </w:rPr>
              <w:t>Soukromé investice odpovídající veřejné podpoře podniků (jiné než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29FC64ED" w14:textId="77777777" w:rsidR="00B324A0" w:rsidRPr="00DD47DF" w:rsidRDefault="00B324A0" w:rsidP="001049C5">
            <w:pPr>
              <w:pStyle w:val="Tabulka"/>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52B89730" w14:textId="77777777" w:rsidR="00B324A0" w:rsidRPr="00DD47DF" w:rsidRDefault="00B324A0" w:rsidP="001049C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0E8CE408" w14:textId="77777777" w:rsidR="00B324A0" w:rsidRPr="00DD47DF" w:rsidRDefault="00B324A0" w:rsidP="001049C5">
            <w:pPr>
              <w:pStyle w:val="Tabulka"/>
              <w:rPr>
                <w:rFonts w:cs="Calibri"/>
              </w:rPr>
            </w:pPr>
            <w:r w:rsidRPr="00DD47DF">
              <w:rPr>
                <w:rFonts w:cs="Calibri"/>
              </w:rPr>
              <w:t>Méně rozvinuté regiony</w:t>
            </w:r>
          </w:p>
        </w:tc>
        <w:tc>
          <w:tcPr>
            <w:tcW w:w="1317" w:type="dxa"/>
            <w:tcBorders>
              <w:top w:val="single" w:sz="4" w:space="0" w:color="000000"/>
              <w:left w:val="single" w:sz="4" w:space="0" w:color="000000"/>
              <w:bottom w:val="single" w:sz="4" w:space="0" w:color="000000"/>
              <w:right w:val="single" w:sz="4" w:space="0" w:color="000000"/>
            </w:tcBorders>
            <w:vAlign w:val="center"/>
          </w:tcPr>
          <w:p w14:paraId="4E14C758" w14:textId="50BE1CD6" w:rsidR="00B324A0" w:rsidRPr="00DD47DF" w:rsidRDefault="00BE6815" w:rsidP="00803F6A">
            <w:pPr>
              <w:pStyle w:val="Tabulka"/>
              <w:rPr>
                <w:rFonts w:cs="Calibri"/>
              </w:rPr>
            </w:pPr>
            <w:r>
              <w:rPr>
                <w:rFonts w:cs="Calibri"/>
              </w:rPr>
              <w:t>0</w:t>
            </w:r>
          </w:p>
        </w:tc>
        <w:tc>
          <w:tcPr>
            <w:tcW w:w="713" w:type="dxa"/>
            <w:tcBorders>
              <w:top w:val="single" w:sz="4" w:space="0" w:color="000000"/>
              <w:left w:val="single" w:sz="4" w:space="0" w:color="000000"/>
              <w:bottom w:val="single" w:sz="4" w:space="0" w:color="000000"/>
              <w:right w:val="single" w:sz="4" w:space="0" w:color="000000"/>
            </w:tcBorders>
            <w:vAlign w:val="center"/>
          </w:tcPr>
          <w:p w14:paraId="0E305CE7" w14:textId="77777777" w:rsidR="00B324A0" w:rsidRPr="00DD47DF" w:rsidRDefault="00392BCA" w:rsidP="001049C5">
            <w:pPr>
              <w:pStyle w:val="Tabulka"/>
              <w:rPr>
                <w:rFonts w:cs="Calibri"/>
              </w:rPr>
            </w:pPr>
            <w:r>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7068CCE7" w14:textId="77777777" w:rsidR="00B324A0" w:rsidRPr="00DD47DF" w:rsidRDefault="00392BCA" w:rsidP="001049C5">
            <w:pPr>
              <w:pStyle w:val="Tabulka"/>
              <w:rPr>
                <w:rFonts w:cs="Calibri"/>
              </w:rPr>
            </w:pPr>
            <w:r>
              <w:rPr>
                <w:rFonts w:cs="Calibri"/>
              </w:rPr>
              <w:t>průběžně</w:t>
            </w:r>
          </w:p>
        </w:tc>
      </w:tr>
      <w:tr w:rsidR="00B324A0" w:rsidRPr="00DD47DF" w14:paraId="20496342"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5E2F719E" w14:textId="4020DC4C" w:rsidR="00B324A0" w:rsidRPr="00DD47DF" w:rsidDel="00C75691" w:rsidRDefault="00B324A0" w:rsidP="001049C5">
            <w:pPr>
              <w:pStyle w:val="Tabulka"/>
              <w:rPr>
                <w:rFonts w:cs="Calibri"/>
              </w:rPr>
            </w:pPr>
            <w:r w:rsidRPr="00DD47DF">
              <w:rPr>
                <w:rFonts w:cs="Calibri"/>
              </w:rPr>
              <w:t>CO 34</w:t>
            </w:r>
          </w:p>
        </w:tc>
        <w:tc>
          <w:tcPr>
            <w:tcW w:w="0" w:type="auto"/>
            <w:tcBorders>
              <w:top w:val="single" w:sz="4" w:space="0" w:color="000000"/>
              <w:left w:val="single" w:sz="4" w:space="0" w:color="000000"/>
              <w:bottom w:val="single" w:sz="4" w:space="0" w:color="000000"/>
              <w:right w:val="single" w:sz="4" w:space="0" w:color="000000"/>
            </w:tcBorders>
            <w:vAlign w:val="center"/>
          </w:tcPr>
          <w:p w14:paraId="5D26907D" w14:textId="77777777" w:rsidR="00B324A0" w:rsidRPr="00DD47DF" w:rsidRDefault="00B324A0" w:rsidP="001049C5">
            <w:pPr>
              <w:pStyle w:val="Tabulka"/>
              <w:jc w:val="left"/>
              <w:rPr>
                <w:rFonts w:cs="Calibri"/>
              </w:rPr>
            </w:pPr>
            <w:r w:rsidRPr="00DD47DF">
              <w:rPr>
                <w:rFonts w:cs="Calibri"/>
              </w:rPr>
              <w:t>Odhadované roční snížení emisí skleníkových plynů</w:t>
            </w:r>
          </w:p>
        </w:tc>
        <w:tc>
          <w:tcPr>
            <w:tcW w:w="0" w:type="auto"/>
            <w:tcBorders>
              <w:top w:val="single" w:sz="4" w:space="0" w:color="000000"/>
              <w:left w:val="single" w:sz="4" w:space="0" w:color="000000"/>
              <w:bottom w:val="single" w:sz="4" w:space="0" w:color="000000"/>
              <w:right w:val="single" w:sz="4" w:space="0" w:color="000000"/>
            </w:tcBorders>
            <w:vAlign w:val="center"/>
          </w:tcPr>
          <w:p w14:paraId="2B82004D" w14:textId="77777777" w:rsidR="00B324A0" w:rsidRPr="00DD47DF" w:rsidRDefault="00B324A0" w:rsidP="001049C5">
            <w:pPr>
              <w:pStyle w:val="Tabulka"/>
              <w:rPr>
                <w:rFonts w:cs="Calibri"/>
              </w:rPr>
            </w:pPr>
            <w:r w:rsidRPr="00DD47DF">
              <w:rPr>
                <w:rFonts w:cs="Calibri"/>
              </w:rPr>
              <w:t>Tuny ekvivalentu CO2/rok</w:t>
            </w:r>
          </w:p>
        </w:tc>
        <w:tc>
          <w:tcPr>
            <w:tcW w:w="0" w:type="auto"/>
            <w:tcBorders>
              <w:top w:val="single" w:sz="4" w:space="0" w:color="000000"/>
              <w:left w:val="single" w:sz="4" w:space="0" w:color="000000"/>
              <w:bottom w:val="single" w:sz="4" w:space="0" w:color="000000"/>
              <w:right w:val="single" w:sz="4" w:space="0" w:color="000000"/>
            </w:tcBorders>
            <w:vAlign w:val="center"/>
          </w:tcPr>
          <w:p w14:paraId="35524B3C" w14:textId="77777777" w:rsidR="00B324A0" w:rsidRPr="00DD47DF" w:rsidRDefault="00B324A0" w:rsidP="001049C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311D1EA8" w14:textId="77777777" w:rsidR="00B324A0" w:rsidRPr="00DD47DF" w:rsidRDefault="00B324A0" w:rsidP="001049C5">
            <w:pPr>
              <w:pStyle w:val="Tabulka"/>
              <w:rPr>
                <w:rFonts w:cs="Calibri"/>
              </w:rPr>
            </w:pPr>
            <w:r w:rsidRPr="00DD47DF">
              <w:rPr>
                <w:rFonts w:cs="Calibri"/>
              </w:rPr>
              <w:t>Méně rozvinuté regiony</w:t>
            </w:r>
          </w:p>
        </w:tc>
        <w:tc>
          <w:tcPr>
            <w:tcW w:w="1317" w:type="dxa"/>
            <w:tcBorders>
              <w:top w:val="single" w:sz="4" w:space="0" w:color="000000"/>
              <w:left w:val="single" w:sz="4" w:space="0" w:color="000000"/>
              <w:bottom w:val="single" w:sz="4" w:space="0" w:color="000000"/>
              <w:right w:val="single" w:sz="4" w:space="0" w:color="000000"/>
            </w:tcBorders>
            <w:vAlign w:val="center"/>
          </w:tcPr>
          <w:p w14:paraId="452DCF0C" w14:textId="77777777" w:rsidR="00B324A0" w:rsidRPr="00DD47DF" w:rsidRDefault="00B324A0" w:rsidP="001049C5">
            <w:pPr>
              <w:pStyle w:val="Tabulka"/>
              <w:rPr>
                <w:rFonts w:cs="Calibri"/>
              </w:rPr>
            </w:pPr>
            <w:r w:rsidRPr="00DD47DF">
              <w:rPr>
                <w:rFonts w:cs="Calibri"/>
              </w:rPr>
              <w:t>180 000</w:t>
            </w:r>
          </w:p>
        </w:tc>
        <w:tc>
          <w:tcPr>
            <w:tcW w:w="713" w:type="dxa"/>
            <w:tcBorders>
              <w:top w:val="single" w:sz="4" w:space="0" w:color="000000"/>
              <w:left w:val="single" w:sz="4" w:space="0" w:color="000000"/>
              <w:bottom w:val="single" w:sz="4" w:space="0" w:color="000000"/>
              <w:right w:val="single" w:sz="4" w:space="0" w:color="000000"/>
            </w:tcBorders>
            <w:vAlign w:val="center"/>
          </w:tcPr>
          <w:p w14:paraId="096CEC29" w14:textId="77777777" w:rsidR="00B324A0" w:rsidRPr="00DD47DF" w:rsidRDefault="00B324A0" w:rsidP="001049C5">
            <w:pPr>
              <w:pStyle w:val="Tabulka"/>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32AC8A7B" w14:textId="77777777" w:rsidR="00B324A0" w:rsidRPr="00DD47DF" w:rsidRDefault="00990784" w:rsidP="001049C5">
            <w:pPr>
              <w:pStyle w:val="Tabulka"/>
              <w:rPr>
                <w:rFonts w:cs="Calibri"/>
              </w:rPr>
            </w:pPr>
            <w:r>
              <w:rPr>
                <w:rFonts w:cs="Calibri"/>
              </w:rPr>
              <w:t>průběžně</w:t>
            </w:r>
          </w:p>
        </w:tc>
      </w:tr>
      <w:tr w:rsidR="00B324A0" w:rsidRPr="00DD47DF" w14:paraId="41334DF0" w14:textId="77777777" w:rsidTr="00997228">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3A7194E6" w14:textId="77777777" w:rsidR="00B324A0" w:rsidRPr="00DD47DF" w:rsidDel="00C75691" w:rsidRDefault="00B324A0" w:rsidP="001049C5">
            <w:pPr>
              <w:pStyle w:val="Tabulka"/>
              <w:rPr>
                <w:rFonts w:cs="Calibri"/>
              </w:rPr>
            </w:pPr>
            <w:r w:rsidRPr="00DD47DF">
              <w:rPr>
                <w:rFonts w:cs="Calibri"/>
              </w:rPr>
              <w:t>33906</w:t>
            </w:r>
          </w:p>
        </w:tc>
        <w:tc>
          <w:tcPr>
            <w:tcW w:w="0" w:type="auto"/>
            <w:tcBorders>
              <w:top w:val="single" w:sz="4" w:space="0" w:color="000000"/>
              <w:left w:val="single" w:sz="4" w:space="0" w:color="000000"/>
              <w:bottom w:val="single" w:sz="4" w:space="0" w:color="000000"/>
              <w:right w:val="single" w:sz="4" w:space="0" w:color="000000"/>
            </w:tcBorders>
            <w:vAlign w:val="center"/>
          </w:tcPr>
          <w:p w14:paraId="3269FEB1" w14:textId="77777777" w:rsidR="00B324A0" w:rsidRPr="00DD47DF" w:rsidRDefault="00B324A0" w:rsidP="001049C5">
            <w:pPr>
              <w:pStyle w:val="Tabulka"/>
              <w:jc w:val="left"/>
              <w:rPr>
                <w:rFonts w:cs="Calibri"/>
              </w:rPr>
            </w:pPr>
            <w:r w:rsidRPr="00DD47DF">
              <w:rPr>
                <w:rFonts w:cs="Calibri"/>
              </w:rPr>
              <w:t>Nové nebo rekonstruované soustavy zásobování teplem</w:t>
            </w:r>
          </w:p>
        </w:tc>
        <w:tc>
          <w:tcPr>
            <w:tcW w:w="0" w:type="auto"/>
            <w:tcBorders>
              <w:top w:val="single" w:sz="4" w:space="0" w:color="000000"/>
              <w:left w:val="single" w:sz="4" w:space="0" w:color="000000"/>
              <w:bottom w:val="single" w:sz="4" w:space="0" w:color="000000"/>
              <w:right w:val="single" w:sz="4" w:space="0" w:color="000000"/>
            </w:tcBorders>
            <w:vAlign w:val="center"/>
          </w:tcPr>
          <w:p w14:paraId="275C9C8D" w14:textId="77777777" w:rsidR="00B324A0" w:rsidRPr="00DD47DF" w:rsidRDefault="00B324A0" w:rsidP="001049C5">
            <w:pPr>
              <w:pStyle w:val="Tabulka"/>
              <w:rPr>
                <w:rFonts w:cs="Calibri"/>
              </w:rPr>
            </w:pPr>
            <w:r w:rsidRPr="00DD47DF">
              <w:rPr>
                <w:rFonts w:cs="Calibri"/>
              </w:rPr>
              <w:t>soustava</w:t>
            </w:r>
          </w:p>
        </w:tc>
        <w:tc>
          <w:tcPr>
            <w:tcW w:w="0" w:type="auto"/>
            <w:tcBorders>
              <w:top w:val="single" w:sz="4" w:space="0" w:color="000000"/>
              <w:left w:val="single" w:sz="4" w:space="0" w:color="000000"/>
              <w:bottom w:val="single" w:sz="4" w:space="0" w:color="000000"/>
              <w:right w:val="single" w:sz="4" w:space="0" w:color="000000"/>
            </w:tcBorders>
            <w:vAlign w:val="center"/>
          </w:tcPr>
          <w:p w14:paraId="26EE954E" w14:textId="77777777" w:rsidR="00B324A0" w:rsidRPr="00DD47DF" w:rsidRDefault="00B324A0" w:rsidP="001049C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29E2A123" w14:textId="77777777" w:rsidR="00B324A0" w:rsidRPr="00DD47DF" w:rsidRDefault="00B324A0" w:rsidP="001049C5">
            <w:pPr>
              <w:pStyle w:val="Tabulka"/>
              <w:rPr>
                <w:rFonts w:cs="Calibri"/>
              </w:rPr>
            </w:pPr>
            <w:r w:rsidRPr="00DD47DF">
              <w:rPr>
                <w:rFonts w:cs="Calibri"/>
              </w:rPr>
              <w:t>Méně rozvinuté regiony</w:t>
            </w:r>
          </w:p>
        </w:tc>
        <w:tc>
          <w:tcPr>
            <w:tcW w:w="1317" w:type="dxa"/>
            <w:tcBorders>
              <w:top w:val="single" w:sz="4" w:space="0" w:color="000000"/>
              <w:left w:val="single" w:sz="4" w:space="0" w:color="000000"/>
              <w:bottom w:val="single" w:sz="4" w:space="0" w:color="000000"/>
              <w:right w:val="single" w:sz="4" w:space="0" w:color="000000"/>
            </w:tcBorders>
            <w:vAlign w:val="center"/>
          </w:tcPr>
          <w:p w14:paraId="764C8059" w14:textId="77777777" w:rsidR="00B324A0" w:rsidRPr="00DD47DF" w:rsidRDefault="00B324A0" w:rsidP="001049C5">
            <w:pPr>
              <w:pStyle w:val="Tabulka"/>
              <w:rPr>
                <w:rFonts w:cs="Calibri"/>
              </w:rPr>
            </w:pPr>
            <w:r w:rsidRPr="00DD47DF">
              <w:rPr>
                <w:rFonts w:cs="Calibri"/>
              </w:rPr>
              <w:t>120</w:t>
            </w:r>
          </w:p>
        </w:tc>
        <w:tc>
          <w:tcPr>
            <w:tcW w:w="713" w:type="dxa"/>
            <w:tcBorders>
              <w:top w:val="single" w:sz="4" w:space="0" w:color="000000"/>
              <w:left w:val="single" w:sz="4" w:space="0" w:color="000000"/>
              <w:bottom w:val="single" w:sz="4" w:space="0" w:color="000000"/>
              <w:right w:val="single" w:sz="4" w:space="0" w:color="000000"/>
            </w:tcBorders>
            <w:vAlign w:val="center"/>
          </w:tcPr>
          <w:p w14:paraId="6FE4BEDB" w14:textId="77777777" w:rsidR="00B324A0" w:rsidRPr="00DD47DF" w:rsidRDefault="00B324A0" w:rsidP="001049C5">
            <w:pPr>
              <w:pStyle w:val="Tabulka"/>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357AC062" w14:textId="77777777" w:rsidR="00B324A0" w:rsidRPr="00DD47DF" w:rsidRDefault="0079192F" w:rsidP="001049C5">
            <w:pPr>
              <w:pStyle w:val="Tabulka"/>
              <w:rPr>
                <w:rFonts w:cs="Calibri"/>
              </w:rPr>
            </w:pPr>
            <w:r>
              <w:rPr>
                <w:rFonts w:cs="Calibri"/>
              </w:rPr>
              <w:t>průběžně</w:t>
            </w:r>
          </w:p>
        </w:tc>
      </w:tr>
      <w:tr w:rsidR="00B324A0" w:rsidRPr="00DD47DF" w14:paraId="33299F45" w14:textId="77777777" w:rsidTr="00997228">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6841BDF6" w14:textId="77777777" w:rsidR="00B324A0" w:rsidRPr="00DD47DF" w:rsidDel="00C75691" w:rsidRDefault="00B324A0" w:rsidP="001049C5">
            <w:pPr>
              <w:pStyle w:val="Tabulka"/>
              <w:rPr>
                <w:rFonts w:cs="Calibri"/>
              </w:rPr>
            </w:pPr>
            <w:r w:rsidRPr="00DD47DF">
              <w:rPr>
                <w:rFonts w:cs="Calibri"/>
              </w:rPr>
              <w:t>34701</w:t>
            </w:r>
          </w:p>
        </w:tc>
        <w:tc>
          <w:tcPr>
            <w:tcW w:w="0" w:type="auto"/>
            <w:tcBorders>
              <w:top w:val="single" w:sz="4" w:space="0" w:color="000000"/>
              <w:left w:val="single" w:sz="4" w:space="0" w:color="000000"/>
              <w:bottom w:val="single" w:sz="4" w:space="0" w:color="000000"/>
              <w:right w:val="single" w:sz="4" w:space="0" w:color="000000"/>
            </w:tcBorders>
            <w:vAlign w:val="center"/>
          </w:tcPr>
          <w:p w14:paraId="3D217509" w14:textId="77777777" w:rsidR="00B324A0" w:rsidRPr="00DD47DF" w:rsidRDefault="00B324A0" w:rsidP="001049C5">
            <w:pPr>
              <w:pStyle w:val="Tabulka"/>
              <w:jc w:val="left"/>
              <w:rPr>
                <w:rFonts w:cs="Calibri"/>
              </w:rPr>
            </w:pPr>
            <w:r w:rsidRPr="00DD47DF">
              <w:rPr>
                <w:rFonts w:cs="Calibri"/>
              </w:rPr>
              <w:t>Nové nebo rekonstruované KVET</w:t>
            </w:r>
          </w:p>
        </w:tc>
        <w:tc>
          <w:tcPr>
            <w:tcW w:w="0" w:type="auto"/>
            <w:tcBorders>
              <w:top w:val="single" w:sz="4" w:space="0" w:color="000000"/>
              <w:left w:val="single" w:sz="4" w:space="0" w:color="000000"/>
              <w:bottom w:val="single" w:sz="4" w:space="0" w:color="000000"/>
              <w:right w:val="single" w:sz="4" w:space="0" w:color="000000"/>
            </w:tcBorders>
            <w:vAlign w:val="center"/>
          </w:tcPr>
          <w:p w14:paraId="4793BEF9" w14:textId="77777777" w:rsidR="00B324A0" w:rsidRPr="00DD47DF" w:rsidRDefault="00B324A0" w:rsidP="001049C5">
            <w:pPr>
              <w:pStyle w:val="Tabulka"/>
              <w:rPr>
                <w:rFonts w:cs="Calibri"/>
              </w:rPr>
            </w:pPr>
            <w:r w:rsidRPr="00DD47DF">
              <w:rPr>
                <w:rFonts w:cs="Calibri"/>
              </w:rPr>
              <w:t>soustava KVET</w:t>
            </w:r>
          </w:p>
        </w:tc>
        <w:tc>
          <w:tcPr>
            <w:tcW w:w="0" w:type="auto"/>
            <w:tcBorders>
              <w:top w:val="single" w:sz="4" w:space="0" w:color="000000"/>
              <w:left w:val="single" w:sz="4" w:space="0" w:color="000000"/>
              <w:bottom w:val="single" w:sz="4" w:space="0" w:color="000000"/>
              <w:right w:val="single" w:sz="4" w:space="0" w:color="000000"/>
            </w:tcBorders>
            <w:vAlign w:val="center"/>
          </w:tcPr>
          <w:p w14:paraId="0A123518" w14:textId="77777777" w:rsidR="00B324A0" w:rsidRPr="00DD47DF" w:rsidRDefault="00B324A0" w:rsidP="001049C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778B9D00" w14:textId="77777777" w:rsidR="00B324A0" w:rsidRPr="00DD47DF" w:rsidRDefault="00B324A0" w:rsidP="001049C5">
            <w:pPr>
              <w:pStyle w:val="Tabulka"/>
              <w:rPr>
                <w:rFonts w:cs="Calibri"/>
              </w:rPr>
            </w:pPr>
            <w:r w:rsidRPr="00DD47DF">
              <w:rPr>
                <w:rFonts w:cs="Calibri"/>
              </w:rPr>
              <w:t>Méně rozvinuté regiony</w:t>
            </w:r>
          </w:p>
        </w:tc>
        <w:tc>
          <w:tcPr>
            <w:tcW w:w="1317" w:type="dxa"/>
            <w:tcBorders>
              <w:top w:val="single" w:sz="4" w:space="0" w:color="000000"/>
              <w:left w:val="single" w:sz="4" w:space="0" w:color="000000"/>
              <w:bottom w:val="single" w:sz="4" w:space="0" w:color="000000"/>
              <w:right w:val="single" w:sz="4" w:space="0" w:color="000000"/>
            </w:tcBorders>
            <w:vAlign w:val="center"/>
          </w:tcPr>
          <w:p w14:paraId="42130D8C" w14:textId="77777777" w:rsidR="00B324A0" w:rsidRPr="00DD47DF" w:rsidRDefault="00B324A0" w:rsidP="001049C5">
            <w:pPr>
              <w:pStyle w:val="Tabulka"/>
              <w:rPr>
                <w:rFonts w:cs="Calibri"/>
              </w:rPr>
            </w:pPr>
            <w:r w:rsidRPr="00DD47DF">
              <w:rPr>
                <w:rFonts w:cs="Calibri"/>
              </w:rPr>
              <w:t>140</w:t>
            </w:r>
          </w:p>
        </w:tc>
        <w:tc>
          <w:tcPr>
            <w:tcW w:w="713" w:type="dxa"/>
            <w:tcBorders>
              <w:top w:val="single" w:sz="4" w:space="0" w:color="000000"/>
              <w:left w:val="single" w:sz="4" w:space="0" w:color="000000"/>
              <w:bottom w:val="single" w:sz="4" w:space="0" w:color="000000"/>
              <w:right w:val="single" w:sz="4" w:space="0" w:color="000000"/>
            </w:tcBorders>
            <w:vAlign w:val="center"/>
          </w:tcPr>
          <w:p w14:paraId="6FFB9A22" w14:textId="77777777" w:rsidR="00B324A0" w:rsidRPr="00DD47DF" w:rsidRDefault="00B324A0" w:rsidP="001049C5">
            <w:pPr>
              <w:pStyle w:val="Tabulka"/>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2255083C" w14:textId="77777777" w:rsidR="00B324A0" w:rsidRPr="00DD47DF" w:rsidRDefault="00516928" w:rsidP="001049C5">
            <w:pPr>
              <w:pStyle w:val="Tabulka"/>
              <w:rPr>
                <w:rFonts w:cs="Calibri"/>
              </w:rPr>
            </w:pPr>
            <w:r>
              <w:rPr>
                <w:rFonts w:cs="Calibri"/>
              </w:rPr>
              <w:t>průběžně</w:t>
            </w:r>
          </w:p>
        </w:tc>
      </w:tr>
    </w:tbl>
    <w:p w14:paraId="5ECFD9C1" w14:textId="77777777" w:rsidR="004C3774" w:rsidRPr="00DD47DF" w:rsidRDefault="004C3774" w:rsidP="00DA3512">
      <w:pPr>
        <w:pStyle w:val="kapitola2A0"/>
        <w:numPr>
          <w:ilvl w:val="2"/>
          <w:numId w:val="70"/>
        </w:numPr>
      </w:pPr>
      <w:bookmarkStart w:id="81" w:name="_Toc520445292"/>
      <w:r w:rsidRPr="00DD47DF">
        <w:t>INVESTIČNÍ PRIORITA 6 prioritní osy 3: Zvyšování energetické účinnosti a zabezpečení dodávek prostřednictvím rozvoje inteligentních systémů pro distribuci, skladování a přenos energie a prostřednictvím integrace distribuované výroby z obnovitelných zdrojů</w:t>
      </w:r>
      <w:bookmarkEnd w:id="81"/>
    </w:p>
    <w:p w14:paraId="66E1AA16" w14:textId="77777777" w:rsidR="004C3774" w:rsidRPr="00DD47DF" w:rsidRDefault="004C3774" w:rsidP="00DA3512">
      <w:pPr>
        <w:pStyle w:val="kapitola2A0"/>
        <w:numPr>
          <w:ilvl w:val="2"/>
          <w:numId w:val="70"/>
        </w:numPr>
      </w:pPr>
      <w:bookmarkStart w:id="82" w:name="_Toc520445293"/>
      <w:r w:rsidRPr="00DD47DF">
        <w:t>Specifické cíle odpovídající investiční prioritě a očekávané výsledky</w:t>
      </w:r>
      <w:bookmarkEnd w:id="82"/>
    </w:p>
    <w:p w14:paraId="7A46FA2F" w14:textId="77777777" w:rsidR="004C3774" w:rsidRPr="00DD47DF" w:rsidRDefault="004C3774" w:rsidP="004C3774">
      <w:pPr>
        <w:pStyle w:val="Modrnadpis"/>
      </w:pPr>
      <w:r w:rsidRPr="00DD47DF">
        <w:t xml:space="preserve">SPECIFICKÝ CÍL 3.6: </w:t>
      </w:r>
      <w:r w:rsidR="00951C8A" w:rsidRPr="00DD47DF">
        <w:t>Posílit energetickou bezpečnost přenosové soustavy</w:t>
      </w:r>
    </w:p>
    <w:p w14:paraId="0FF8E85F" w14:textId="77777777" w:rsidR="004C3774" w:rsidRPr="00DD47DF" w:rsidRDefault="00CD0C96" w:rsidP="004C3774">
      <w:pPr>
        <w:pStyle w:val="Standardntext"/>
      </w:pPr>
      <w:r w:rsidRPr="00DD47DF">
        <w:t xml:space="preserve">Pro dlouhodobě stabilní provoz přenosové soustavy je nutná modernizace a rekonstrukce jejích stávajících prvků při uplatnění inovativních postupů, které přispějí k integraci do konceptu smart řízení celé elektrizační soustavy. </w:t>
      </w:r>
      <w:r w:rsidR="005F7F3F" w:rsidRPr="00DD47DF">
        <w:t xml:space="preserve">Investice do moderní energetické infrastruktury jsou neodmyslitelnou součástí rozvoje </w:t>
      </w:r>
      <w:r w:rsidRPr="00DD47DF">
        <w:t xml:space="preserve">všech </w:t>
      </w:r>
      <w:r w:rsidR="005F7F3F" w:rsidRPr="00DD47DF">
        <w:t>průmyslově se rozvíjejících regionů.</w:t>
      </w:r>
      <w:r w:rsidR="00951C8A" w:rsidRPr="00DD47DF">
        <w:t xml:space="preserve"> Hlavním cílem je posílení konkurenceschopnosti a udržitelnosti české ekonomiky prostřednictvím rozvoje a modernizace energetické infrastruktury.</w:t>
      </w:r>
    </w:p>
    <w:p w14:paraId="5AF72B66" w14:textId="77777777" w:rsidR="004C3774" w:rsidRPr="00DD47DF" w:rsidRDefault="004C3774" w:rsidP="004C3774">
      <w:pPr>
        <w:pStyle w:val="Modrnadpis"/>
      </w:pPr>
      <w:r w:rsidRPr="00DD47DF">
        <w:lastRenderedPageBreak/>
        <w:t>Výsledky, kterých chce ČR dosáhnout s podporou Unie</w:t>
      </w:r>
    </w:p>
    <w:p w14:paraId="5748CC4F" w14:textId="77777777" w:rsidR="004C3774" w:rsidRPr="00DD47DF" w:rsidRDefault="00773FB8" w:rsidP="00FB3387">
      <w:pPr>
        <w:pStyle w:val="Standardntext"/>
        <w:numPr>
          <w:ilvl w:val="0"/>
          <w:numId w:val="51"/>
        </w:numPr>
        <w:rPr>
          <w:i/>
        </w:rPr>
      </w:pPr>
      <w:r w:rsidRPr="00DD47DF">
        <w:t>Zlepšení kvality, bezpečnosti a udržitelnosti dodávek elektřiny konečným zákazníkům ve všech regionech České republiky mimo Prahu</w:t>
      </w:r>
    </w:p>
    <w:p w14:paraId="1ED2CDE4" w14:textId="77777777" w:rsidR="004C3774" w:rsidRPr="00DD47DF" w:rsidRDefault="00773FB8" w:rsidP="00FB3387">
      <w:pPr>
        <w:pStyle w:val="Standardntext"/>
        <w:numPr>
          <w:ilvl w:val="0"/>
          <w:numId w:val="51"/>
        </w:numPr>
      </w:pPr>
      <w:r w:rsidRPr="00DD47DF">
        <w:t>Přispět k rychlejšímu dotvoření plně funkčního a propojeného vnitřního trhu s energií a zajištění spolehlivých vedení výkonů v rámci trhů s elektřinou v EU.</w:t>
      </w:r>
    </w:p>
    <w:p w14:paraId="1831597B" w14:textId="77777777" w:rsidR="00773FB8" w:rsidRPr="00DD47DF" w:rsidRDefault="00773FB8" w:rsidP="00FB3387">
      <w:pPr>
        <w:pStyle w:val="Standardntext"/>
        <w:numPr>
          <w:ilvl w:val="0"/>
          <w:numId w:val="51"/>
        </w:numPr>
      </w:pPr>
      <w:r w:rsidRPr="00DD47DF">
        <w:t>Minimalizace úzkých profilů a integrace decentralizovaných zdrojů energie.</w:t>
      </w:r>
    </w:p>
    <w:p w14:paraId="38427942" w14:textId="77777777" w:rsidR="00773FB8" w:rsidRPr="00DD47DF" w:rsidRDefault="00773FB8" w:rsidP="00FB3387">
      <w:pPr>
        <w:pStyle w:val="Standardntext"/>
        <w:numPr>
          <w:ilvl w:val="0"/>
          <w:numId w:val="51"/>
        </w:numPr>
      </w:pPr>
      <w:r w:rsidRPr="00DD47DF">
        <w:t>Impuls pro rozvoj průmyslu, podnikání a celé ekonomiky díky rozvoji a modernizaci energetické infrastruktury.</w:t>
      </w:r>
    </w:p>
    <w:p w14:paraId="6932ADF1" w14:textId="77777777" w:rsidR="004C3774" w:rsidRPr="00DD47DF" w:rsidRDefault="004C3774" w:rsidP="00F90D67">
      <w:pPr>
        <w:pStyle w:val="Titulek"/>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Pr="00DD47DF">
        <w:rPr>
          <w:rFonts w:cs="Calibri"/>
        </w:rPr>
        <w:t>: Ukazatele výsledků specifické pro jednotlivé programy, podle specifického cíle (pro EFRR a Fond soudržnosti)</w:t>
      </w:r>
    </w:p>
    <w:tbl>
      <w:tblPr>
        <w:tblW w:w="5000" w:type="pct"/>
        <w:tblLayout w:type="fixed"/>
        <w:tblCellMar>
          <w:left w:w="57" w:type="dxa"/>
          <w:right w:w="57" w:type="dxa"/>
        </w:tblCellMar>
        <w:tblLook w:val="01E0" w:firstRow="1" w:lastRow="1" w:firstColumn="1" w:lastColumn="1" w:noHBand="0" w:noVBand="0"/>
      </w:tblPr>
      <w:tblGrid>
        <w:gridCol w:w="909"/>
        <w:gridCol w:w="991"/>
        <w:gridCol w:w="993"/>
        <w:gridCol w:w="1146"/>
        <w:gridCol w:w="979"/>
        <w:gridCol w:w="851"/>
        <w:gridCol w:w="992"/>
        <w:gridCol w:w="1419"/>
        <w:gridCol w:w="1046"/>
      </w:tblGrid>
      <w:tr w:rsidR="00D57106" w:rsidRPr="00DD47DF" w14:paraId="2F840CB8" w14:textId="77777777">
        <w:trPr>
          <w:trHeight w:hRule="exact" w:val="1385"/>
        </w:trPr>
        <w:tc>
          <w:tcPr>
            <w:tcW w:w="48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847F601" w14:textId="77777777" w:rsidR="004C3774" w:rsidRPr="00DD47DF" w:rsidRDefault="004C3774" w:rsidP="00F90D67">
            <w:pPr>
              <w:pStyle w:val="Tabulka"/>
              <w:rPr>
                <w:rFonts w:cs="Calibri"/>
                <w:b/>
                <w:bCs/>
              </w:rPr>
            </w:pPr>
            <w:r w:rsidRPr="00DD47DF">
              <w:rPr>
                <w:rFonts w:cs="Calibri"/>
                <w:b/>
                <w:bCs/>
              </w:rPr>
              <w:t>ID</w:t>
            </w:r>
          </w:p>
        </w:tc>
        <w:tc>
          <w:tcPr>
            <w:tcW w:w="531"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BB55D14" w14:textId="77777777" w:rsidR="004C3774" w:rsidRPr="00DD47DF" w:rsidRDefault="004C3774" w:rsidP="00F90D67">
            <w:pPr>
              <w:pStyle w:val="Tabulka"/>
              <w:rPr>
                <w:rFonts w:cs="Calibri"/>
                <w:b/>
                <w:bCs/>
              </w:rPr>
            </w:pPr>
            <w:r w:rsidRPr="00DD47DF">
              <w:rPr>
                <w:rFonts w:cs="Calibri"/>
                <w:b/>
                <w:bCs/>
              </w:rPr>
              <w:t>Ukazatel</w:t>
            </w:r>
          </w:p>
        </w:tc>
        <w:tc>
          <w:tcPr>
            <w:tcW w:w="532"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7C0A480" w14:textId="77777777" w:rsidR="004C3774" w:rsidRPr="00DD47DF" w:rsidRDefault="004C3774" w:rsidP="00F90D67">
            <w:pPr>
              <w:pStyle w:val="Tabulka"/>
              <w:rPr>
                <w:rFonts w:cs="Calibri"/>
                <w:b/>
                <w:bCs/>
              </w:rPr>
            </w:pPr>
            <w:r w:rsidRPr="00DD47DF">
              <w:rPr>
                <w:rFonts w:cs="Calibri"/>
                <w:b/>
                <w:bCs/>
              </w:rPr>
              <w:t>Měrná</w:t>
            </w:r>
          </w:p>
          <w:p w14:paraId="1473B358" w14:textId="77777777" w:rsidR="004C3774" w:rsidRPr="00DD47DF" w:rsidRDefault="004C3774" w:rsidP="00F90D67">
            <w:pPr>
              <w:pStyle w:val="Tabulka"/>
              <w:rPr>
                <w:rFonts w:cs="Calibri"/>
                <w:b/>
                <w:bCs/>
              </w:rPr>
            </w:pPr>
            <w:r w:rsidRPr="00DD47DF">
              <w:rPr>
                <w:rFonts w:cs="Calibri"/>
                <w:b/>
                <w:bCs/>
              </w:rPr>
              <w:t>jednotka</w:t>
            </w:r>
          </w:p>
        </w:tc>
        <w:tc>
          <w:tcPr>
            <w:tcW w:w="614"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35B3FF93" w14:textId="77777777" w:rsidR="004C3774" w:rsidRPr="00DD47DF" w:rsidRDefault="004C3774" w:rsidP="00F90D67">
            <w:pPr>
              <w:pStyle w:val="Tabulka"/>
              <w:rPr>
                <w:rFonts w:cs="Calibri"/>
                <w:b/>
                <w:bCs/>
              </w:rPr>
            </w:pPr>
            <w:r w:rsidRPr="00DD47DF">
              <w:rPr>
                <w:rFonts w:cs="Calibri"/>
                <w:b/>
                <w:bCs/>
              </w:rPr>
              <w:t>Kategorie regionů (je-li relevantní)</w:t>
            </w:r>
          </w:p>
        </w:tc>
        <w:tc>
          <w:tcPr>
            <w:tcW w:w="525"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560849D" w14:textId="77777777" w:rsidR="004C3774" w:rsidRPr="00DD47DF" w:rsidRDefault="004B0854" w:rsidP="00F90D67">
            <w:pPr>
              <w:pStyle w:val="Tabulka"/>
              <w:rPr>
                <w:rFonts w:cs="Calibri"/>
                <w:b/>
                <w:bCs/>
              </w:rPr>
            </w:pPr>
            <w:r w:rsidRPr="00DD47DF">
              <w:rPr>
                <w:rFonts w:cs="Calibri"/>
                <w:b/>
                <w:bCs/>
              </w:rPr>
              <w:t>Výchozí hodnota</w:t>
            </w:r>
          </w:p>
        </w:tc>
        <w:tc>
          <w:tcPr>
            <w:tcW w:w="456"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72CC6F8C" w14:textId="77777777" w:rsidR="004C3774" w:rsidRPr="00DD47DF" w:rsidRDefault="004B0854" w:rsidP="00F90D67">
            <w:pPr>
              <w:pStyle w:val="Tabulka"/>
              <w:rPr>
                <w:rFonts w:cs="Calibri"/>
                <w:b/>
                <w:bCs/>
              </w:rPr>
            </w:pPr>
            <w:r w:rsidRPr="00DD47DF">
              <w:rPr>
                <w:rFonts w:cs="Calibri"/>
                <w:b/>
                <w:bCs/>
                <w:sz w:val="20"/>
              </w:rPr>
              <w:t xml:space="preserve">Výchozí </w:t>
            </w:r>
            <w:r w:rsidR="004C3774" w:rsidRPr="00DD47DF">
              <w:rPr>
                <w:rFonts w:cs="Calibri"/>
                <w:b/>
                <w:bCs/>
                <w:sz w:val="20"/>
              </w:rPr>
              <w:t>rok</w:t>
            </w:r>
          </w:p>
        </w:tc>
        <w:tc>
          <w:tcPr>
            <w:tcW w:w="532"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7E03902" w14:textId="77777777" w:rsidR="004C3774" w:rsidRPr="00DD47DF" w:rsidRDefault="004C3774" w:rsidP="00F90D67">
            <w:pPr>
              <w:pStyle w:val="Tabulka"/>
              <w:rPr>
                <w:rFonts w:cs="Calibri"/>
                <w:b/>
                <w:bCs/>
              </w:rPr>
            </w:pPr>
            <w:r w:rsidRPr="00DD47DF">
              <w:rPr>
                <w:rFonts w:cs="Calibri"/>
                <w:b/>
                <w:bCs/>
              </w:rPr>
              <w:t>Cílová hodnota (2023)</w:t>
            </w:r>
          </w:p>
        </w:tc>
        <w:tc>
          <w:tcPr>
            <w:tcW w:w="761"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FF7D1F9" w14:textId="77777777" w:rsidR="004C3774" w:rsidRPr="00DD47DF" w:rsidRDefault="004C3774" w:rsidP="00F90D67">
            <w:pPr>
              <w:pStyle w:val="Tabulka"/>
              <w:rPr>
                <w:rFonts w:cs="Calibri"/>
                <w:b/>
                <w:bCs/>
              </w:rPr>
            </w:pPr>
            <w:r w:rsidRPr="00DD47DF">
              <w:rPr>
                <w:rFonts w:cs="Calibri"/>
                <w:b/>
                <w:bCs/>
              </w:rPr>
              <w:t>Zdroj údajů</w:t>
            </w:r>
          </w:p>
        </w:tc>
        <w:tc>
          <w:tcPr>
            <w:tcW w:w="561"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413F2BE7" w14:textId="77777777" w:rsidR="004C3774" w:rsidRPr="00DD47DF" w:rsidRDefault="004C3774" w:rsidP="00F90D67">
            <w:pPr>
              <w:pStyle w:val="Tabulka"/>
              <w:rPr>
                <w:rFonts w:cs="Calibri"/>
                <w:b/>
                <w:bCs/>
              </w:rPr>
            </w:pPr>
            <w:r w:rsidRPr="00DD47DF">
              <w:rPr>
                <w:rFonts w:cs="Calibri"/>
                <w:b/>
                <w:bCs/>
              </w:rPr>
              <w:t>Četnost podávání zpráv</w:t>
            </w:r>
          </w:p>
        </w:tc>
      </w:tr>
      <w:tr w:rsidR="00956C4F" w:rsidRPr="00DD47DF" w14:paraId="6D0BF3A1" w14:textId="77777777">
        <w:trPr>
          <w:trHeight w:hRule="exact" w:val="1193"/>
        </w:trPr>
        <w:tc>
          <w:tcPr>
            <w:tcW w:w="487" w:type="pct"/>
            <w:tcBorders>
              <w:top w:val="single" w:sz="4" w:space="0" w:color="000000"/>
              <w:left w:val="single" w:sz="4" w:space="0" w:color="000000"/>
              <w:bottom w:val="single" w:sz="4" w:space="0" w:color="000000"/>
              <w:right w:val="single" w:sz="4" w:space="0" w:color="000000"/>
            </w:tcBorders>
            <w:vAlign w:val="center"/>
          </w:tcPr>
          <w:p w14:paraId="77E8B37A" w14:textId="77777777" w:rsidR="004C3774" w:rsidRPr="00DD47DF" w:rsidRDefault="002252D2" w:rsidP="00F90D67">
            <w:pPr>
              <w:pStyle w:val="Tabulka"/>
              <w:rPr>
                <w:rFonts w:cs="Calibri"/>
              </w:rPr>
            </w:pPr>
            <w:r w:rsidRPr="00DD47DF">
              <w:rPr>
                <w:rFonts w:cs="Calibri"/>
              </w:rPr>
              <w:t>33800</w:t>
            </w:r>
          </w:p>
        </w:tc>
        <w:tc>
          <w:tcPr>
            <w:tcW w:w="531" w:type="pct"/>
            <w:tcBorders>
              <w:top w:val="single" w:sz="4" w:space="0" w:color="000000"/>
              <w:left w:val="single" w:sz="4" w:space="0" w:color="000000"/>
              <w:bottom w:val="single" w:sz="4" w:space="0" w:color="000000"/>
              <w:right w:val="single" w:sz="4" w:space="0" w:color="000000"/>
            </w:tcBorders>
            <w:vAlign w:val="center"/>
          </w:tcPr>
          <w:p w14:paraId="353A37D9" w14:textId="77777777" w:rsidR="004C3774" w:rsidRPr="00DD47DF" w:rsidRDefault="00672F46" w:rsidP="00F90D67">
            <w:pPr>
              <w:pStyle w:val="Tabulka"/>
              <w:jc w:val="left"/>
              <w:rPr>
                <w:rFonts w:cs="Calibri"/>
              </w:rPr>
            </w:pPr>
            <w:r w:rsidRPr="00DD47DF">
              <w:rPr>
                <w:rFonts w:cs="Calibri"/>
                <w:szCs w:val="20"/>
              </w:rPr>
              <w:t>Transfor</w:t>
            </w:r>
            <w:r w:rsidR="00D57106" w:rsidRPr="00DD47DF">
              <w:rPr>
                <w:rFonts w:cs="Calibri"/>
                <w:szCs w:val="20"/>
              </w:rPr>
              <w:t>-</w:t>
            </w:r>
            <w:r w:rsidRPr="00DD47DF">
              <w:rPr>
                <w:rFonts w:cs="Calibri"/>
                <w:szCs w:val="20"/>
              </w:rPr>
              <w:t>mační výkon PS/DS</w:t>
            </w:r>
          </w:p>
        </w:tc>
        <w:tc>
          <w:tcPr>
            <w:tcW w:w="532" w:type="pct"/>
            <w:tcBorders>
              <w:top w:val="single" w:sz="4" w:space="0" w:color="000000"/>
              <w:left w:val="single" w:sz="4" w:space="0" w:color="000000"/>
              <w:bottom w:val="single" w:sz="4" w:space="0" w:color="000000"/>
              <w:right w:val="single" w:sz="4" w:space="0" w:color="000000"/>
            </w:tcBorders>
            <w:vAlign w:val="center"/>
          </w:tcPr>
          <w:p w14:paraId="157D424C" w14:textId="77777777" w:rsidR="004C3774" w:rsidRPr="00DD47DF" w:rsidRDefault="004C3774" w:rsidP="00F90D67">
            <w:pPr>
              <w:pStyle w:val="Tabulka"/>
              <w:rPr>
                <w:rFonts w:cs="Calibri"/>
              </w:rPr>
            </w:pPr>
            <w:r w:rsidRPr="00DD47DF">
              <w:rPr>
                <w:rFonts w:cs="Calibri"/>
              </w:rPr>
              <w:t>MVA</w:t>
            </w:r>
          </w:p>
        </w:tc>
        <w:tc>
          <w:tcPr>
            <w:tcW w:w="614" w:type="pct"/>
            <w:tcBorders>
              <w:top w:val="single" w:sz="4" w:space="0" w:color="000000"/>
              <w:left w:val="single" w:sz="4" w:space="0" w:color="000000"/>
              <w:bottom w:val="single" w:sz="4" w:space="0" w:color="000000"/>
              <w:right w:val="single" w:sz="4" w:space="0" w:color="000000"/>
            </w:tcBorders>
            <w:vAlign w:val="center"/>
          </w:tcPr>
          <w:p w14:paraId="01651583" w14:textId="77777777" w:rsidR="004C3774" w:rsidRPr="00DD47DF" w:rsidRDefault="004C3774" w:rsidP="00F90D67">
            <w:pPr>
              <w:pStyle w:val="Tabulka"/>
              <w:rPr>
                <w:rFonts w:cs="Calibri"/>
              </w:rPr>
            </w:pPr>
            <w:r w:rsidRPr="00DD47DF">
              <w:rPr>
                <w:rFonts w:cs="Calibri"/>
              </w:rPr>
              <w:t>Méně rozvinuté regiony</w:t>
            </w:r>
          </w:p>
        </w:tc>
        <w:tc>
          <w:tcPr>
            <w:tcW w:w="525" w:type="pct"/>
            <w:tcBorders>
              <w:top w:val="single" w:sz="4" w:space="0" w:color="000000"/>
              <w:left w:val="single" w:sz="4" w:space="0" w:color="000000"/>
              <w:bottom w:val="single" w:sz="4" w:space="0" w:color="000000"/>
              <w:right w:val="single" w:sz="4" w:space="0" w:color="000000"/>
            </w:tcBorders>
            <w:vAlign w:val="center"/>
          </w:tcPr>
          <w:p w14:paraId="1DF6E309" w14:textId="77777777" w:rsidR="004C3774" w:rsidRPr="00DD47DF" w:rsidRDefault="004C3774" w:rsidP="00F90D67">
            <w:pPr>
              <w:pStyle w:val="Tabulka"/>
              <w:rPr>
                <w:rFonts w:cs="Calibri"/>
              </w:rPr>
            </w:pPr>
            <w:r w:rsidRPr="00DD47DF">
              <w:rPr>
                <w:rFonts w:cs="Calibri"/>
              </w:rPr>
              <w:t>21 680</w:t>
            </w:r>
          </w:p>
        </w:tc>
        <w:tc>
          <w:tcPr>
            <w:tcW w:w="456" w:type="pct"/>
            <w:tcBorders>
              <w:top w:val="single" w:sz="4" w:space="0" w:color="000000"/>
              <w:left w:val="single" w:sz="4" w:space="0" w:color="000000"/>
              <w:bottom w:val="single" w:sz="4" w:space="0" w:color="000000"/>
              <w:right w:val="single" w:sz="4" w:space="0" w:color="000000"/>
            </w:tcBorders>
            <w:vAlign w:val="center"/>
          </w:tcPr>
          <w:p w14:paraId="23709CB3" w14:textId="77777777" w:rsidR="004C3774" w:rsidRPr="00DD47DF" w:rsidRDefault="004C3774" w:rsidP="00F90D67">
            <w:pPr>
              <w:pStyle w:val="Tabulka"/>
              <w:rPr>
                <w:rFonts w:cs="Calibri"/>
              </w:rPr>
            </w:pPr>
            <w:r w:rsidRPr="00DD47DF">
              <w:rPr>
                <w:rFonts w:cs="Calibri"/>
              </w:rPr>
              <w:t>201</w:t>
            </w:r>
            <w:r w:rsidR="000E2AD0" w:rsidRPr="00DD47DF">
              <w:rPr>
                <w:rFonts w:cs="Calibri"/>
              </w:rPr>
              <w:t>3</w:t>
            </w:r>
          </w:p>
        </w:tc>
        <w:tc>
          <w:tcPr>
            <w:tcW w:w="532" w:type="pct"/>
            <w:tcBorders>
              <w:top w:val="single" w:sz="4" w:space="0" w:color="000000"/>
              <w:left w:val="single" w:sz="4" w:space="0" w:color="000000"/>
              <w:bottom w:val="single" w:sz="4" w:space="0" w:color="000000"/>
              <w:right w:val="single" w:sz="4" w:space="0" w:color="000000"/>
            </w:tcBorders>
            <w:vAlign w:val="center"/>
          </w:tcPr>
          <w:p w14:paraId="3238487F" w14:textId="77777777" w:rsidR="004C3774" w:rsidRPr="00DD47DF" w:rsidRDefault="005F7F3F" w:rsidP="00F90D67">
            <w:pPr>
              <w:pStyle w:val="Tabulka"/>
              <w:rPr>
                <w:rFonts w:cs="Calibri"/>
              </w:rPr>
            </w:pPr>
            <w:r w:rsidRPr="00DD47DF">
              <w:rPr>
                <w:rFonts w:cs="Calibri"/>
              </w:rPr>
              <w:t>23 430</w:t>
            </w:r>
          </w:p>
        </w:tc>
        <w:tc>
          <w:tcPr>
            <w:tcW w:w="761" w:type="pct"/>
            <w:tcBorders>
              <w:top w:val="single" w:sz="4" w:space="0" w:color="000000"/>
              <w:left w:val="single" w:sz="4" w:space="0" w:color="000000"/>
              <w:bottom w:val="single" w:sz="4" w:space="0" w:color="000000"/>
              <w:right w:val="single" w:sz="4" w:space="0" w:color="000000"/>
            </w:tcBorders>
            <w:vAlign w:val="center"/>
          </w:tcPr>
          <w:p w14:paraId="3441FA94" w14:textId="77777777" w:rsidR="004C3774" w:rsidRPr="00DD47DF" w:rsidRDefault="00D40CB8" w:rsidP="00F90D67">
            <w:pPr>
              <w:pStyle w:val="Tabulka"/>
              <w:rPr>
                <w:rFonts w:cs="Calibri"/>
              </w:rPr>
            </w:pPr>
            <w:r>
              <w:rPr>
                <w:rFonts w:cs="Calibri"/>
              </w:rPr>
              <w:t>ŘO</w:t>
            </w:r>
          </w:p>
        </w:tc>
        <w:tc>
          <w:tcPr>
            <w:tcW w:w="561" w:type="pct"/>
            <w:tcBorders>
              <w:top w:val="single" w:sz="4" w:space="0" w:color="000000"/>
              <w:left w:val="single" w:sz="4" w:space="0" w:color="000000"/>
              <w:bottom w:val="single" w:sz="4" w:space="0" w:color="000000"/>
              <w:right w:val="single" w:sz="4" w:space="0" w:color="000000"/>
            </w:tcBorders>
            <w:vAlign w:val="center"/>
          </w:tcPr>
          <w:p w14:paraId="6236D811" w14:textId="77777777" w:rsidR="004C3774" w:rsidRPr="00DD47DF" w:rsidRDefault="00274100" w:rsidP="00F90D67">
            <w:pPr>
              <w:pStyle w:val="Tabulka"/>
              <w:rPr>
                <w:rFonts w:cs="Calibri"/>
              </w:rPr>
            </w:pPr>
            <w:r w:rsidRPr="00DD47DF">
              <w:rPr>
                <w:rFonts w:cs="Calibri"/>
              </w:rPr>
              <w:t>ročně</w:t>
            </w:r>
          </w:p>
        </w:tc>
      </w:tr>
    </w:tbl>
    <w:p w14:paraId="7E8E5BC6" w14:textId="77777777" w:rsidR="004C3774" w:rsidRPr="00DD47DF" w:rsidRDefault="004C3774" w:rsidP="00DA3512">
      <w:pPr>
        <w:pStyle w:val="kapitola2A0"/>
        <w:numPr>
          <w:ilvl w:val="2"/>
          <w:numId w:val="70"/>
        </w:numPr>
      </w:pPr>
      <w:bookmarkStart w:id="83" w:name="_Toc520445294"/>
      <w:r w:rsidRPr="00DD47DF">
        <w:t>Opatření, jež má být podpořeno v rámci investiční priority</w:t>
      </w:r>
      <w:bookmarkEnd w:id="83"/>
    </w:p>
    <w:p w14:paraId="3663B789" w14:textId="77777777" w:rsidR="004C3774" w:rsidRPr="00DD47DF" w:rsidRDefault="004C3774" w:rsidP="00DA3512">
      <w:pPr>
        <w:pStyle w:val="Nadpis5"/>
        <w:numPr>
          <w:ilvl w:val="4"/>
          <w:numId w:val="71"/>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2A84DF4F" w14:textId="77777777" w:rsidR="004C3774" w:rsidRPr="00DD47DF" w:rsidRDefault="000A2EB4" w:rsidP="00F90D67">
      <w:pPr>
        <w:pStyle w:val="Standardntext"/>
        <w:keepNext/>
        <w:keepLines/>
        <w:rPr>
          <w:b/>
        </w:rPr>
      </w:pPr>
      <w:r w:rsidRPr="00DD47DF">
        <w:rPr>
          <w:b/>
        </w:rPr>
        <w:t>Aktivity pro tento specifický cíl:</w:t>
      </w:r>
    </w:p>
    <w:p w14:paraId="467799B0" w14:textId="77777777" w:rsidR="00896EDF" w:rsidRPr="00DD47DF" w:rsidRDefault="004C3774" w:rsidP="00FB3387">
      <w:pPr>
        <w:pStyle w:val="Standardntext"/>
        <w:keepNext/>
        <w:keepLines/>
        <w:numPr>
          <w:ilvl w:val="0"/>
          <w:numId w:val="41"/>
        </w:numPr>
      </w:pPr>
      <w:r w:rsidRPr="00DD47DF">
        <w:t>Výstavba, posílení, modernizace a rekonstrukce vedení přenosové soustavy a transformoven</w:t>
      </w:r>
      <w:r w:rsidR="00B24119" w:rsidRPr="00DD47DF">
        <w:t xml:space="preserve"> </w:t>
      </w:r>
      <w:r w:rsidR="004E6583" w:rsidRPr="00DD47DF">
        <w:t>(v souladu s konceptem chytrých sítí</w:t>
      </w:r>
      <w:r w:rsidR="00DE2376" w:rsidRPr="00DD47DF">
        <w:t>).</w:t>
      </w:r>
    </w:p>
    <w:p w14:paraId="754FD36B" w14:textId="77777777" w:rsidR="005F7F3F" w:rsidRPr="00DD47DF" w:rsidRDefault="005F7F3F" w:rsidP="00896EDF">
      <w:pPr>
        <w:pStyle w:val="Standardntext"/>
      </w:pPr>
      <w:r w:rsidRPr="00DD47DF">
        <w:t>Přenosová soustava jako celek je tvořena soustavou jednotlivých prvků zejména rozvoden, vedení a transformátorů, které byly budovány a vzájemně propojovány postupně tak, jak v průběhu vývoje vyžadovaly potřeby hospodářství ČR. Jednotlivé prvky přenosové soustavy tak vznikaly v různých etapách její výstavby a mnohdy s velkým časovým odstupem. Tyto prvky byly proto navrhovány a realizovány s odlišnými technickými parametry, které odpovídaly technickým možnostem a potřebám období jejich výstavby. Bezpečný a spolehlivý provoz, který je hlavním požadavkem kladeným na přenosovou soustavu, lze přitom zajistit pouze v případě bezpečného a spolehlivého provozu každého prvku přenosové soustavy. Základní podmínkou dlouhodobě stabilního provozu přenosové soustavy je vedle jejího plánovitého rozvoje i modernizace a rekonstrukce stávajících prvků soustavy, a to tak, aby všechny tyto prvky splňovaly stanovené technické a spolehlivostní požadavky s ohledem na inovativní postupy a umožnění plné integrace do konceptu smart řízení celé elektrizační soustavy přispívající k efektivnímu využití infrastruktury.</w:t>
      </w:r>
      <w:r w:rsidR="003D4D3F" w:rsidRPr="00DD47DF">
        <w:t xml:space="preserve"> </w:t>
      </w:r>
      <w:r w:rsidRPr="00DD47DF">
        <w:t xml:space="preserve">Aktivity zaměřené na rozvoj a modernizaci přenosové soustavy jsou proto směrovány zejména do </w:t>
      </w:r>
      <w:r w:rsidR="003D4D3F" w:rsidRPr="00DD47DF">
        <w:t>následujících</w:t>
      </w:r>
      <w:r w:rsidRPr="00DD47DF">
        <w:t xml:space="preserve"> typových projektů.</w:t>
      </w:r>
    </w:p>
    <w:p w14:paraId="126EB1F3" w14:textId="77777777" w:rsidR="005F7F3F" w:rsidRPr="00DD47DF" w:rsidRDefault="003D4D3F" w:rsidP="005F7F3F">
      <w:pPr>
        <w:pStyle w:val="Standardntext"/>
      </w:pPr>
      <w:r w:rsidRPr="00DD47DF">
        <w:lastRenderedPageBreak/>
        <w:t>Prvním typovým projektem je v</w:t>
      </w:r>
      <w:r w:rsidR="005F7F3F" w:rsidRPr="00DD47DF">
        <w:t>ýstavba nových linek a posilování přenosové schopnosti linek stávajících. U vybraných páteřních linek je plánováno jejich zdvojení, které výrazným způsobem zvyšuje přenosovou kapacitu linky při minimalizaci nároků na zábor pozemků a zatížení životního prostředí. Součástí procesu posilování přenosové schopnosti linek je i jejich modernizace zaměřená na plnění zvýšených požadavkům bezpečnosti provozu a nově stanovených ekologických požadavků (např. limitní hodnoty elektromagnetického pole) a to za účelem dosažení dostatečné kapacity pro přenos elektrické energie mezi výrobci a spotřebiteli.</w:t>
      </w:r>
      <w:r w:rsidRPr="00DD47DF">
        <w:t xml:space="preserve"> </w:t>
      </w:r>
      <w:r w:rsidR="005F7F3F" w:rsidRPr="00DD47DF">
        <w:t>Výstupem projektu bude nové nebo posílené vedení, které se promítá do výsledků ve formě zvýšené kapacity (bezpečnost, odolnost a spolehlivost provozu).</w:t>
      </w:r>
      <w:r w:rsidR="00EC77DC" w:rsidRPr="00DD47DF">
        <w:t xml:space="preserve"> </w:t>
      </w:r>
      <w:r w:rsidR="007C2897" w:rsidRPr="00DD47DF">
        <w:t>Výsledky pokrývají celou podporovatelnou oblast, tzn. všechny regiony České republiky mimo Prahu</w:t>
      </w:r>
      <w:r w:rsidR="00EC77DC" w:rsidRPr="00DD47DF">
        <w:t>.</w:t>
      </w:r>
    </w:p>
    <w:p w14:paraId="3BAD7757" w14:textId="77777777" w:rsidR="005F7F3F" w:rsidRPr="00DD47DF" w:rsidRDefault="003D4D3F" w:rsidP="005F7F3F">
      <w:pPr>
        <w:pStyle w:val="Standardntext"/>
      </w:pPr>
      <w:r w:rsidRPr="00DD47DF">
        <w:t>Dalším typovým projektem je v</w:t>
      </w:r>
      <w:r w:rsidR="005F7F3F" w:rsidRPr="00DD47DF">
        <w:t xml:space="preserve">ýstavba a modernizace rozvoden. Nedílnou součástí rozvoje přenosové soustavy je </w:t>
      </w:r>
      <w:r w:rsidRPr="00DD47DF">
        <w:t xml:space="preserve">totiž </w:t>
      </w:r>
      <w:r w:rsidR="005F7F3F" w:rsidRPr="00DD47DF">
        <w:t>výstavba nových rozvoden s navazující transformací na napěťovou úroveň 110 kV v místech s výrazným nárůstem spotřeby. Vedle výstavby nových rozvoden je realizován i proces modernizace rozvoden, který se především zaměřuje na zajištění dostatečné přenosové schopnosti ve všech uzlech soustavy a na zlepšení i dalších technických parametrů rozvoden tak, aby byl zajištěn spolehlivý provoz přenosové soustavy i v m</w:t>
      </w:r>
      <w:r w:rsidRPr="00DD47DF">
        <w:t xml:space="preserve">imořádných provozních režimech. </w:t>
      </w:r>
      <w:r w:rsidR="005F7F3F" w:rsidRPr="00DD47DF">
        <w:t>Výstupem projektu bude nová či modernizovaná transformovna, která se promítá do výsledků ve formě zvýšené kapacity (bezpečnost, odolnost a spolehlivost provozu).</w:t>
      </w:r>
    </w:p>
    <w:p w14:paraId="08C82A10" w14:textId="77777777" w:rsidR="005F7F3F" w:rsidRPr="00DD47DF" w:rsidRDefault="003D4D3F" w:rsidP="005F7F3F">
      <w:pPr>
        <w:pStyle w:val="Standardntext"/>
      </w:pPr>
      <w:r w:rsidRPr="00DD47DF">
        <w:t>Mezi typové projekty patří také z</w:t>
      </w:r>
      <w:r w:rsidR="005F7F3F" w:rsidRPr="00DD47DF">
        <w:t>ajištění dostatečného transformačního výkonu z přenosové soustavy do všech částí distribuční soustavy. Tento požadavek je řešen instalací nových transformátorů v oblastech s nárůstem spotřeby a dále plánovanou výměnou stávajících transformátorů za nové stroje většího výkonu. Postupná výměna transformátorů je plánována především s ohledem na požadovaný přenášený výkon a spolehlivost provozu jednotlivých transformátorů, která je ovlivněna stářím stroje. V rámci výměny transformátorů je řešena i ekologizace jejich provozu, která se zaměřuje na snižování hladiny hluku v okolí strojů a bezpečnost olejového hospodářství.</w:t>
      </w:r>
      <w:r w:rsidRPr="00DD47DF">
        <w:t xml:space="preserve"> </w:t>
      </w:r>
      <w:r w:rsidR="005F7F3F" w:rsidRPr="00DD47DF">
        <w:t>Výstupem projektu bude nová či modernizovaná transformovna, která se promítá do výsledků ve formě zvýšené kapacity (bezpečnost, odolnost a spolehlivost provozu).</w:t>
      </w:r>
    </w:p>
    <w:p w14:paraId="0202590B" w14:textId="77777777" w:rsidR="005F7F3F" w:rsidRPr="00DD47DF" w:rsidRDefault="003D4D3F" w:rsidP="005F7F3F">
      <w:pPr>
        <w:pStyle w:val="Standardntext"/>
      </w:pPr>
      <w:r w:rsidRPr="00DD47DF">
        <w:t>Dalším typovým projektem je m</w:t>
      </w:r>
      <w:r w:rsidR="005F7F3F" w:rsidRPr="00DD47DF">
        <w:t>odernizace řídicích a komunikačních systém</w:t>
      </w:r>
      <w:r w:rsidRPr="00DD47DF">
        <w:t>ů</w:t>
      </w:r>
      <w:r w:rsidR="005F7F3F" w:rsidRPr="00DD47DF">
        <w:t xml:space="preserve">. Modernizovány </w:t>
      </w:r>
      <w:r w:rsidRPr="00DD47DF">
        <w:t>budou</w:t>
      </w:r>
      <w:r w:rsidR="005F7F3F" w:rsidRPr="00DD47DF">
        <w:t xml:space="preserve"> řídicí systémy v jednotlivých uzlech soustavy, ale i dispečerské řídicí systémy. Tento proces zajistí zlepšení provozu přenosové soustavy </w:t>
      </w:r>
      <w:r w:rsidR="00127389" w:rsidRPr="00DD47DF">
        <w:t xml:space="preserve">s </w:t>
      </w:r>
      <w:r w:rsidR="005F7F3F" w:rsidRPr="00DD47DF">
        <w:t>ohledem na jeho bezpečnost a spolehlivost, umožní ve větší míře zohlednit i ekonomické faktory provozu přenosové soustavy a postupně vytvoří podmínky pro zavádění prvků smart grid do řízení přenosové soustavy.</w:t>
      </w:r>
      <w:r w:rsidRPr="00DD47DF">
        <w:t xml:space="preserve"> </w:t>
      </w:r>
      <w:r w:rsidR="005F7F3F" w:rsidRPr="00DD47DF">
        <w:t>Výstupem projektu bude nová či modernizovaná transformovna, která se promítá do výsledků ve formě zvýšené kapacity (bezpečnost, odolnost a spolehlivost provozu).</w:t>
      </w:r>
    </w:p>
    <w:p w14:paraId="2F1EBB70" w14:textId="77777777" w:rsidR="00121309" w:rsidRPr="00DD47DF" w:rsidRDefault="00121309" w:rsidP="00121309">
      <w:pPr>
        <w:pStyle w:val="Standardntext"/>
      </w:pPr>
      <w:r w:rsidRPr="00DD47DF">
        <w:t>Rozvoj přenosové soustavy je obecně prováděn na základě principů inteligentních sítí. Obnova prvků přenosové soustavy nebo výstavba nových je vždy v souladu s nejlepší praxí. Na základě pokroku a vývoje je třeba udržovat soustavu na technologicky co možná nejvyšší úrovni, navíc rozvoj a obnova sítí velmi vysokého napětí musí neustále udržovat stejné tempo jako zbytek elektrizační soustavy, která musí být chápána jako celek. Právě všechny prvky elektrizační soustavy, jak na straně přenosu, tak distribuce, musí být kvalitativně vyváženy. Nelze proto striktně oddělovat smart pouze pro distribuční systémy a zcela opomíjet pokrok páteřní sítě na vysokých napěťových hladinách. Rozvoj inteligentních systémů pro distribuci je plně svázán s rozvojem přenosové soustavy právě z těchto důvodů.</w:t>
      </w:r>
    </w:p>
    <w:p w14:paraId="49097342" w14:textId="77777777" w:rsidR="009D3B07" w:rsidRPr="00DD47DF" w:rsidRDefault="009D3B07" w:rsidP="009D3B07">
      <w:pPr>
        <w:pStyle w:val="Standardntext"/>
      </w:pPr>
      <w:r w:rsidRPr="00DD47DF">
        <w:t>Aktivity budou v souladu s následující definici „smart grid“:</w:t>
      </w:r>
    </w:p>
    <w:p w14:paraId="0A9784F8" w14:textId="77777777" w:rsidR="009D3B07" w:rsidRPr="00DD47DF" w:rsidRDefault="00463683" w:rsidP="009D3B07">
      <w:pPr>
        <w:pStyle w:val="Standardntext"/>
      </w:pPr>
      <w:r w:rsidRPr="00DD47DF">
        <w:lastRenderedPageBreak/>
        <w:t>Inteligentní sítí se rozumí elektrická síť, která může nákladově efektivně zohlednit chování a akce všech uživatelů na ni napojených, včetně výrobců, spotřebitelů a těch, kteří elektřinu vyrábějí i spotřebovávají, k zajištění ekonomicky efektivní udržitelné elektrické soustavy s malými ztrátami a vysokou úrovní jakosti a bezpečnosti dodávek a zabezpečení.</w:t>
      </w:r>
    </w:p>
    <w:p w14:paraId="71D4D756" w14:textId="77777777" w:rsidR="00121309" w:rsidRPr="00DD47DF" w:rsidRDefault="00121309" w:rsidP="00121309">
      <w:pPr>
        <w:pStyle w:val="Standardntext"/>
      </w:pPr>
      <w:r w:rsidRPr="00DD47DF">
        <w:t xml:space="preserve">Elektrizační soustavu, a to jak přenosovou, tak distribuční část, je třeba rozvíjet v návaznosti na změny ve zdrojové základně, které jsou charakteristické rychlým rozvojem decentrálních a intermitentních zdrojů. Rozvoj zdrojové základny je podmíněn výstavbou nových vedení, zajišťujících spolehlivé vyvedení výkonů. Bez rozvoje a modernizace elektrizační soustavy nelze v budoucnu dostatečně uspokojit požadavky rozvíjejících se regionů a jednotného evropského trhu s elektřinou. </w:t>
      </w:r>
    </w:p>
    <w:p w14:paraId="0D55F5C2" w14:textId="77777777" w:rsidR="00121309" w:rsidRPr="00DD47DF" w:rsidRDefault="00121309" w:rsidP="00121309">
      <w:pPr>
        <w:pStyle w:val="Standardntext"/>
      </w:pPr>
      <w:r w:rsidRPr="00DD47DF">
        <w:t>Pro integraci trhu je nutné posílit vnitřní i přeshraniční kapacity přenosových vedení elektrické energie. Kvalitní napojení energetických sítí na evropské struktury je významné z hlediska energetické bezpečnosti a zajištění stálosti dodávek při exportu i importu energie. Je očekávána integrace nových inteligentních technologií jako jsou dálkově ovládané prvky, technologické prvky řízení napětí i činného výkonu, prvky dálkového řízení spotřeby a inteligentního měření, které slouží jako regulační prvek v tzv. inteligentních sítích nebo zařízení pro akumulaci elektrické energie.</w:t>
      </w:r>
    </w:p>
    <w:p w14:paraId="35C1BC2A" w14:textId="77777777" w:rsidR="00121309" w:rsidRPr="00DD47DF" w:rsidRDefault="00121309" w:rsidP="00121309">
      <w:pPr>
        <w:pStyle w:val="Standardntext"/>
      </w:pPr>
      <w:r w:rsidRPr="00DD47DF">
        <w:t>Bližší specifikace typových projektů je uvedena v Nepovinné příloze č. 5. Nejedná se o taxativní výčet, ale o popis typových příkladů.</w:t>
      </w:r>
    </w:p>
    <w:p w14:paraId="645C62EF" w14:textId="77777777" w:rsidR="004C3774" w:rsidRPr="00DD47DF" w:rsidRDefault="004C3774" w:rsidP="004C3774">
      <w:pPr>
        <w:pStyle w:val="Standardntext"/>
      </w:pPr>
      <w:r w:rsidRPr="00DD47DF">
        <w:rPr>
          <w:b/>
        </w:rPr>
        <w:t xml:space="preserve">Hlavní cílová skupina: </w:t>
      </w:r>
      <w:r w:rsidR="00127389" w:rsidRPr="00DD47DF">
        <w:t>P</w:t>
      </w:r>
      <w:r w:rsidR="00773FB8" w:rsidRPr="00DD47DF">
        <w:t>rovozovatel přenosové soustavy, který se hodlá soustředit na modernizaci a rozvoj přenosové soustavy.</w:t>
      </w:r>
    </w:p>
    <w:p w14:paraId="474C5632" w14:textId="77777777" w:rsidR="004C3774" w:rsidRPr="00DD47DF" w:rsidRDefault="004C3774" w:rsidP="004C3774">
      <w:pPr>
        <w:pStyle w:val="Standardntext"/>
      </w:pPr>
      <w:r w:rsidRPr="00DD47DF">
        <w:rPr>
          <w:b/>
        </w:rPr>
        <w:t>Cílové území:</w:t>
      </w:r>
      <w:r w:rsidRPr="00DD47DF">
        <w:t xml:space="preserve"> </w:t>
      </w:r>
      <w:r w:rsidR="001E0AA2" w:rsidRPr="00DD47DF">
        <w:t>Území České republiky, mimo území hl. m. Prahy.</w:t>
      </w:r>
      <w:r w:rsidRPr="00DD47DF">
        <w:t xml:space="preserve"> </w:t>
      </w:r>
      <w:r w:rsidR="00A46CD6" w:rsidRPr="00DD47DF">
        <w:t>Předpokládá se plošné směrování intervencí bez vymezení územní dimenze</w:t>
      </w:r>
      <w:r w:rsidRPr="00DD47DF">
        <w:t>.</w:t>
      </w:r>
    </w:p>
    <w:p w14:paraId="5693A12B" w14:textId="77777777" w:rsidR="004C3774" w:rsidRPr="00DD47DF" w:rsidRDefault="004C3774" w:rsidP="004C3774">
      <w:pPr>
        <w:pStyle w:val="Standardntext"/>
        <w:rPr>
          <w:b/>
        </w:rPr>
      </w:pPr>
      <w:r w:rsidRPr="00DD47DF">
        <w:rPr>
          <w:b/>
        </w:rPr>
        <w:t xml:space="preserve">Typy příjemců: </w:t>
      </w:r>
      <w:r w:rsidR="00773FB8" w:rsidRPr="00DD47DF">
        <w:t>Podnikatelsk</w:t>
      </w:r>
      <w:r w:rsidR="00FA6AB3" w:rsidRPr="00DD47DF">
        <w:t xml:space="preserve">ý </w:t>
      </w:r>
      <w:r w:rsidR="00773FB8" w:rsidRPr="00DD47DF">
        <w:t>subjekt (</w:t>
      </w:r>
      <w:r w:rsidR="00FA6AB3" w:rsidRPr="00DD47DF">
        <w:t xml:space="preserve">provozovatel přenosové soustavy). </w:t>
      </w:r>
      <w:r w:rsidR="003D4D3F" w:rsidRPr="00DD47DF">
        <w:t>Provozovatel přenosových sítí j</w:t>
      </w:r>
      <w:r w:rsidR="00FA6AB3" w:rsidRPr="00DD47DF">
        <w:t xml:space="preserve">e </w:t>
      </w:r>
      <w:r w:rsidR="003D4D3F" w:rsidRPr="00DD47DF">
        <w:t>z principu velk</w:t>
      </w:r>
      <w:r w:rsidR="00FA6AB3" w:rsidRPr="00DD47DF">
        <w:t xml:space="preserve">ý </w:t>
      </w:r>
      <w:r w:rsidR="003D4D3F" w:rsidRPr="00DD47DF">
        <w:t xml:space="preserve">podnik. Intervence v této oblasti tedy nelze realizovat v segmentu malých a středních firem. Přenosová soustava (páteřní část celé elektrizační soustavy) provozovaná na napěťových hladinách 400 a 220 kV zajišťuje přenos elektřiny po celém území České republiky a napájí elektřinou distribuční soustavy, které ji dále rozvádějí až ke konečným spotřebitelům. Do přenosové soustavy je připojena více </w:t>
      </w:r>
      <w:r w:rsidR="00D23729" w:rsidRPr="00DD47DF">
        <w:t>než</w:t>
      </w:r>
      <w:r w:rsidR="003D4D3F" w:rsidRPr="00DD47DF">
        <w:t xml:space="preserve"> polovina instalovaného výkonu elektráren ČR.</w:t>
      </w:r>
    </w:p>
    <w:p w14:paraId="789AC2C3" w14:textId="77777777" w:rsidR="004C3774" w:rsidRPr="00DD47DF" w:rsidRDefault="004C3774" w:rsidP="00DA3512">
      <w:pPr>
        <w:pStyle w:val="Nadpis5"/>
        <w:numPr>
          <w:ilvl w:val="4"/>
          <w:numId w:val="71"/>
        </w:numPr>
      </w:pPr>
      <w:r w:rsidRPr="00DD47DF">
        <w:t>Hlavní zásady pro výběr operací</w:t>
      </w:r>
    </w:p>
    <w:p w14:paraId="642EB25E" w14:textId="77777777" w:rsidR="0042487A" w:rsidRPr="00DD47DF" w:rsidRDefault="00FE3385" w:rsidP="0042487A">
      <w:pPr>
        <w:pStyle w:val="Standardntext"/>
      </w:pPr>
      <w:r w:rsidRPr="00DD47DF">
        <w:t>Společné obecné zásady pro výběr operací pro všechny investiční priority celého OP PIK jsou uvedeny v prioritní ose 1 v oddíle 2.A.6.2.</w:t>
      </w:r>
    </w:p>
    <w:p w14:paraId="6E7D9FFB" w14:textId="77777777" w:rsidR="00C0640C" w:rsidRPr="00DD47DF" w:rsidRDefault="00C0640C" w:rsidP="00C0640C">
      <w:pPr>
        <w:pStyle w:val="Standardntext"/>
      </w:pPr>
      <w:r w:rsidRPr="00DD47DF">
        <w:t>V rámci výběru a hodnocení projektů budou posuzována především následující kritéria:</w:t>
      </w:r>
    </w:p>
    <w:p w14:paraId="646F463C" w14:textId="77777777" w:rsidR="00C0640C" w:rsidRPr="00DD47DF" w:rsidRDefault="00C0640C" w:rsidP="00FB3387">
      <w:pPr>
        <w:pStyle w:val="Standardntext"/>
        <w:numPr>
          <w:ilvl w:val="0"/>
          <w:numId w:val="43"/>
        </w:numPr>
      </w:pPr>
      <w:r w:rsidRPr="00DD47DF">
        <w:t xml:space="preserve">Kvalita a potřebnost projektu </w:t>
      </w:r>
      <w:r w:rsidR="00DC4382" w:rsidRPr="00DD47DF">
        <w:t>s ohledem na jeho přínosy k energetické bezpečnosti</w:t>
      </w:r>
      <w:r w:rsidRPr="00DD47DF">
        <w:t>.</w:t>
      </w:r>
    </w:p>
    <w:p w14:paraId="1BE654EC" w14:textId="77777777" w:rsidR="00C0640C" w:rsidRPr="00DD47DF" w:rsidRDefault="00C0640C" w:rsidP="00FB3387">
      <w:pPr>
        <w:pStyle w:val="Standardntext"/>
        <w:numPr>
          <w:ilvl w:val="0"/>
          <w:numId w:val="43"/>
        </w:numPr>
      </w:pPr>
      <w:r w:rsidRPr="00DD47DF">
        <w:t>Soulad projektu s horizontálními principy, mezi něž patří udržitelný rozvoj, rovné příležitosti a ochrana před diskriminací. Projekt, který bude v rozporu s</w:t>
      </w:r>
      <w:r w:rsidR="00233E65" w:rsidRPr="00DD47DF">
        <w:t> </w:t>
      </w:r>
      <w:r w:rsidRPr="00DD47DF">
        <w:t>tě</w:t>
      </w:r>
      <w:r w:rsidR="00233E65" w:rsidRPr="00DD47DF">
        <w:t xml:space="preserve"> </w:t>
      </w:r>
      <w:r w:rsidRPr="00DD47DF">
        <w:t xml:space="preserve">mito principy, nebude v rámci OP PIK podpořen (blíže viz oddíl 11). </w:t>
      </w:r>
    </w:p>
    <w:p w14:paraId="6E54B580" w14:textId="77777777" w:rsidR="00A92A82" w:rsidRPr="00DD47DF" w:rsidRDefault="008701FE" w:rsidP="00FB3387">
      <w:pPr>
        <w:pStyle w:val="Standardntext"/>
        <w:numPr>
          <w:ilvl w:val="0"/>
          <w:numId w:val="43"/>
        </w:numPr>
      </w:pPr>
      <w:r w:rsidRPr="00DD47DF">
        <w:t>Prioritně budou podpořeny projekty společného zájmu (PCI). V případě, že projekt PCI nezíská podporu z ESIF  bude zachována možnost podpory z CEF.</w:t>
      </w:r>
    </w:p>
    <w:p w14:paraId="42C3F28D" w14:textId="77777777" w:rsidR="00192F36" w:rsidRPr="00DD47DF" w:rsidRDefault="00192F36" w:rsidP="00FB3387">
      <w:pPr>
        <w:pStyle w:val="Standardntext"/>
        <w:numPr>
          <w:ilvl w:val="0"/>
          <w:numId w:val="43"/>
        </w:numPr>
      </w:pPr>
      <w:r w:rsidRPr="00DD47DF">
        <w:t xml:space="preserve">S ohledem na zásadu transparentnosti a s cílem zabránit potenciálnímu střetu zájmů budou žadatelé povinni v přiměřeném rozsahu zveřejnit svoji strukturu vlastnických </w:t>
      </w:r>
      <w:r w:rsidRPr="00DD47DF">
        <w:lastRenderedPageBreak/>
        <w:t>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723CD938" w14:textId="77777777" w:rsidR="004C3774" w:rsidRPr="00DD47DF" w:rsidRDefault="004C3774" w:rsidP="00DA3512">
      <w:pPr>
        <w:pStyle w:val="Nadpis5"/>
        <w:numPr>
          <w:ilvl w:val="4"/>
          <w:numId w:val="71"/>
        </w:numPr>
        <w:rPr>
          <w:rFonts w:cs="Calibri"/>
        </w:rPr>
      </w:pPr>
      <w:r w:rsidRPr="00DD47DF">
        <w:t>Plánované využití finančních nástrojů (použije-li se)</w:t>
      </w:r>
    </w:p>
    <w:p w14:paraId="23663CEB" w14:textId="77777777" w:rsidR="004C3774" w:rsidRPr="00DD47DF" w:rsidRDefault="000373F5" w:rsidP="004C3774">
      <w:pPr>
        <w:pStyle w:val="Standardntext"/>
      </w:pPr>
      <w:r w:rsidRPr="00DD47DF">
        <w:t xml:space="preserve">Řídící orgán nepředpokládá využití finančních nástrojů v této investiční prioritě. </w:t>
      </w:r>
      <w:r w:rsidR="006F58B4" w:rsidRPr="00DD47DF">
        <w:t>Detaily</w:t>
      </w:r>
      <w:r w:rsidRPr="00DD47DF">
        <w:t xml:space="preserve"> stanoví konečná verze předběžného posouzení finančních nástrojů OP PIK dle čl. 37 odst. 2 obecného nařízení, které provede ŘO OP PIK, případně jeho revize podle čl. 37 odst. 2 písm. g) obecného nařízení.</w:t>
      </w:r>
    </w:p>
    <w:p w14:paraId="243BDBB7" w14:textId="77777777" w:rsidR="004C3774" w:rsidRPr="00DD47DF" w:rsidRDefault="004C3774" w:rsidP="00DA3512">
      <w:pPr>
        <w:pStyle w:val="Nadpis5"/>
        <w:numPr>
          <w:ilvl w:val="4"/>
          <w:numId w:val="71"/>
        </w:numPr>
      </w:pPr>
      <w:r w:rsidRPr="00DD47DF">
        <w:t>Plánované využití velkých projektů (použije-li se)</w:t>
      </w:r>
    </w:p>
    <w:p w14:paraId="76EFD475" w14:textId="2E5589B5" w:rsidR="004C3774" w:rsidRPr="00DD47DF" w:rsidRDefault="00F64F0D" w:rsidP="009F1962">
      <w:pPr>
        <w:pStyle w:val="Standardntext"/>
      </w:pPr>
      <w:r w:rsidRPr="00F64F0D">
        <w:t>Velké projekty ve smyslu čl. 100 obecného nařízení jsou plánovány. OP PPIK bude realizován také prostřednictvím tzv. velkých projektů, jejichž celkové způsobilé náklady budou vyšší než 75 mil. EUR. Velké projekty budou do financování v rámci OP PIK zařazeny na základě Plánu rozvoje přenosové soustavy České republiky zpracovaného na základě § 24 odst. 10 písm. j), zákona č. 458/2000 Sb., o podmínkách podnikání a o výkonu státní správy v energetických odvětvích („energetický zákon“).</w:t>
      </w:r>
    </w:p>
    <w:p w14:paraId="69B67999" w14:textId="77777777" w:rsidR="004C3774" w:rsidRPr="00DD47DF" w:rsidRDefault="004C3774" w:rsidP="00DA3512">
      <w:pPr>
        <w:pStyle w:val="Nadpis5"/>
        <w:numPr>
          <w:ilvl w:val="4"/>
          <w:numId w:val="71"/>
        </w:numPr>
      </w:pPr>
      <w:r w:rsidRPr="00DD47DF">
        <w:t>Ukazatele výstupů podle investiční priority a případně podle kategorie regionů</w:t>
      </w:r>
    </w:p>
    <w:p w14:paraId="1863CE68" w14:textId="77777777" w:rsidR="004C3774" w:rsidRPr="00DD47DF" w:rsidRDefault="004C3774" w:rsidP="00DE2376">
      <w:pPr>
        <w:pStyle w:val="Titulek"/>
        <w:keepNext/>
        <w:keepLines/>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Společné a programově specifické ukazatele výstupů</w:t>
      </w:r>
    </w:p>
    <w:tbl>
      <w:tblPr>
        <w:tblW w:w="0" w:type="auto"/>
        <w:tblCellMar>
          <w:left w:w="57" w:type="dxa"/>
          <w:right w:w="57" w:type="dxa"/>
        </w:tblCellMar>
        <w:tblLook w:val="01E0" w:firstRow="1" w:lastRow="1" w:firstColumn="1" w:lastColumn="1" w:noHBand="0" w:noVBand="0"/>
      </w:tblPr>
      <w:tblGrid>
        <w:gridCol w:w="664"/>
        <w:gridCol w:w="2528"/>
        <w:gridCol w:w="1073"/>
        <w:gridCol w:w="665"/>
        <w:gridCol w:w="1261"/>
        <w:gridCol w:w="1125"/>
        <w:gridCol w:w="776"/>
        <w:gridCol w:w="1234"/>
      </w:tblGrid>
      <w:tr w:rsidR="004C3774" w:rsidRPr="00DD47DF" w14:paraId="62652782" w14:textId="77777777">
        <w:trPr>
          <w:trHeight w:hRule="exact" w:val="1043"/>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7F22DDE" w14:textId="77777777" w:rsidR="004C3774" w:rsidRPr="00DD47DF" w:rsidRDefault="004C3774" w:rsidP="00DE2376">
            <w:pPr>
              <w:pStyle w:val="Tabulka"/>
              <w:keepNext/>
              <w:keepLines/>
              <w:rPr>
                <w:rFonts w:cs="Calibri"/>
                <w:b/>
              </w:rPr>
            </w:pPr>
            <w:r w:rsidRPr="00DD47DF">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0D67F6E" w14:textId="77777777" w:rsidR="004C3774" w:rsidRPr="00DD47DF" w:rsidRDefault="004C3774" w:rsidP="00DE2376">
            <w:pPr>
              <w:pStyle w:val="Tabulka"/>
              <w:keepNext/>
              <w:keepLines/>
              <w:rPr>
                <w:rFonts w:cs="Calibri"/>
                <w:b/>
              </w:rPr>
            </w:pPr>
            <w:r w:rsidRPr="00DD47DF">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FE37A60" w14:textId="77777777" w:rsidR="004C3774" w:rsidRPr="00DD47DF" w:rsidRDefault="004C3774" w:rsidP="00DE2376">
            <w:pPr>
              <w:pStyle w:val="Tabulka"/>
              <w:keepNext/>
              <w:keepLines/>
              <w:rPr>
                <w:rFonts w:cs="Calibri"/>
                <w:b/>
              </w:rPr>
            </w:pPr>
            <w:r w:rsidRPr="00DD47DF">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4DA7F6E" w14:textId="77777777" w:rsidR="004C3774" w:rsidRPr="00DD47DF" w:rsidRDefault="004C3774" w:rsidP="00DE2376">
            <w:pPr>
              <w:pStyle w:val="Tabulka"/>
              <w:keepNext/>
              <w:keepLines/>
              <w:rPr>
                <w:rFonts w:cs="Calibri"/>
                <w:b/>
              </w:rPr>
            </w:pPr>
            <w:r w:rsidRPr="00DD47DF">
              <w:rPr>
                <w:rFonts w:cs="Calibri"/>
                <w:b/>
              </w:rPr>
              <w:t>Fond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D576E8A" w14:textId="77777777" w:rsidR="004C3774" w:rsidRPr="00DD47DF" w:rsidRDefault="004C3774" w:rsidP="00DE2376">
            <w:pPr>
              <w:pStyle w:val="Tabulka"/>
              <w:keepNext/>
              <w:keepLines/>
              <w:rPr>
                <w:rFonts w:cs="Calibri"/>
                <w:b/>
              </w:rPr>
            </w:pPr>
            <w:r w:rsidRPr="00DD47DF">
              <w:rPr>
                <w:rFonts w:cs="Calibri"/>
                <w:b/>
              </w:rPr>
              <w:t>Kategorie regionu</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E3853DC" w14:textId="77777777" w:rsidR="004C3774" w:rsidRPr="00DD47DF" w:rsidRDefault="004C3774" w:rsidP="00DE2376">
            <w:pPr>
              <w:pStyle w:val="Tabulka"/>
              <w:keepNext/>
              <w:keepLines/>
              <w:rPr>
                <w:rFonts w:cs="Calibri"/>
                <w:b/>
              </w:rPr>
            </w:pPr>
            <w:r w:rsidRPr="00DD47DF">
              <w:rPr>
                <w:rFonts w:cs="Calibri"/>
                <w:b/>
              </w:rPr>
              <w:t>Cílová hodnota</w:t>
            </w:r>
            <w:r w:rsidR="00956C4F" w:rsidRPr="00DD47DF">
              <w:rPr>
                <w:rFonts w:cs="Calibri"/>
                <w:b/>
              </w:rPr>
              <w:t xml:space="preserve"> </w:t>
            </w:r>
            <w:r w:rsidRPr="00DD47DF">
              <w:rPr>
                <w:rFonts w:cs="Calibri"/>
                <w:b/>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1F613D0" w14:textId="77777777" w:rsidR="004C3774" w:rsidRPr="00DD47DF" w:rsidRDefault="004C3774" w:rsidP="00DE2376">
            <w:pPr>
              <w:pStyle w:val="Tabulka"/>
              <w:keepNext/>
              <w:keepLines/>
              <w:rPr>
                <w:rFonts w:cs="Calibri"/>
                <w:b/>
              </w:rPr>
            </w:pPr>
            <w:r w:rsidRPr="00DD47DF">
              <w:rPr>
                <w:rFonts w:cs="Calibri"/>
                <w:b/>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5862D3D3" w14:textId="77777777" w:rsidR="004C3774" w:rsidRPr="00DD47DF" w:rsidRDefault="004C3774" w:rsidP="00DE2376">
            <w:pPr>
              <w:pStyle w:val="Tabulka"/>
              <w:keepNext/>
              <w:keepLines/>
              <w:rPr>
                <w:rFonts w:cs="Calibri"/>
                <w:b/>
              </w:rPr>
            </w:pPr>
            <w:r w:rsidRPr="00DD47DF">
              <w:rPr>
                <w:rFonts w:cs="Calibri"/>
                <w:b/>
              </w:rPr>
              <w:t>Četnost podávání zpráv</w:t>
            </w:r>
          </w:p>
        </w:tc>
      </w:tr>
      <w:tr w:rsidR="00502BCE" w:rsidRPr="00DD47DF" w14:paraId="7F674FBD"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5DA99F9C" w14:textId="77777777" w:rsidR="00502BCE" w:rsidRPr="00DD47DF" w:rsidRDefault="00502BCE" w:rsidP="00957169">
            <w:pPr>
              <w:pStyle w:val="Tabulka"/>
              <w:rPr>
                <w:rFonts w:cs="Calibri"/>
              </w:rPr>
            </w:pPr>
            <w:r w:rsidRPr="00DD47DF">
              <w:rPr>
                <w:rFonts w:cs="Calibri"/>
              </w:rPr>
              <w:t>33500</w:t>
            </w:r>
          </w:p>
        </w:tc>
        <w:tc>
          <w:tcPr>
            <w:tcW w:w="0" w:type="auto"/>
            <w:tcBorders>
              <w:top w:val="single" w:sz="4" w:space="0" w:color="000000"/>
              <w:left w:val="single" w:sz="4" w:space="0" w:color="000000"/>
              <w:bottom w:val="single" w:sz="4" w:space="0" w:color="000000"/>
              <w:right w:val="single" w:sz="4" w:space="0" w:color="000000"/>
            </w:tcBorders>
            <w:vAlign w:val="center"/>
          </w:tcPr>
          <w:p w14:paraId="4F5D0767" w14:textId="77777777" w:rsidR="00502BCE" w:rsidRPr="00DD47DF" w:rsidRDefault="00502BCE" w:rsidP="0073569C">
            <w:pPr>
              <w:pStyle w:val="Tabulka"/>
              <w:jc w:val="left"/>
              <w:rPr>
                <w:rFonts w:cs="Calibri"/>
              </w:rPr>
            </w:pPr>
            <w:r w:rsidRPr="00DD47DF">
              <w:rPr>
                <w:rFonts w:cs="Calibri"/>
              </w:rPr>
              <w:t>Počet rekonstruovaných</w:t>
            </w:r>
            <w:r w:rsidR="0073569C" w:rsidRPr="00DD47DF">
              <w:rPr>
                <w:rFonts w:cs="Calibri"/>
              </w:rPr>
              <w:t xml:space="preserve"> či </w:t>
            </w:r>
            <w:r w:rsidRPr="00DD47DF">
              <w:rPr>
                <w:rFonts w:cs="Calibri"/>
              </w:rPr>
              <w:t>zmodernizovaných polí v rozvodnách</w:t>
            </w:r>
          </w:p>
        </w:tc>
        <w:tc>
          <w:tcPr>
            <w:tcW w:w="0" w:type="auto"/>
            <w:tcBorders>
              <w:top w:val="single" w:sz="4" w:space="0" w:color="000000"/>
              <w:left w:val="single" w:sz="4" w:space="0" w:color="000000"/>
              <w:bottom w:val="single" w:sz="4" w:space="0" w:color="000000"/>
              <w:right w:val="single" w:sz="4" w:space="0" w:color="000000"/>
            </w:tcBorders>
            <w:vAlign w:val="center"/>
          </w:tcPr>
          <w:p w14:paraId="3EF1CB31" w14:textId="77777777" w:rsidR="00502BCE" w:rsidRPr="00DD47DF" w:rsidRDefault="00502BCE" w:rsidP="008B3478">
            <w:pPr>
              <w:pStyle w:val="Tabulka"/>
              <w:rPr>
                <w:rFonts w:cs="Calibri"/>
              </w:rPr>
            </w:pPr>
            <w:r w:rsidRPr="00DD47DF">
              <w:rPr>
                <w:rFonts w:cs="Calibri"/>
              </w:rPr>
              <w:t>po</w:t>
            </w:r>
            <w:r w:rsidR="008B3478" w:rsidRPr="00DD47DF">
              <w:rPr>
                <w:rFonts w:cs="Calibri"/>
              </w:rPr>
              <w:t>le</w:t>
            </w:r>
          </w:p>
        </w:tc>
        <w:tc>
          <w:tcPr>
            <w:tcW w:w="0" w:type="auto"/>
            <w:tcBorders>
              <w:top w:val="single" w:sz="4" w:space="0" w:color="000000"/>
              <w:left w:val="single" w:sz="4" w:space="0" w:color="000000"/>
              <w:bottom w:val="single" w:sz="4" w:space="0" w:color="000000"/>
              <w:right w:val="single" w:sz="4" w:space="0" w:color="000000"/>
            </w:tcBorders>
            <w:vAlign w:val="center"/>
          </w:tcPr>
          <w:p w14:paraId="5D0CE94C" w14:textId="77777777" w:rsidR="00502BCE" w:rsidRPr="00DD47DF" w:rsidRDefault="00502BCE" w:rsidP="00957169">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535EE1EC" w14:textId="77777777" w:rsidR="00502BCE" w:rsidRPr="00DD47DF" w:rsidRDefault="00502BCE" w:rsidP="00957169">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7A0E085A" w14:textId="2F300027" w:rsidR="00502BCE" w:rsidRPr="00DD47DF" w:rsidRDefault="00FC4065" w:rsidP="00957169">
            <w:pPr>
              <w:pStyle w:val="Tabulka"/>
              <w:rPr>
                <w:rFonts w:cs="Calibri"/>
              </w:rPr>
            </w:pPr>
            <w:r w:rsidRPr="00DD47DF">
              <w:rPr>
                <w:rFonts w:cs="Calibri"/>
              </w:rPr>
              <w:t>7</w:t>
            </w:r>
            <w:r w:rsidR="00484DBF">
              <w:rPr>
                <w:rFonts w:cs="Calibri"/>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07635AF0" w14:textId="77777777" w:rsidR="00502BCE" w:rsidRPr="00DD47DF" w:rsidRDefault="00502BCE" w:rsidP="00957169">
            <w:pPr>
              <w:pStyle w:val="Tabulka"/>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09A44E95" w14:textId="77777777" w:rsidR="00502BCE" w:rsidRPr="00DD47DF" w:rsidRDefault="0053488F" w:rsidP="00957169">
            <w:pPr>
              <w:pStyle w:val="Tabulka"/>
              <w:rPr>
                <w:rFonts w:cs="Calibri"/>
              </w:rPr>
            </w:pPr>
            <w:r>
              <w:rPr>
                <w:rFonts w:cs="Calibri"/>
              </w:rPr>
              <w:t>průběžně</w:t>
            </w:r>
          </w:p>
        </w:tc>
      </w:tr>
      <w:tr w:rsidR="00502BCE" w:rsidRPr="00DD47DF" w14:paraId="614CFA54"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396B0CE8" w14:textId="77777777" w:rsidR="00502BCE" w:rsidRPr="00DD47DF" w:rsidRDefault="008B3478" w:rsidP="00957169">
            <w:pPr>
              <w:pStyle w:val="Tabulka"/>
              <w:rPr>
                <w:rFonts w:cs="Calibri"/>
              </w:rPr>
            </w:pPr>
            <w:r w:rsidRPr="00DD47DF">
              <w:rPr>
                <w:rFonts w:cs="Calibri"/>
              </w:rPr>
              <w:t>33501</w:t>
            </w:r>
          </w:p>
        </w:tc>
        <w:tc>
          <w:tcPr>
            <w:tcW w:w="0" w:type="auto"/>
            <w:tcBorders>
              <w:top w:val="single" w:sz="4" w:space="0" w:color="000000"/>
              <w:left w:val="single" w:sz="4" w:space="0" w:color="000000"/>
              <w:bottom w:val="single" w:sz="4" w:space="0" w:color="000000"/>
              <w:right w:val="single" w:sz="4" w:space="0" w:color="000000"/>
            </w:tcBorders>
            <w:vAlign w:val="center"/>
          </w:tcPr>
          <w:p w14:paraId="5ADAF4E0" w14:textId="77777777" w:rsidR="00502BCE" w:rsidRPr="00DD47DF" w:rsidRDefault="00502BCE" w:rsidP="00957169">
            <w:pPr>
              <w:pStyle w:val="Tabulka"/>
              <w:jc w:val="left"/>
              <w:rPr>
                <w:rFonts w:cs="Calibri"/>
              </w:rPr>
            </w:pPr>
            <w:r w:rsidRPr="00DD47DF">
              <w:rPr>
                <w:rFonts w:cs="Calibri"/>
              </w:rPr>
              <w:t>Počet nově vybudovaných polí v rozvodnách</w:t>
            </w:r>
          </w:p>
        </w:tc>
        <w:tc>
          <w:tcPr>
            <w:tcW w:w="0" w:type="auto"/>
            <w:tcBorders>
              <w:top w:val="single" w:sz="4" w:space="0" w:color="000000"/>
              <w:left w:val="single" w:sz="4" w:space="0" w:color="000000"/>
              <w:bottom w:val="single" w:sz="4" w:space="0" w:color="000000"/>
              <w:right w:val="single" w:sz="4" w:space="0" w:color="000000"/>
            </w:tcBorders>
            <w:vAlign w:val="center"/>
          </w:tcPr>
          <w:p w14:paraId="1CF111FD" w14:textId="77777777" w:rsidR="00502BCE" w:rsidRPr="00DD47DF" w:rsidRDefault="008B3478" w:rsidP="00957169">
            <w:pPr>
              <w:pStyle w:val="Tabulka"/>
              <w:rPr>
                <w:rFonts w:cs="Calibri"/>
              </w:rPr>
            </w:pPr>
            <w:r w:rsidRPr="00DD47DF">
              <w:rPr>
                <w:rFonts w:cs="Calibri"/>
              </w:rPr>
              <w:t>pole</w:t>
            </w:r>
          </w:p>
        </w:tc>
        <w:tc>
          <w:tcPr>
            <w:tcW w:w="0" w:type="auto"/>
            <w:tcBorders>
              <w:top w:val="single" w:sz="4" w:space="0" w:color="000000"/>
              <w:left w:val="single" w:sz="4" w:space="0" w:color="000000"/>
              <w:bottom w:val="single" w:sz="4" w:space="0" w:color="000000"/>
              <w:right w:val="single" w:sz="4" w:space="0" w:color="000000"/>
            </w:tcBorders>
            <w:vAlign w:val="center"/>
          </w:tcPr>
          <w:p w14:paraId="674BDDDD" w14:textId="77777777" w:rsidR="00502BCE" w:rsidRPr="00DD47DF" w:rsidRDefault="00502BCE" w:rsidP="00957169">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648B6803" w14:textId="77777777" w:rsidR="00502BCE" w:rsidRPr="00DD47DF" w:rsidRDefault="00502BCE" w:rsidP="00957169">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5322172D" w14:textId="5F82A9C3" w:rsidR="00502BCE" w:rsidRPr="00DD47DF" w:rsidRDefault="00484DBF" w:rsidP="00957169">
            <w:pPr>
              <w:pStyle w:val="Tabulka"/>
              <w:rPr>
                <w:rFonts w:cs="Calibri"/>
              </w:rPr>
            </w:pPr>
            <w:r>
              <w:rPr>
                <w:rFonts w:cs="Calibri"/>
              </w:rPr>
              <w:t>39</w:t>
            </w:r>
          </w:p>
        </w:tc>
        <w:tc>
          <w:tcPr>
            <w:tcW w:w="0" w:type="auto"/>
            <w:tcBorders>
              <w:top w:val="single" w:sz="4" w:space="0" w:color="000000"/>
              <w:left w:val="single" w:sz="4" w:space="0" w:color="000000"/>
              <w:bottom w:val="single" w:sz="4" w:space="0" w:color="000000"/>
              <w:right w:val="single" w:sz="4" w:space="0" w:color="000000"/>
            </w:tcBorders>
            <w:vAlign w:val="center"/>
          </w:tcPr>
          <w:p w14:paraId="5DDFFC40" w14:textId="77777777" w:rsidR="00502BCE" w:rsidRPr="00DD47DF" w:rsidRDefault="00502BCE" w:rsidP="00957169">
            <w:pPr>
              <w:pStyle w:val="Tabulka"/>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74DD1A75" w14:textId="77777777" w:rsidR="00502BCE" w:rsidRPr="00DD47DF" w:rsidRDefault="0053488F" w:rsidP="00957169">
            <w:pPr>
              <w:pStyle w:val="Tabulka"/>
              <w:rPr>
                <w:rFonts w:cs="Calibri"/>
              </w:rPr>
            </w:pPr>
            <w:r>
              <w:rPr>
                <w:rFonts w:cs="Calibri"/>
              </w:rPr>
              <w:t>průběžně</w:t>
            </w:r>
          </w:p>
        </w:tc>
      </w:tr>
    </w:tbl>
    <w:p w14:paraId="612C6438" w14:textId="77777777" w:rsidR="00B53995" w:rsidRPr="00DD47DF" w:rsidRDefault="00B53995" w:rsidP="00DA3512">
      <w:pPr>
        <w:pStyle w:val="kapitola2A0"/>
        <w:numPr>
          <w:ilvl w:val="2"/>
          <w:numId w:val="68"/>
        </w:numPr>
      </w:pPr>
      <w:bookmarkStart w:id="84" w:name="_Toc520445295"/>
      <w:r w:rsidRPr="00DD47DF">
        <w:t>Sociální inovace, nadnárodní spolupráce a přínos k tematickým cílům 1 až 7</w:t>
      </w:r>
      <w:bookmarkEnd w:id="84"/>
    </w:p>
    <w:p w14:paraId="7F0DB446" w14:textId="77777777" w:rsidR="004126CC" w:rsidRPr="00DD47DF" w:rsidRDefault="006B6307" w:rsidP="008A5FCE">
      <w:pPr>
        <w:pStyle w:val="Standardntext"/>
        <w:sectPr w:rsidR="004126CC" w:rsidRPr="00DD47DF" w:rsidSect="004126CC">
          <w:headerReference w:type="default" r:id="rId37"/>
          <w:footerReference w:type="default" r:id="rId38"/>
          <w:pgSz w:w="11906" w:h="16838"/>
          <w:pgMar w:top="1418" w:right="1276" w:bottom="1276" w:left="1418" w:header="709" w:footer="709" w:gutter="0"/>
          <w:cols w:space="708"/>
          <w:docGrid w:linePitch="272"/>
        </w:sectPr>
      </w:pPr>
      <w:r w:rsidRPr="00DD47DF">
        <w:t>Není relevantní pro OP PIK.</w:t>
      </w:r>
    </w:p>
    <w:p w14:paraId="4BC9CBE7" w14:textId="77777777" w:rsidR="00B53995" w:rsidRPr="00DD47DF" w:rsidRDefault="00B53995" w:rsidP="00DA3512">
      <w:pPr>
        <w:pStyle w:val="kapitola2A0"/>
        <w:numPr>
          <w:ilvl w:val="2"/>
          <w:numId w:val="68"/>
        </w:numPr>
      </w:pPr>
      <w:bookmarkStart w:id="85" w:name="_Toc520445296"/>
      <w:r w:rsidRPr="00DD47DF">
        <w:lastRenderedPageBreak/>
        <w:t>Výkonnostní rámec</w:t>
      </w:r>
      <w:bookmarkEnd w:id="85"/>
    </w:p>
    <w:p w14:paraId="17A03B1B" w14:textId="77777777" w:rsidR="00F7325F" w:rsidRPr="00DD47DF" w:rsidRDefault="00F7325F" w:rsidP="007E38FF">
      <w:pPr>
        <w:pStyle w:val="Titulek"/>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6</w:t>
      </w:r>
      <w:r w:rsidR="002756E7" w:rsidRPr="00DD47DF">
        <w:rPr>
          <w:noProof/>
        </w:rPr>
        <w:fldChar w:fldCharType="end"/>
      </w:r>
      <w:r w:rsidRPr="00DD47DF">
        <w:t xml:space="preserve">: </w:t>
      </w:r>
      <w:r w:rsidR="00AC6E26" w:rsidRPr="00DD47DF">
        <w:t>Výkonnostní rámec prioritní osy</w:t>
      </w:r>
      <w:r w:rsidRPr="00DD47DF">
        <w:t xml:space="preserve"> </w:t>
      </w:r>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933"/>
        <w:gridCol w:w="1461"/>
        <w:gridCol w:w="1195"/>
        <w:gridCol w:w="1377"/>
        <w:gridCol w:w="1048"/>
        <w:gridCol w:w="767"/>
        <w:gridCol w:w="1156"/>
        <w:gridCol w:w="1126"/>
        <w:gridCol w:w="2228"/>
        <w:gridCol w:w="997"/>
        <w:gridCol w:w="2021"/>
      </w:tblGrid>
      <w:tr w:rsidR="000E6E04" w:rsidRPr="00DD47DF" w14:paraId="3AC784F6" w14:textId="77777777" w:rsidTr="000E6E04">
        <w:tc>
          <w:tcPr>
            <w:tcW w:w="0" w:type="auto"/>
            <w:shd w:val="clear" w:color="auto" w:fill="B8CCE4"/>
            <w:vAlign w:val="center"/>
          </w:tcPr>
          <w:p w14:paraId="79083AA5" w14:textId="77777777" w:rsidR="000E6E04" w:rsidRPr="00DD47DF" w:rsidRDefault="000E6E04" w:rsidP="00700B4C">
            <w:pPr>
              <w:pStyle w:val="Tabulka"/>
              <w:keepNext/>
              <w:keepLines/>
              <w:rPr>
                <w:rFonts w:cs="Calibri"/>
                <w:b/>
              </w:rPr>
            </w:pPr>
            <w:r w:rsidRPr="00DD47DF">
              <w:rPr>
                <w:rFonts w:cs="Calibri"/>
                <w:b/>
              </w:rPr>
              <w:t>Prioritní osa</w:t>
            </w:r>
          </w:p>
        </w:tc>
        <w:tc>
          <w:tcPr>
            <w:tcW w:w="1500" w:type="dxa"/>
            <w:shd w:val="clear" w:color="auto" w:fill="B8CCE4"/>
            <w:vAlign w:val="center"/>
          </w:tcPr>
          <w:p w14:paraId="4BBEC2DA" w14:textId="77777777" w:rsidR="000E6E04" w:rsidRPr="00DD47DF" w:rsidRDefault="000E6E04" w:rsidP="00700B4C">
            <w:pPr>
              <w:pStyle w:val="Tabulka"/>
              <w:keepNext/>
              <w:keepLines/>
              <w:rPr>
                <w:rFonts w:cs="Calibri"/>
                <w:b/>
              </w:rPr>
            </w:pPr>
            <w:r w:rsidRPr="00DD47DF">
              <w:rPr>
                <w:rFonts w:cs="Calibri"/>
                <w:b/>
              </w:rPr>
              <w:t>Typ ukazatele</w:t>
            </w:r>
          </w:p>
          <w:p w14:paraId="70460939" w14:textId="77777777" w:rsidR="000E6E04" w:rsidRPr="00DD47DF" w:rsidRDefault="000E6E04" w:rsidP="00700B4C">
            <w:pPr>
              <w:pStyle w:val="Tabulka"/>
              <w:keepNext/>
              <w:keepLines/>
              <w:rPr>
                <w:rFonts w:cs="Calibri"/>
                <w:b/>
              </w:rPr>
            </w:pPr>
            <w:r w:rsidRPr="00DD47DF">
              <w:rPr>
                <w:rFonts w:cs="Calibri"/>
                <w:b/>
              </w:rPr>
              <w:t>(klíčový krok provádění, finanční výstup nebo popřípadě ukazatel výsledků)</w:t>
            </w:r>
          </w:p>
        </w:tc>
        <w:tc>
          <w:tcPr>
            <w:tcW w:w="1239" w:type="dxa"/>
            <w:shd w:val="clear" w:color="auto" w:fill="B8CCE4"/>
            <w:vAlign w:val="center"/>
          </w:tcPr>
          <w:p w14:paraId="49DCBC5A" w14:textId="77777777" w:rsidR="000E6E04" w:rsidRPr="00DD47DF" w:rsidRDefault="000E6E04" w:rsidP="00700B4C">
            <w:pPr>
              <w:pStyle w:val="Tabulka"/>
              <w:keepNext/>
              <w:keepLines/>
              <w:rPr>
                <w:rFonts w:cs="Calibri"/>
                <w:b/>
              </w:rPr>
            </w:pPr>
            <w:r w:rsidRPr="00DD47DF">
              <w:rPr>
                <w:rFonts w:cs="Calibri"/>
                <w:b/>
              </w:rPr>
              <w:t>ID</w:t>
            </w:r>
          </w:p>
        </w:tc>
        <w:tc>
          <w:tcPr>
            <w:tcW w:w="0" w:type="auto"/>
            <w:shd w:val="clear" w:color="auto" w:fill="B8CCE4"/>
            <w:tcMar>
              <w:top w:w="0" w:type="dxa"/>
              <w:left w:w="108" w:type="dxa"/>
              <w:bottom w:w="0" w:type="dxa"/>
              <w:right w:w="108" w:type="dxa"/>
            </w:tcMar>
            <w:vAlign w:val="center"/>
          </w:tcPr>
          <w:p w14:paraId="3432B139" w14:textId="77777777" w:rsidR="000E6E04" w:rsidRPr="00DD47DF" w:rsidRDefault="000E6E04" w:rsidP="00700B4C">
            <w:pPr>
              <w:pStyle w:val="Tabulka"/>
              <w:keepNext/>
              <w:keepLines/>
              <w:rPr>
                <w:rFonts w:cs="Calibri"/>
                <w:b/>
              </w:rPr>
            </w:pPr>
            <w:r w:rsidRPr="00DD47DF">
              <w:rPr>
                <w:rFonts w:cs="Calibri"/>
                <w:b/>
              </w:rPr>
              <w:t>Ukazatel nebo klíčový krok provádění</w:t>
            </w:r>
          </w:p>
        </w:tc>
        <w:tc>
          <w:tcPr>
            <w:tcW w:w="0" w:type="auto"/>
            <w:shd w:val="clear" w:color="auto" w:fill="B8CCE4"/>
            <w:tcMar>
              <w:top w:w="0" w:type="dxa"/>
              <w:left w:w="108" w:type="dxa"/>
              <w:bottom w:w="0" w:type="dxa"/>
              <w:right w:w="108" w:type="dxa"/>
            </w:tcMar>
            <w:vAlign w:val="center"/>
          </w:tcPr>
          <w:p w14:paraId="17C59A19" w14:textId="77777777" w:rsidR="000E6E04" w:rsidRPr="00DD47DF" w:rsidRDefault="000E6E04" w:rsidP="00700B4C">
            <w:pPr>
              <w:pStyle w:val="Tabulka"/>
              <w:keepNext/>
              <w:keepLines/>
              <w:rPr>
                <w:rFonts w:cs="Calibri"/>
                <w:b/>
              </w:rPr>
            </w:pPr>
            <w:r w:rsidRPr="00DD47DF">
              <w:rPr>
                <w:rFonts w:cs="Calibri"/>
                <w:b/>
              </w:rPr>
              <w:t>Měrná jednotka (použije-li se)</w:t>
            </w:r>
          </w:p>
        </w:tc>
        <w:tc>
          <w:tcPr>
            <w:tcW w:w="0" w:type="auto"/>
            <w:shd w:val="clear" w:color="auto" w:fill="B8CCE4"/>
            <w:tcMar>
              <w:top w:w="0" w:type="dxa"/>
              <w:left w:w="108" w:type="dxa"/>
              <w:bottom w:w="0" w:type="dxa"/>
              <w:right w:w="108" w:type="dxa"/>
            </w:tcMar>
            <w:vAlign w:val="center"/>
          </w:tcPr>
          <w:p w14:paraId="12B56203" w14:textId="77777777" w:rsidR="000E6E04" w:rsidRPr="00DD47DF" w:rsidRDefault="000E6E04" w:rsidP="00700B4C">
            <w:pPr>
              <w:pStyle w:val="Tabulka"/>
              <w:keepNext/>
              <w:keepLines/>
              <w:rPr>
                <w:rFonts w:cs="Calibri"/>
                <w:b/>
              </w:rPr>
            </w:pPr>
            <w:r w:rsidRPr="00DD47DF">
              <w:rPr>
                <w:rFonts w:cs="Calibri"/>
                <w:b/>
              </w:rPr>
              <w:t>Fond</w:t>
            </w:r>
          </w:p>
        </w:tc>
        <w:tc>
          <w:tcPr>
            <w:tcW w:w="1157" w:type="dxa"/>
            <w:shd w:val="clear" w:color="auto" w:fill="B8CCE4"/>
            <w:tcMar>
              <w:top w:w="0" w:type="dxa"/>
              <w:left w:w="108" w:type="dxa"/>
              <w:bottom w:w="0" w:type="dxa"/>
              <w:right w:w="108" w:type="dxa"/>
            </w:tcMar>
            <w:vAlign w:val="center"/>
          </w:tcPr>
          <w:p w14:paraId="537DD804" w14:textId="77777777" w:rsidR="000E6E04" w:rsidRPr="00DD47DF" w:rsidRDefault="000E6E04" w:rsidP="00700B4C">
            <w:pPr>
              <w:pStyle w:val="Tabulka"/>
              <w:keepNext/>
              <w:keepLines/>
              <w:rPr>
                <w:rFonts w:cs="Calibri"/>
                <w:b/>
              </w:rPr>
            </w:pPr>
            <w:r w:rsidRPr="00DD47DF">
              <w:rPr>
                <w:rFonts w:cs="Calibri"/>
                <w:b/>
              </w:rPr>
              <w:t>Kategorie regionů</w:t>
            </w:r>
          </w:p>
        </w:tc>
        <w:tc>
          <w:tcPr>
            <w:tcW w:w="1159" w:type="dxa"/>
            <w:shd w:val="clear" w:color="auto" w:fill="B8CCE4"/>
            <w:vAlign w:val="center"/>
          </w:tcPr>
          <w:p w14:paraId="1DD503DF" w14:textId="77777777" w:rsidR="000E6E04" w:rsidRPr="00DD47DF" w:rsidRDefault="000E6E04" w:rsidP="00700B4C">
            <w:pPr>
              <w:pStyle w:val="Tabulka"/>
              <w:keepNext/>
              <w:keepLines/>
              <w:rPr>
                <w:rFonts w:cs="Calibri"/>
                <w:b/>
              </w:rPr>
            </w:pPr>
            <w:r w:rsidRPr="00DD47DF">
              <w:rPr>
                <w:rFonts w:cs="Calibri"/>
                <w:b/>
              </w:rPr>
              <w:t>Milník pro rok 2018</w:t>
            </w:r>
          </w:p>
        </w:tc>
        <w:tc>
          <w:tcPr>
            <w:tcW w:w="2361" w:type="dxa"/>
            <w:shd w:val="clear" w:color="auto" w:fill="B8CCE4"/>
            <w:tcMar>
              <w:top w:w="0" w:type="dxa"/>
              <w:left w:w="108" w:type="dxa"/>
              <w:bottom w:w="0" w:type="dxa"/>
              <w:right w:w="108" w:type="dxa"/>
            </w:tcMar>
            <w:vAlign w:val="center"/>
          </w:tcPr>
          <w:p w14:paraId="10024381" w14:textId="77777777" w:rsidR="000E6E04" w:rsidRPr="00DD47DF" w:rsidRDefault="000E6E04" w:rsidP="00700B4C">
            <w:pPr>
              <w:pStyle w:val="Tabulka"/>
              <w:keepNext/>
              <w:keepLines/>
              <w:rPr>
                <w:rFonts w:cs="Calibri"/>
                <w:b/>
              </w:rPr>
            </w:pPr>
            <w:r w:rsidRPr="00DD47DF">
              <w:rPr>
                <w:rFonts w:cs="Calibri"/>
                <w:b/>
              </w:rPr>
              <w:t>Konečný cíl (2023)</w:t>
            </w:r>
          </w:p>
        </w:tc>
        <w:tc>
          <w:tcPr>
            <w:tcW w:w="688" w:type="dxa"/>
            <w:shd w:val="clear" w:color="auto" w:fill="B8CCE4"/>
            <w:vAlign w:val="center"/>
          </w:tcPr>
          <w:p w14:paraId="41E455E6" w14:textId="77777777" w:rsidR="000E6E04" w:rsidRPr="00DD47DF" w:rsidRDefault="000E6E04" w:rsidP="00700B4C">
            <w:pPr>
              <w:pStyle w:val="Tabulka"/>
              <w:keepNext/>
              <w:keepLines/>
              <w:rPr>
                <w:rFonts w:cs="Calibri"/>
                <w:b/>
              </w:rPr>
            </w:pPr>
            <w:r w:rsidRPr="00DD47DF">
              <w:rPr>
                <w:rFonts w:cs="Calibri"/>
                <w:b/>
              </w:rPr>
              <w:t>Zdroj dat</w:t>
            </w:r>
          </w:p>
        </w:tc>
        <w:tc>
          <w:tcPr>
            <w:tcW w:w="2080" w:type="dxa"/>
            <w:shd w:val="clear" w:color="auto" w:fill="B8CCE4"/>
            <w:vAlign w:val="center"/>
          </w:tcPr>
          <w:p w14:paraId="6FC02E92" w14:textId="77777777" w:rsidR="000E6E04" w:rsidRPr="00DD47DF" w:rsidRDefault="000E6E04" w:rsidP="00700B4C">
            <w:pPr>
              <w:pStyle w:val="Tabulka"/>
              <w:keepNext/>
              <w:keepLines/>
              <w:rPr>
                <w:rFonts w:cs="Calibri"/>
                <w:b/>
              </w:rPr>
            </w:pPr>
            <w:r w:rsidRPr="00DD47DF">
              <w:rPr>
                <w:rFonts w:cs="Calibri"/>
                <w:b/>
              </w:rPr>
              <w:t>Popřípadě vysvětlení relevantnosti ukazatele</w:t>
            </w:r>
          </w:p>
        </w:tc>
      </w:tr>
      <w:tr w:rsidR="000E6E04" w:rsidRPr="00DD47DF" w14:paraId="0EED8ADF" w14:textId="77777777" w:rsidTr="000E6E04">
        <w:trPr>
          <w:trHeight w:val="1107"/>
        </w:trPr>
        <w:tc>
          <w:tcPr>
            <w:tcW w:w="0" w:type="auto"/>
            <w:vAlign w:val="center"/>
          </w:tcPr>
          <w:p w14:paraId="134496D4" w14:textId="77777777" w:rsidR="000E6E04" w:rsidRPr="00DD47DF" w:rsidRDefault="000E6E04" w:rsidP="00700B4C">
            <w:pPr>
              <w:pStyle w:val="Tabulka"/>
              <w:rPr>
                <w:rFonts w:cs="Calibri"/>
              </w:rPr>
            </w:pPr>
            <w:r w:rsidRPr="00DD47DF">
              <w:rPr>
                <w:rFonts w:cs="Calibri"/>
              </w:rPr>
              <w:t>PO 3</w:t>
            </w:r>
          </w:p>
        </w:tc>
        <w:tc>
          <w:tcPr>
            <w:tcW w:w="1500" w:type="dxa"/>
            <w:vAlign w:val="center"/>
          </w:tcPr>
          <w:p w14:paraId="495B051A" w14:textId="77777777" w:rsidR="000E6E04" w:rsidRPr="00DD47DF" w:rsidRDefault="000E6E04" w:rsidP="00700B4C">
            <w:pPr>
              <w:pStyle w:val="Tabulka"/>
              <w:rPr>
                <w:rFonts w:cs="Calibri"/>
              </w:rPr>
            </w:pPr>
            <w:r w:rsidRPr="00DD47DF">
              <w:rPr>
                <w:rFonts w:cs="Calibri"/>
              </w:rPr>
              <w:t>finanční</w:t>
            </w:r>
          </w:p>
        </w:tc>
        <w:tc>
          <w:tcPr>
            <w:tcW w:w="1239" w:type="dxa"/>
            <w:vAlign w:val="center"/>
          </w:tcPr>
          <w:p w14:paraId="43DF983A" w14:textId="77777777" w:rsidR="000E6E04" w:rsidRPr="00DD47DF" w:rsidRDefault="000E6E04" w:rsidP="00700B4C">
            <w:pPr>
              <w:pStyle w:val="Tabulka"/>
              <w:rPr>
                <w:rFonts w:cs="Calibri"/>
              </w:rPr>
            </w:pPr>
            <w:r w:rsidRPr="00DD47DF">
              <w:rPr>
                <w:rFonts w:cs="Calibri"/>
              </w:rPr>
              <w:t>FINMT</w:t>
            </w:r>
          </w:p>
        </w:tc>
        <w:tc>
          <w:tcPr>
            <w:tcW w:w="0" w:type="auto"/>
            <w:shd w:val="clear" w:color="auto" w:fill="auto"/>
            <w:tcMar>
              <w:top w:w="0" w:type="dxa"/>
              <w:left w:w="108" w:type="dxa"/>
              <w:bottom w:w="0" w:type="dxa"/>
              <w:right w:w="108" w:type="dxa"/>
            </w:tcMar>
            <w:vAlign w:val="center"/>
          </w:tcPr>
          <w:p w14:paraId="73DFC47B" w14:textId="77777777" w:rsidR="000E6E04" w:rsidRPr="00DD47DF" w:rsidRDefault="000E6E04" w:rsidP="00700B4C">
            <w:pPr>
              <w:pStyle w:val="Tabulka"/>
              <w:rPr>
                <w:rFonts w:cs="Calibri"/>
              </w:rPr>
            </w:pPr>
            <w:r w:rsidRPr="00DD47DF">
              <w:rPr>
                <w:rFonts w:cs="Calibri"/>
              </w:rPr>
              <w:t>Celkové způsobilé certifikované finanční prostředky</w:t>
            </w:r>
          </w:p>
        </w:tc>
        <w:tc>
          <w:tcPr>
            <w:tcW w:w="0" w:type="auto"/>
            <w:shd w:val="clear" w:color="auto" w:fill="auto"/>
            <w:tcMar>
              <w:top w:w="0" w:type="dxa"/>
              <w:left w:w="108" w:type="dxa"/>
              <w:bottom w:w="0" w:type="dxa"/>
              <w:right w:w="108" w:type="dxa"/>
            </w:tcMar>
            <w:vAlign w:val="center"/>
          </w:tcPr>
          <w:p w14:paraId="6A819399" w14:textId="77777777" w:rsidR="000E6E04" w:rsidRPr="00DD47DF" w:rsidRDefault="000E6E04" w:rsidP="00700B4C">
            <w:pPr>
              <w:pStyle w:val="Tabulka"/>
              <w:rPr>
                <w:rFonts w:cs="Calibri"/>
              </w:rPr>
            </w:pPr>
            <w:r w:rsidRPr="00DD47DF">
              <w:rPr>
                <w:rFonts w:cs="Calibri"/>
              </w:rPr>
              <w:t>EUR</w:t>
            </w:r>
          </w:p>
        </w:tc>
        <w:tc>
          <w:tcPr>
            <w:tcW w:w="0" w:type="auto"/>
            <w:shd w:val="clear" w:color="auto" w:fill="auto"/>
            <w:tcMar>
              <w:top w:w="0" w:type="dxa"/>
              <w:left w:w="108" w:type="dxa"/>
              <w:bottom w:w="0" w:type="dxa"/>
              <w:right w:w="108" w:type="dxa"/>
            </w:tcMar>
            <w:vAlign w:val="center"/>
          </w:tcPr>
          <w:p w14:paraId="08084A99" w14:textId="77777777" w:rsidR="000E6E04" w:rsidRPr="00DD47DF" w:rsidRDefault="000E6E04" w:rsidP="00700B4C">
            <w:pPr>
              <w:pStyle w:val="Tabulka"/>
              <w:rPr>
                <w:rFonts w:cs="Calibri"/>
              </w:rPr>
            </w:pPr>
            <w:r w:rsidRPr="00DD47DF">
              <w:rPr>
                <w:rFonts w:cs="Calibri"/>
              </w:rPr>
              <w:t>EFRR</w:t>
            </w:r>
          </w:p>
        </w:tc>
        <w:tc>
          <w:tcPr>
            <w:tcW w:w="1157" w:type="dxa"/>
            <w:shd w:val="clear" w:color="auto" w:fill="auto"/>
            <w:tcMar>
              <w:top w:w="0" w:type="dxa"/>
              <w:left w:w="108" w:type="dxa"/>
              <w:bottom w:w="0" w:type="dxa"/>
              <w:right w:w="108" w:type="dxa"/>
            </w:tcMar>
            <w:vAlign w:val="center"/>
          </w:tcPr>
          <w:p w14:paraId="41228648" w14:textId="77777777" w:rsidR="000E6E04" w:rsidRPr="00DD47DF" w:rsidRDefault="000E6E04" w:rsidP="00700B4C">
            <w:pPr>
              <w:pStyle w:val="Tabulka"/>
              <w:rPr>
                <w:rFonts w:cs="Calibri"/>
              </w:rPr>
            </w:pPr>
            <w:r w:rsidRPr="00DD47DF">
              <w:rPr>
                <w:rFonts w:cs="Calibri"/>
              </w:rPr>
              <w:t>Méně rozvinuté regiony</w:t>
            </w:r>
          </w:p>
        </w:tc>
        <w:tc>
          <w:tcPr>
            <w:tcW w:w="1159" w:type="dxa"/>
            <w:vAlign w:val="center"/>
          </w:tcPr>
          <w:p w14:paraId="6486428F" w14:textId="6B86FDC1" w:rsidR="000E6E04" w:rsidRPr="00DD47DF" w:rsidRDefault="000E6E04" w:rsidP="00700B4C">
            <w:pPr>
              <w:pStyle w:val="Tabulka"/>
              <w:rPr>
                <w:rFonts w:cs="Calibri"/>
              </w:rPr>
            </w:pPr>
            <w:r w:rsidRPr="00DD47DF">
              <w:rPr>
                <w:rFonts w:cs="Calibri"/>
              </w:rPr>
              <w:t>4</w:t>
            </w:r>
            <w:r w:rsidR="00CC653D" w:rsidRPr="00DD47DF">
              <w:rPr>
                <w:rFonts w:cs="Calibri"/>
              </w:rPr>
              <w:t>95</w:t>
            </w:r>
            <w:r w:rsidRPr="00DD47DF">
              <w:rPr>
                <w:rFonts w:cs="Calibri"/>
              </w:rPr>
              <w:t> 000 000</w:t>
            </w:r>
          </w:p>
        </w:tc>
        <w:tc>
          <w:tcPr>
            <w:tcW w:w="2361" w:type="dxa"/>
            <w:shd w:val="clear" w:color="auto" w:fill="auto"/>
            <w:tcMar>
              <w:top w:w="0" w:type="dxa"/>
              <w:left w:w="108" w:type="dxa"/>
              <w:bottom w:w="0" w:type="dxa"/>
              <w:right w:w="108" w:type="dxa"/>
            </w:tcMar>
            <w:vAlign w:val="center"/>
          </w:tcPr>
          <w:p w14:paraId="0DB44FF4" w14:textId="32B796A0" w:rsidR="000E6E04" w:rsidRPr="00DD47DF" w:rsidRDefault="00AC14B7" w:rsidP="00700B4C">
            <w:pPr>
              <w:pStyle w:val="Tabulka"/>
              <w:rPr>
                <w:rFonts w:cs="Calibri"/>
              </w:rPr>
            </w:pPr>
            <w:r w:rsidRPr="00700E39">
              <w:t>3 000 805 255</w:t>
            </w:r>
          </w:p>
        </w:tc>
        <w:tc>
          <w:tcPr>
            <w:tcW w:w="688" w:type="dxa"/>
            <w:vAlign w:val="center"/>
          </w:tcPr>
          <w:p w14:paraId="596BFB9C" w14:textId="77777777" w:rsidR="000E6E04" w:rsidRPr="00DD47DF" w:rsidRDefault="000E6E04" w:rsidP="00700B4C">
            <w:pPr>
              <w:pStyle w:val="Tabulka"/>
              <w:rPr>
                <w:rFonts w:cs="Calibri"/>
              </w:rPr>
            </w:pPr>
            <w:r w:rsidRPr="00DD47DF">
              <w:rPr>
                <w:rFonts w:cs="Calibri"/>
              </w:rPr>
              <w:t>ŘO</w:t>
            </w:r>
          </w:p>
        </w:tc>
        <w:tc>
          <w:tcPr>
            <w:tcW w:w="2080" w:type="dxa"/>
            <w:vAlign w:val="center"/>
          </w:tcPr>
          <w:p w14:paraId="1EA083D0" w14:textId="77777777" w:rsidR="000E6E04" w:rsidRPr="00DD47DF" w:rsidRDefault="000E6E04" w:rsidP="00700B4C">
            <w:pPr>
              <w:pStyle w:val="Tabulka"/>
              <w:rPr>
                <w:rFonts w:cs="Calibri"/>
              </w:rPr>
            </w:pPr>
            <w:r w:rsidRPr="00DD47DF">
              <w:rPr>
                <w:rFonts w:cs="Calibri"/>
              </w:rPr>
              <w:t>Objem celkových způsobilých výdajů zaslaných do účetního systému certifikačního orgánu a certifikovaných certifikačním orgánem.</w:t>
            </w:r>
          </w:p>
        </w:tc>
      </w:tr>
      <w:tr w:rsidR="000E6E04" w:rsidRPr="00DD47DF" w14:paraId="1FC038D4" w14:textId="77777777" w:rsidTr="000E6E04">
        <w:tc>
          <w:tcPr>
            <w:tcW w:w="0" w:type="auto"/>
            <w:vAlign w:val="center"/>
          </w:tcPr>
          <w:p w14:paraId="49F54B5A" w14:textId="77777777" w:rsidR="000E6E04" w:rsidRPr="00DD47DF" w:rsidRDefault="000E6E04" w:rsidP="00700B4C">
            <w:pPr>
              <w:pStyle w:val="Tabulka"/>
              <w:rPr>
                <w:rFonts w:cs="Calibri"/>
              </w:rPr>
            </w:pPr>
            <w:r w:rsidRPr="00DD47DF">
              <w:rPr>
                <w:rFonts w:cs="Calibri"/>
              </w:rPr>
              <w:t>PO 3</w:t>
            </w:r>
          </w:p>
        </w:tc>
        <w:tc>
          <w:tcPr>
            <w:tcW w:w="1500" w:type="dxa"/>
            <w:vAlign w:val="center"/>
          </w:tcPr>
          <w:p w14:paraId="62589A54" w14:textId="77777777" w:rsidR="000E6E04" w:rsidRPr="00DD47DF" w:rsidRDefault="000E6E04" w:rsidP="00700B4C">
            <w:pPr>
              <w:pStyle w:val="Tabulka"/>
              <w:rPr>
                <w:rFonts w:cs="Calibri"/>
              </w:rPr>
            </w:pPr>
            <w:r w:rsidRPr="00DD47DF">
              <w:rPr>
                <w:rFonts w:cs="Calibri"/>
              </w:rPr>
              <w:t>výstupový</w:t>
            </w:r>
          </w:p>
        </w:tc>
        <w:tc>
          <w:tcPr>
            <w:tcW w:w="1239" w:type="dxa"/>
            <w:vAlign w:val="center"/>
          </w:tcPr>
          <w:p w14:paraId="7C257229" w14:textId="47B020C2" w:rsidR="000E6E04" w:rsidRPr="00DD47DF" w:rsidRDefault="000E6E04" w:rsidP="00700B4C">
            <w:pPr>
              <w:pStyle w:val="Tabulka"/>
              <w:rPr>
                <w:rFonts w:cs="Calibri"/>
              </w:rPr>
            </w:pPr>
            <w:r w:rsidRPr="00DD47DF">
              <w:rPr>
                <w:rFonts w:cs="Calibri"/>
              </w:rPr>
              <w:t>CO 01</w:t>
            </w:r>
          </w:p>
        </w:tc>
        <w:tc>
          <w:tcPr>
            <w:tcW w:w="0" w:type="auto"/>
            <w:shd w:val="clear" w:color="auto" w:fill="auto"/>
            <w:tcMar>
              <w:top w:w="0" w:type="dxa"/>
              <w:left w:w="108" w:type="dxa"/>
              <w:bottom w:w="0" w:type="dxa"/>
              <w:right w:w="108" w:type="dxa"/>
            </w:tcMar>
            <w:vAlign w:val="center"/>
          </w:tcPr>
          <w:p w14:paraId="43999371" w14:textId="77777777" w:rsidR="000E6E04" w:rsidRPr="00DD47DF" w:rsidRDefault="000E6E04" w:rsidP="00700B4C">
            <w:pPr>
              <w:pStyle w:val="Tabulka"/>
              <w:rPr>
                <w:rFonts w:cs="Calibri"/>
              </w:rPr>
            </w:pPr>
            <w:r w:rsidRPr="00DD47DF">
              <w:rPr>
                <w:rFonts w:cs="Calibri"/>
              </w:rPr>
              <w:t>Počet podniků pobírajících podporu</w:t>
            </w:r>
          </w:p>
        </w:tc>
        <w:tc>
          <w:tcPr>
            <w:tcW w:w="0" w:type="auto"/>
            <w:shd w:val="clear" w:color="auto" w:fill="auto"/>
            <w:tcMar>
              <w:top w:w="0" w:type="dxa"/>
              <w:left w:w="108" w:type="dxa"/>
              <w:bottom w:w="0" w:type="dxa"/>
              <w:right w:w="108" w:type="dxa"/>
            </w:tcMar>
            <w:vAlign w:val="center"/>
          </w:tcPr>
          <w:p w14:paraId="75BA3C53" w14:textId="77777777" w:rsidR="000E6E04" w:rsidRPr="00DD47DF" w:rsidRDefault="000E6E04" w:rsidP="00700B4C">
            <w:pPr>
              <w:pStyle w:val="Tabulka"/>
              <w:rPr>
                <w:rFonts w:cs="Calibri"/>
              </w:rPr>
            </w:pPr>
            <w:r w:rsidRPr="00DD47DF">
              <w:rPr>
                <w:rFonts w:cs="Calibri"/>
              </w:rPr>
              <w:t>Podniky</w:t>
            </w:r>
          </w:p>
        </w:tc>
        <w:tc>
          <w:tcPr>
            <w:tcW w:w="0" w:type="auto"/>
            <w:shd w:val="clear" w:color="auto" w:fill="auto"/>
            <w:tcMar>
              <w:top w:w="0" w:type="dxa"/>
              <w:left w:w="108" w:type="dxa"/>
              <w:bottom w:w="0" w:type="dxa"/>
              <w:right w:w="108" w:type="dxa"/>
            </w:tcMar>
            <w:vAlign w:val="center"/>
          </w:tcPr>
          <w:p w14:paraId="04A93A09" w14:textId="77777777" w:rsidR="000E6E04" w:rsidRPr="00DD47DF" w:rsidRDefault="000E6E04" w:rsidP="00700B4C">
            <w:pPr>
              <w:pStyle w:val="Tabulka"/>
              <w:rPr>
                <w:rFonts w:cs="Calibri"/>
              </w:rPr>
            </w:pPr>
            <w:r w:rsidRPr="00DD47DF">
              <w:rPr>
                <w:rFonts w:cs="Calibri"/>
              </w:rPr>
              <w:t>EFRR</w:t>
            </w:r>
          </w:p>
        </w:tc>
        <w:tc>
          <w:tcPr>
            <w:tcW w:w="1157" w:type="dxa"/>
            <w:shd w:val="clear" w:color="auto" w:fill="auto"/>
            <w:tcMar>
              <w:top w:w="0" w:type="dxa"/>
              <w:left w:w="108" w:type="dxa"/>
              <w:bottom w:w="0" w:type="dxa"/>
              <w:right w:w="108" w:type="dxa"/>
            </w:tcMar>
            <w:vAlign w:val="center"/>
          </w:tcPr>
          <w:p w14:paraId="6B2424BD" w14:textId="77777777" w:rsidR="000E6E04" w:rsidRPr="00DD47DF" w:rsidRDefault="000E6E04" w:rsidP="00700B4C">
            <w:pPr>
              <w:pStyle w:val="Tabulka"/>
              <w:rPr>
                <w:rFonts w:cs="Calibri"/>
              </w:rPr>
            </w:pPr>
            <w:r w:rsidRPr="00DD47DF">
              <w:rPr>
                <w:rFonts w:cs="Calibri"/>
              </w:rPr>
              <w:t>Méně rozvinuté regiony</w:t>
            </w:r>
          </w:p>
        </w:tc>
        <w:tc>
          <w:tcPr>
            <w:tcW w:w="1159" w:type="dxa"/>
            <w:vAlign w:val="center"/>
          </w:tcPr>
          <w:p w14:paraId="64A24CB6" w14:textId="77777777" w:rsidR="000E6E04" w:rsidRPr="00DD47DF" w:rsidRDefault="000E6E04" w:rsidP="00700B4C">
            <w:pPr>
              <w:pStyle w:val="Tabulka"/>
              <w:rPr>
                <w:rFonts w:cs="Calibri"/>
              </w:rPr>
            </w:pPr>
            <w:r w:rsidRPr="00DD47DF">
              <w:rPr>
                <w:rFonts w:cs="Calibri"/>
              </w:rPr>
              <w:t>270</w:t>
            </w:r>
          </w:p>
        </w:tc>
        <w:tc>
          <w:tcPr>
            <w:tcW w:w="2361" w:type="dxa"/>
            <w:shd w:val="clear" w:color="auto" w:fill="auto"/>
            <w:tcMar>
              <w:top w:w="0" w:type="dxa"/>
              <w:left w:w="108" w:type="dxa"/>
              <w:bottom w:w="0" w:type="dxa"/>
              <w:right w:w="108" w:type="dxa"/>
            </w:tcMar>
            <w:vAlign w:val="center"/>
          </w:tcPr>
          <w:p w14:paraId="4165CB3E" w14:textId="2865187B" w:rsidR="000E6E04" w:rsidRPr="00DD47DF" w:rsidRDefault="000D7209" w:rsidP="00D26AA4">
            <w:pPr>
              <w:pStyle w:val="Tabulka"/>
              <w:rPr>
                <w:rFonts w:cs="Calibri"/>
              </w:rPr>
            </w:pPr>
            <w:r>
              <w:rPr>
                <w:rFonts w:cs="Calibri"/>
              </w:rPr>
              <w:t>3 785</w:t>
            </w:r>
          </w:p>
        </w:tc>
        <w:tc>
          <w:tcPr>
            <w:tcW w:w="688" w:type="dxa"/>
            <w:vAlign w:val="center"/>
          </w:tcPr>
          <w:p w14:paraId="7932DD4A" w14:textId="77777777" w:rsidR="000E6E04" w:rsidRPr="00DD47DF" w:rsidRDefault="00FC7054" w:rsidP="00700B4C">
            <w:pPr>
              <w:pStyle w:val="Tabulka"/>
              <w:rPr>
                <w:rFonts w:cs="Calibri"/>
              </w:rPr>
            </w:pPr>
            <w:r>
              <w:rPr>
                <w:rFonts w:cs="Calibri"/>
              </w:rPr>
              <w:t>MS2014+</w:t>
            </w:r>
          </w:p>
        </w:tc>
        <w:tc>
          <w:tcPr>
            <w:tcW w:w="2080" w:type="dxa"/>
            <w:vAlign w:val="center"/>
          </w:tcPr>
          <w:p w14:paraId="2F6062EF" w14:textId="5C15088C" w:rsidR="000E6E04" w:rsidRPr="00DD47DF" w:rsidRDefault="000E6E04" w:rsidP="00700B4C">
            <w:pPr>
              <w:pStyle w:val="Tabulka"/>
              <w:rPr>
                <w:rFonts w:cs="Calibri"/>
              </w:rPr>
            </w:pPr>
            <w:r w:rsidRPr="00DD47DF">
              <w:rPr>
                <w:rFonts w:cs="Calibri"/>
              </w:rPr>
              <w:t xml:space="preserve">Indikátor sleduje počet podpořených firem a pokrývá finančně nejobjemnější část intervence v rámci prioritní osy 3. </w:t>
            </w:r>
            <w:r w:rsidR="00FE762D" w:rsidRPr="00FE762D">
              <w:rPr>
                <w:rFonts w:cs="Calibri"/>
              </w:rPr>
              <w:t xml:space="preserve">Vykazování skutečně dosažených hodnot se provádí v souladu s prováděcím </w:t>
            </w:r>
            <w:r w:rsidR="00FE762D" w:rsidRPr="00FE762D">
              <w:rPr>
                <w:rFonts w:cs="Calibri"/>
              </w:rPr>
              <w:lastRenderedPageBreak/>
              <w:t>nařízením (EU) č. 215/2014, v platném znění.</w:t>
            </w:r>
          </w:p>
        </w:tc>
      </w:tr>
    </w:tbl>
    <w:p w14:paraId="2C50D3DD" w14:textId="77777777" w:rsidR="000E6E04" w:rsidRPr="00DD47DF" w:rsidRDefault="000E6E04" w:rsidP="000E6E04">
      <w:pPr>
        <w:pStyle w:val="Titulek"/>
      </w:pPr>
      <w:r w:rsidRPr="00DD47DF">
        <w:lastRenderedPageBreak/>
        <w:t>Další kvalitativní informace o stanovení výkonnostního rámce</w:t>
      </w:r>
    </w:p>
    <w:p w14:paraId="33DC9DA0" w14:textId="77777777" w:rsidR="000E6E04" w:rsidRPr="00DD47DF" w:rsidRDefault="000E6E04" w:rsidP="000E6E04">
      <w:pPr>
        <w:pStyle w:val="Standardntext"/>
      </w:pPr>
      <w:r w:rsidRPr="00DD47DF">
        <w:t>Pro OP PIK byly stanoveny hodnoty milníků pro rok 2018 a 2023 (finanční ukazatele a „certifikované finanční prostředky“, ukazatele výstupů).</w:t>
      </w:r>
    </w:p>
    <w:p w14:paraId="3197E2E2" w14:textId="77777777" w:rsidR="000E6E04" w:rsidRPr="00DD47DF" w:rsidRDefault="000E6E04" w:rsidP="000E6E04">
      <w:pPr>
        <w:pStyle w:val="Standardntext"/>
      </w:pPr>
      <w:r w:rsidRPr="00DD47DF">
        <w:t xml:space="preserve">Při kvantifikaci milníků </w:t>
      </w:r>
      <w:r w:rsidRPr="00DD47DF">
        <w:rPr>
          <w:b/>
          <w:bCs/>
        </w:rPr>
        <w:t>pro rok 2018</w:t>
      </w:r>
      <w:r w:rsidRPr="00DD47DF">
        <w:t xml:space="preserve"> byly zohledněny dále uvedené klíčové předpoklady:</w:t>
      </w:r>
    </w:p>
    <w:p w14:paraId="2AE7D730" w14:textId="77777777" w:rsidR="000E6E04" w:rsidRPr="00DD47DF" w:rsidRDefault="000E6E04" w:rsidP="00DA3512">
      <w:pPr>
        <w:pStyle w:val="Standardntext"/>
        <w:numPr>
          <w:ilvl w:val="0"/>
          <w:numId w:val="86"/>
        </w:numPr>
        <w:rPr>
          <w:strike/>
        </w:rPr>
      </w:pPr>
      <w:r w:rsidRPr="00DD47DF">
        <w:t>Zohledněn je aktuální finanční plán OP PIK;</w:t>
      </w:r>
    </w:p>
    <w:p w14:paraId="1B37132C" w14:textId="77777777" w:rsidR="000E6E04" w:rsidRPr="00DD47DF" w:rsidRDefault="000E6E04" w:rsidP="00DA3512">
      <w:pPr>
        <w:pStyle w:val="Standardntext"/>
        <w:numPr>
          <w:ilvl w:val="0"/>
          <w:numId w:val="86"/>
        </w:numPr>
      </w:pPr>
      <w:r w:rsidRPr="00DD47DF">
        <w:t>Při stanovení milníku bylo v maximální možné míře vycházeno ze zkušeností s OPPI;</w:t>
      </w:r>
    </w:p>
    <w:p w14:paraId="2AE74472" w14:textId="77777777" w:rsidR="000E6E04" w:rsidRPr="00DD47DF" w:rsidRDefault="000E6E04" w:rsidP="00DA3512">
      <w:pPr>
        <w:pStyle w:val="Standardntext"/>
        <w:numPr>
          <w:ilvl w:val="0"/>
          <w:numId w:val="86"/>
        </w:numPr>
      </w:pPr>
      <w:r w:rsidRPr="00DD47DF">
        <w:t>První výzvy budou vyhlášeny pravděpodobně nejdříve až ve 2. čtvrtletí 2015, není ovšem zřejmé (ve vazbě na připravovaný indikativní plán výzev), zda budou v tomto období vyhlášeny výzvy již ve všech prioritních osách a specifických cílech. Od nich se bude odvíjet příjem žádostí, hodnocení projektů a následně zahájení realizace prvních podpořených projektů, tj. pravděpodobně až ve 3. čtvrtletí 2015;</w:t>
      </w:r>
    </w:p>
    <w:p w14:paraId="05398B81" w14:textId="77777777" w:rsidR="000E6E04" w:rsidRPr="00DD47DF" w:rsidRDefault="000E6E04" w:rsidP="00DA3512">
      <w:pPr>
        <w:pStyle w:val="Standardntext"/>
        <w:numPr>
          <w:ilvl w:val="0"/>
          <w:numId w:val="86"/>
        </w:numPr>
      </w:pPr>
      <w:r w:rsidRPr="00DD47DF">
        <w:t xml:space="preserve">Při možném předpokladu, že projekty budou dvouleté, to znamená, že první z nich ukončí realizaci nejdříve koncem roku 2017 a finanční prostředky tak budou předkládány k certifikaci až v průběhu roku 2018 (u delších projektů však až počátkem roku 2019); </w:t>
      </w:r>
    </w:p>
    <w:p w14:paraId="0BA98F49" w14:textId="77777777" w:rsidR="000E6E04" w:rsidRPr="00DD47DF" w:rsidRDefault="000E6E04" w:rsidP="00DA3512">
      <w:pPr>
        <w:pStyle w:val="Standardntext"/>
        <w:numPr>
          <w:ilvl w:val="0"/>
          <w:numId w:val="86"/>
        </w:numPr>
      </w:pPr>
      <w:r w:rsidRPr="00DD47DF">
        <w:t>Ukazatelé výstupů stanovené ve výkonnostním rámci odpovídají více než 50 % finančního přídělu na prioritu (v souladu se čl. 5 Prováděcího nařízení komise (EU) č. 215/2014);</w:t>
      </w:r>
    </w:p>
    <w:p w14:paraId="02EA9893" w14:textId="77777777" w:rsidR="000E6E04" w:rsidRPr="00DD47DF" w:rsidRDefault="000E6E04" w:rsidP="00DA3512">
      <w:pPr>
        <w:pStyle w:val="Standardntext"/>
        <w:numPr>
          <w:ilvl w:val="0"/>
          <w:numId w:val="86"/>
        </w:numPr>
      </w:pPr>
      <w:r w:rsidRPr="00DD47DF">
        <w:t>Není započítána výkonnostní rezerva stanovená ŘO OP PIK na roky 2014 a 2015;</w:t>
      </w:r>
    </w:p>
    <w:p w14:paraId="7CEBE397" w14:textId="77777777" w:rsidR="000E6E04" w:rsidRPr="00DD47DF" w:rsidRDefault="000E6E04" w:rsidP="00DA3512">
      <w:pPr>
        <w:pStyle w:val="Standardntext"/>
        <w:numPr>
          <w:ilvl w:val="0"/>
          <w:numId w:val="86"/>
        </w:numPr>
      </w:pPr>
      <w:r w:rsidRPr="00DD47DF">
        <w:t>Pravidlo n+3, na základě kterého je nutné vzít v úvahu, že na konci roku 2018 by měla být vyčerpána alokace let 2014, 2015;</w:t>
      </w:r>
    </w:p>
    <w:p w14:paraId="00870DCD" w14:textId="77777777" w:rsidR="000E6E04" w:rsidRPr="00DD47DF" w:rsidRDefault="000E6E04" w:rsidP="00DA3512">
      <w:pPr>
        <w:pStyle w:val="Standardntext"/>
        <w:numPr>
          <w:ilvl w:val="0"/>
          <w:numId w:val="86"/>
        </w:numPr>
        <w:rPr>
          <w:strike/>
        </w:rPr>
      </w:pPr>
      <w:r w:rsidRPr="00DD47DF">
        <w:t>Nové typy aktivit v některých specifických cílech této prioritní osy OP PIK (aktivity v SC 3.3, SC 3.4, SC 3.6);</w:t>
      </w:r>
    </w:p>
    <w:p w14:paraId="582911EA" w14:textId="77777777" w:rsidR="000E6E04" w:rsidRPr="00DD47DF" w:rsidRDefault="000E6E04" w:rsidP="00DA3512">
      <w:pPr>
        <w:pStyle w:val="Standardntext"/>
        <w:numPr>
          <w:ilvl w:val="0"/>
          <w:numId w:val="87"/>
        </w:numPr>
      </w:pPr>
      <w:r w:rsidRPr="00DD47DF">
        <w:t>Využití finančních nástrojů v SC 3.2 a SC 3.5, rizikovým je v tomto případě např. časový rámec pro přípravu projektu, lze tak předpokládat pomalejší rozjezd aktivit;</w:t>
      </w:r>
    </w:p>
    <w:p w14:paraId="3AA130CD" w14:textId="77777777" w:rsidR="000E6E04" w:rsidRPr="00DD47DF" w:rsidRDefault="000E6E04" w:rsidP="00DA3512">
      <w:pPr>
        <w:pStyle w:val="Standardntext"/>
        <w:numPr>
          <w:ilvl w:val="0"/>
          <w:numId w:val="87"/>
        </w:numPr>
      </w:pPr>
      <w:r w:rsidRPr="00DD47DF">
        <w:t>Výše alokace na jednotlivé aktivity SC včetně předpokládané výše veřejné podpory;</w:t>
      </w:r>
    </w:p>
    <w:p w14:paraId="54D9F1E7" w14:textId="77777777" w:rsidR="000E6E04" w:rsidRPr="00DD47DF" w:rsidRDefault="000E6E04" w:rsidP="00DA3512">
      <w:pPr>
        <w:pStyle w:val="Standardntext"/>
        <w:numPr>
          <w:ilvl w:val="0"/>
          <w:numId w:val="87"/>
        </w:numPr>
      </w:pPr>
      <w:r w:rsidRPr="00DD47DF">
        <w:t>Předpokládaná délka projektů v rámci jednotlivých aktivit.</w:t>
      </w:r>
    </w:p>
    <w:p w14:paraId="4822050E" w14:textId="77777777" w:rsidR="000E6E04" w:rsidRPr="00DD47DF" w:rsidRDefault="000E6E04" w:rsidP="00997228">
      <w:pPr>
        <w:pStyle w:val="Standardntext"/>
        <w:ind w:left="720"/>
      </w:pPr>
    </w:p>
    <w:p w14:paraId="5C28D7A1" w14:textId="77777777" w:rsidR="000E6E04" w:rsidRPr="00DD47DF" w:rsidRDefault="000E6E04" w:rsidP="00DA3512">
      <w:pPr>
        <w:pStyle w:val="Standardntext"/>
        <w:numPr>
          <w:ilvl w:val="0"/>
          <w:numId w:val="87"/>
        </w:numPr>
      </w:pPr>
      <w:r w:rsidRPr="00DD47DF">
        <w:rPr>
          <w:i/>
        </w:rPr>
        <w:t>Milník</w:t>
      </w:r>
      <w:r w:rsidRPr="00DD47DF">
        <w:rPr>
          <w:i/>
          <w:vertAlign w:val="superscript"/>
        </w:rPr>
        <w:t>2018 PO3</w:t>
      </w:r>
      <w:r w:rsidRPr="00DD47DF">
        <w:rPr>
          <w:i/>
        </w:rPr>
        <w:t>= (celkové způsobilé výdaje na PO 3 v roce 2014 + celkové způsobilé výdaje na PO 3 v roce 2015) – (10% finančních prostředků ERDF na PO 3 + podíl výkonnostní rezervy za roky 2014 a 2015 na PO 3)</w:t>
      </w:r>
    </w:p>
    <w:p w14:paraId="25E52AC2" w14:textId="77777777" w:rsidR="000E6E04" w:rsidRPr="00DD47DF" w:rsidRDefault="000E6E04" w:rsidP="000E6E04">
      <w:pPr>
        <w:pStyle w:val="Standardntext"/>
      </w:pPr>
      <w:r w:rsidRPr="00DD47DF">
        <w:t xml:space="preserve">Při kvantifikaci milníků </w:t>
      </w:r>
      <w:r w:rsidRPr="00DD47DF">
        <w:rPr>
          <w:b/>
          <w:bCs/>
        </w:rPr>
        <w:t>pro rok 2023</w:t>
      </w:r>
      <w:r w:rsidRPr="00DD47DF">
        <w:t xml:space="preserve"> byly zohledněny ještě dále uvedené klíčové předpoklady:</w:t>
      </w:r>
    </w:p>
    <w:p w14:paraId="63A62433" w14:textId="77777777" w:rsidR="000E6E04" w:rsidRPr="00DD47DF" w:rsidRDefault="000E6E04" w:rsidP="00DA3512">
      <w:pPr>
        <w:pStyle w:val="Standardntext"/>
        <w:numPr>
          <w:ilvl w:val="0"/>
          <w:numId w:val="88"/>
        </w:numPr>
      </w:pPr>
      <w:r w:rsidRPr="00DD47DF">
        <w:t>Klíčovým předpokladem je naplnění stanovených cílů programu v jednotlivých prioritních osách (finanční i věcné plnění);</w:t>
      </w:r>
    </w:p>
    <w:p w14:paraId="77C79C8E" w14:textId="77777777" w:rsidR="000E6E04" w:rsidRPr="00DD47DF" w:rsidRDefault="000E6E04" w:rsidP="00DA3512">
      <w:pPr>
        <w:pStyle w:val="Standardntext"/>
        <w:numPr>
          <w:ilvl w:val="0"/>
          <w:numId w:val="88"/>
        </w:numPr>
      </w:pPr>
      <w:r w:rsidRPr="00DD47DF">
        <w:t xml:space="preserve">Započítána je již i výkonnostní rezerva. </w:t>
      </w:r>
    </w:p>
    <w:p w14:paraId="3FCDE03B" w14:textId="77777777" w:rsidR="000E6E04" w:rsidRPr="00DD47DF" w:rsidRDefault="000E6E04" w:rsidP="000E6E04">
      <w:r w:rsidRPr="00DD47DF">
        <w:rPr>
          <w:sz w:val="24"/>
          <w:szCs w:val="24"/>
        </w:rPr>
        <w:t>Vzhledem k výše uvedenému lze proto reálně očekávat stále ještě relativně nízkou míru plnění jednotlivých milníků, a to i ke konci roku 2018. Právě z tohoto důvodu byl při kvantifikaci milníků zvolen ke konci roku 2018 spíše konzervativnější způsob výpočtu hodnoty dotčeného milníku. Naplňování milníků vzhledem k předpokládanému časovému skluzu v rozběhu implementace nového OP PIK, bude komplikovanější (zejména právě v první fázi), a bude si vyžadovat i speciální přístupy, jako např. urychlování prvních výzev a jejich naplňování, větší vysvětlovací seminární či jiné aktivity ze strany Řídícího orgánu vůči potenciálním příjemcům, atd. Téma výkonnostní rezervy a milníků je dále rozpracováno v Nepovinné příloze č. 3.</w:t>
      </w:r>
    </w:p>
    <w:p w14:paraId="58201FF5" w14:textId="77777777" w:rsidR="000E6E04" w:rsidRPr="00DD47DF" w:rsidRDefault="000E6E04" w:rsidP="000E6E04"/>
    <w:p w14:paraId="6376E2C0" w14:textId="77777777" w:rsidR="004126CC" w:rsidRPr="00DD47DF" w:rsidRDefault="004126CC" w:rsidP="000E6E04">
      <w:pPr>
        <w:pStyle w:val="kapitola2A0"/>
        <w:numPr>
          <w:ilvl w:val="0"/>
          <w:numId w:val="0"/>
        </w:numPr>
        <w:ind w:left="720" w:hanging="720"/>
        <w:sectPr w:rsidR="004126CC" w:rsidRPr="00DD47DF" w:rsidSect="004126CC">
          <w:headerReference w:type="default" r:id="rId39"/>
          <w:footerReference w:type="default" r:id="rId40"/>
          <w:pgSz w:w="16838" w:h="11906" w:orient="landscape"/>
          <w:pgMar w:top="1418" w:right="1418" w:bottom="1276" w:left="1276" w:header="709" w:footer="709" w:gutter="0"/>
          <w:cols w:space="708"/>
          <w:docGrid w:linePitch="272"/>
        </w:sectPr>
      </w:pPr>
      <w:bookmarkStart w:id="86" w:name="_Toc364327634"/>
    </w:p>
    <w:p w14:paraId="62E5DD67" w14:textId="77777777" w:rsidR="00B53995" w:rsidRPr="00DD47DF" w:rsidRDefault="00B53995" w:rsidP="00DA3512">
      <w:pPr>
        <w:pStyle w:val="kapitola2A0"/>
        <w:numPr>
          <w:ilvl w:val="2"/>
          <w:numId w:val="68"/>
        </w:numPr>
      </w:pPr>
      <w:bookmarkStart w:id="87" w:name="_Toc520445297"/>
      <w:r w:rsidRPr="00DD47DF">
        <w:lastRenderedPageBreak/>
        <w:t>Kategorie zásahů</w:t>
      </w:r>
      <w:bookmarkEnd w:id="87"/>
    </w:p>
    <w:bookmarkEnd w:id="86"/>
    <w:p w14:paraId="276BA9B6" w14:textId="59B252E9" w:rsidR="00F7325F" w:rsidRPr="00DD47DF" w:rsidRDefault="00F7325F" w:rsidP="007E38FF">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7</w:t>
      </w:r>
      <w:r w:rsidR="002756E7" w:rsidRPr="00DD47DF">
        <w:rPr>
          <w:noProof/>
        </w:rPr>
        <w:fldChar w:fldCharType="end"/>
      </w:r>
      <w:r w:rsidRPr="00DD47DF">
        <w:t xml:space="preserve"> - </w:t>
      </w:r>
      <w:r w:rsidR="00EF7F2D">
        <w:t>10</w:t>
      </w:r>
      <w:r w:rsidR="00F2469F" w:rsidRPr="00DD47DF">
        <w:t>: Kategorie zásahů</w:t>
      </w:r>
      <w:r w:rsidR="006C2096" w:rsidRPr="00DD47DF">
        <w:rPr>
          <w:rStyle w:val="Znakapoznpodarou"/>
        </w:rPr>
        <w:footnoteReference w:id="70"/>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4"/>
        <w:gridCol w:w="1707"/>
        <w:gridCol w:w="561"/>
        <w:gridCol w:w="1771"/>
        <w:gridCol w:w="639"/>
        <w:gridCol w:w="1692"/>
        <w:gridCol w:w="576"/>
        <w:gridCol w:w="1756"/>
      </w:tblGrid>
      <w:tr w:rsidR="000B2315" w:rsidRPr="00DD47DF" w14:paraId="523EB65B" w14:textId="77777777">
        <w:tc>
          <w:tcPr>
            <w:tcW w:w="9326" w:type="dxa"/>
            <w:gridSpan w:val="8"/>
            <w:shd w:val="clear" w:color="auto" w:fill="B8CCE4"/>
            <w:vAlign w:val="center"/>
          </w:tcPr>
          <w:p w14:paraId="685A772B" w14:textId="77777777" w:rsidR="009F18F5" w:rsidRPr="00DD47DF" w:rsidRDefault="009F18F5" w:rsidP="009F18F5">
            <w:pPr>
              <w:pStyle w:val="Tabulka"/>
              <w:keepNext/>
              <w:keepLines/>
              <w:rPr>
                <w:rFonts w:cs="Calibri"/>
                <w:b/>
              </w:rPr>
            </w:pPr>
            <w:r w:rsidRPr="00DD47DF">
              <w:rPr>
                <w:rFonts w:cs="Calibri"/>
                <w:b/>
              </w:rPr>
              <w:t xml:space="preserve">Fond: </w:t>
            </w:r>
            <w:r w:rsidRPr="00DD47DF">
              <w:rPr>
                <w:rFonts w:cs="Calibri"/>
              </w:rPr>
              <w:t>EFRR</w:t>
            </w:r>
          </w:p>
          <w:p w14:paraId="719A9478" w14:textId="77777777" w:rsidR="000B2315" w:rsidRPr="00DD47DF" w:rsidRDefault="009F18F5" w:rsidP="009F18F5">
            <w:pPr>
              <w:pStyle w:val="Tabulka"/>
              <w:keepNext/>
              <w:keepLines/>
              <w:rPr>
                <w:rFonts w:cs="Calibri"/>
                <w:i/>
              </w:rPr>
            </w:pPr>
            <w:r w:rsidRPr="00DD47DF">
              <w:rPr>
                <w:rFonts w:cs="Calibri"/>
                <w:b/>
              </w:rPr>
              <w:t xml:space="preserve">Kategorie regionů: </w:t>
            </w:r>
            <w:r w:rsidRPr="00DD47DF">
              <w:rPr>
                <w:rFonts w:cs="Calibri"/>
              </w:rPr>
              <w:t>Méně rozvinuté regiony</w:t>
            </w:r>
          </w:p>
        </w:tc>
      </w:tr>
      <w:tr w:rsidR="000B2315" w:rsidRPr="00DD47DF" w14:paraId="26084F54" w14:textId="77777777">
        <w:tc>
          <w:tcPr>
            <w:tcW w:w="2331" w:type="dxa"/>
            <w:gridSpan w:val="2"/>
            <w:shd w:val="clear" w:color="auto" w:fill="B8CCE4"/>
            <w:vAlign w:val="center"/>
          </w:tcPr>
          <w:p w14:paraId="4AE69727" w14:textId="77777777" w:rsidR="000B2315" w:rsidRPr="00DD47DF" w:rsidRDefault="000B2315" w:rsidP="00450475">
            <w:pPr>
              <w:pStyle w:val="Tabulka"/>
              <w:keepNext/>
              <w:keepLines/>
              <w:rPr>
                <w:rFonts w:cs="Calibri"/>
              </w:rPr>
            </w:pPr>
            <w:r w:rsidRPr="00DD47DF">
              <w:rPr>
                <w:rFonts w:cs="Calibri"/>
              </w:rPr>
              <w:t>Tabulka č. 7:</w:t>
            </w:r>
          </w:p>
          <w:p w14:paraId="0B4181B2" w14:textId="77777777" w:rsidR="000B2315" w:rsidRPr="00DD47DF" w:rsidRDefault="000B2315" w:rsidP="00450475">
            <w:pPr>
              <w:pStyle w:val="Tabulka"/>
              <w:keepNext/>
              <w:keepLines/>
              <w:rPr>
                <w:rFonts w:cs="Calibri"/>
              </w:rPr>
            </w:pPr>
            <w:r w:rsidRPr="00DD47DF">
              <w:rPr>
                <w:rFonts w:cs="Calibri"/>
              </w:rPr>
              <w:t>Dimenze 1</w:t>
            </w:r>
          </w:p>
          <w:p w14:paraId="6B194AED" w14:textId="77777777" w:rsidR="000B2315" w:rsidRPr="00DD47DF" w:rsidRDefault="000B2315" w:rsidP="00450475">
            <w:pPr>
              <w:pStyle w:val="Tabulka"/>
              <w:keepNext/>
              <w:keepLines/>
              <w:rPr>
                <w:rFonts w:cs="Calibri"/>
              </w:rPr>
            </w:pPr>
            <w:r w:rsidRPr="00DD47DF">
              <w:rPr>
                <w:rFonts w:cs="Calibri"/>
              </w:rPr>
              <w:t>Oblast zásahu</w:t>
            </w:r>
          </w:p>
        </w:tc>
        <w:tc>
          <w:tcPr>
            <w:tcW w:w="2332" w:type="dxa"/>
            <w:gridSpan w:val="2"/>
            <w:shd w:val="clear" w:color="auto" w:fill="B8CCE4"/>
            <w:vAlign w:val="center"/>
          </w:tcPr>
          <w:p w14:paraId="445C47F4" w14:textId="77777777" w:rsidR="000B2315" w:rsidRPr="00DD47DF" w:rsidRDefault="000B2315" w:rsidP="00450475">
            <w:pPr>
              <w:pStyle w:val="Tabulka"/>
              <w:keepNext/>
              <w:keepLines/>
              <w:rPr>
                <w:rFonts w:cs="Calibri"/>
              </w:rPr>
            </w:pPr>
            <w:r w:rsidRPr="00DD47DF">
              <w:rPr>
                <w:rFonts w:cs="Calibri"/>
              </w:rPr>
              <w:t>Tabulka č. 8:</w:t>
            </w:r>
          </w:p>
          <w:p w14:paraId="23413E2C" w14:textId="77777777" w:rsidR="000B2315" w:rsidRPr="00DD47DF" w:rsidRDefault="000B2315" w:rsidP="00450475">
            <w:pPr>
              <w:pStyle w:val="Tabulka"/>
              <w:keepNext/>
              <w:keepLines/>
              <w:rPr>
                <w:rFonts w:cs="Calibri"/>
              </w:rPr>
            </w:pPr>
            <w:r w:rsidRPr="00DD47DF">
              <w:rPr>
                <w:rFonts w:cs="Calibri"/>
              </w:rPr>
              <w:t>Dimenze 2</w:t>
            </w:r>
          </w:p>
          <w:p w14:paraId="18FAF25B" w14:textId="77777777" w:rsidR="000B2315" w:rsidRPr="00DD47DF" w:rsidRDefault="000B2315" w:rsidP="00450475">
            <w:pPr>
              <w:pStyle w:val="Tabulka"/>
              <w:keepNext/>
              <w:keepLines/>
              <w:rPr>
                <w:rFonts w:cs="Calibri"/>
              </w:rPr>
            </w:pPr>
            <w:r w:rsidRPr="00DD47DF">
              <w:rPr>
                <w:rFonts w:cs="Calibri"/>
              </w:rPr>
              <w:t>Forma financování</w:t>
            </w:r>
          </w:p>
        </w:tc>
        <w:tc>
          <w:tcPr>
            <w:tcW w:w="2331" w:type="dxa"/>
            <w:gridSpan w:val="2"/>
            <w:shd w:val="clear" w:color="auto" w:fill="B8CCE4"/>
            <w:vAlign w:val="center"/>
          </w:tcPr>
          <w:p w14:paraId="6E3054C3" w14:textId="77777777" w:rsidR="000B2315" w:rsidRPr="00DD47DF" w:rsidRDefault="000B2315" w:rsidP="00450475">
            <w:pPr>
              <w:pStyle w:val="Tabulka"/>
              <w:keepNext/>
              <w:keepLines/>
              <w:rPr>
                <w:rFonts w:cs="Calibri"/>
              </w:rPr>
            </w:pPr>
            <w:r w:rsidRPr="00DD47DF">
              <w:rPr>
                <w:rFonts w:cs="Calibri"/>
              </w:rPr>
              <w:t>Tabulka č. 9:</w:t>
            </w:r>
          </w:p>
          <w:p w14:paraId="4F30B686" w14:textId="77777777" w:rsidR="000B2315" w:rsidRPr="00DD47DF" w:rsidRDefault="000B2315" w:rsidP="00450475">
            <w:pPr>
              <w:pStyle w:val="Tabulka"/>
              <w:keepNext/>
              <w:keepLines/>
              <w:rPr>
                <w:rFonts w:cs="Calibri"/>
              </w:rPr>
            </w:pPr>
            <w:r w:rsidRPr="00DD47DF">
              <w:rPr>
                <w:rFonts w:cs="Calibri"/>
              </w:rPr>
              <w:t>Dimenze 3</w:t>
            </w:r>
          </w:p>
          <w:p w14:paraId="1AD70BEC" w14:textId="77777777" w:rsidR="000B2315" w:rsidRPr="00DD47DF" w:rsidRDefault="000B2315" w:rsidP="00450475">
            <w:pPr>
              <w:pStyle w:val="Tabulka"/>
              <w:keepNext/>
              <w:keepLines/>
              <w:rPr>
                <w:rFonts w:cs="Calibri"/>
              </w:rPr>
            </w:pPr>
            <w:r w:rsidRPr="00DD47DF">
              <w:rPr>
                <w:rFonts w:cs="Calibri"/>
              </w:rPr>
              <w:t>Typ území</w:t>
            </w:r>
          </w:p>
        </w:tc>
        <w:tc>
          <w:tcPr>
            <w:tcW w:w="2332" w:type="dxa"/>
            <w:gridSpan w:val="2"/>
            <w:shd w:val="clear" w:color="auto" w:fill="B8CCE4"/>
            <w:vAlign w:val="center"/>
          </w:tcPr>
          <w:p w14:paraId="46F11D06" w14:textId="77777777" w:rsidR="000B2315" w:rsidRPr="00DD47DF" w:rsidRDefault="000B2315" w:rsidP="00450475">
            <w:pPr>
              <w:pStyle w:val="Tabulka"/>
              <w:keepNext/>
              <w:keepLines/>
              <w:rPr>
                <w:rFonts w:cs="Calibri"/>
              </w:rPr>
            </w:pPr>
            <w:r w:rsidRPr="00DD47DF">
              <w:rPr>
                <w:rFonts w:cs="Calibri"/>
              </w:rPr>
              <w:t>Tabulka č. 10:</w:t>
            </w:r>
          </w:p>
          <w:p w14:paraId="2AF3432D" w14:textId="77777777" w:rsidR="000B2315" w:rsidRPr="00DD47DF" w:rsidRDefault="000B2315" w:rsidP="00450475">
            <w:pPr>
              <w:pStyle w:val="Tabulka"/>
              <w:keepNext/>
              <w:keepLines/>
              <w:rPr>
                <w:rFonts w:cs="Calibri"/>
              </w:rPr>
            </w:pPr>
            <w:r w:rsidRPr="00DD47DF">
              <w:rPr>
                <w:rFonts w:cs="Calibri"/>
              </w:rPr>
              <w:t>Dimenze 4</w:t>
            </w:r>
          </w:p>
          <w:p w14:paraId="5164E093" w14:textId="77777777" w:rsidR="000B2315" w:rsidRPr="00DD47DF" w:rsidRDefault="000B2315" w:rsidP="00450475">
            <w:pPr>
              <w:pStyle w:val="Tabulka"/>
              <w:keepNext/>
              <w:keepLines/>
              <w:rPr>
                <w:rFonts w:cs="Calibri"/>
              </w:rPr>
            </w:pPr>
            <w:r w:rsidRPr="00DD47DF">
              <w:rPr>
                <w:rFonts w:cs="Calibri"/>
              </w:rPr>
              <w:t>Mechanismus územního plnění</w:t>
            </w:r>
          </w:p>
        </w:tc>
      </w:tr>
      <w:tr w:rsidR="000B2315" w:rsidRPr="00DD47DF" w14:paraId="0D0FC9BC" w14:textId="77777777">
        <w:tc>
          <w:tcPr>
            <w:tcW w:w="624" w:type="dxa"/>
            <w:shd w:val="clear" w:color="auto" w:fill="DBE5F1"/>
            <w:vAlign w:val="center"/>
          </w:tcPr>
          <w:p w14:paraId="27D820E2" w14:textId="77777777" w:rsidR="000B2315" w:rsidRPr="00DD47DF" w:rsidRDefault="000B2315" w:rsidP="00450475">
            <w:pPr>
              <w:pStyle w:val="Tabulka"/>
              <w:keepNext/>
              <w:keepLines/>
              <w:rPr>
                <w:rFonts w:cs="Calibri"/>
              </w:rPr>
            </w:pPr>
            <w:r w:rsidRPr="00DD47DF">
              <w:rPr>
                <w:rFonts w:cs="Calibri"/>
              </w:rPr>
              <w:t>Kód</w:t>
            </w:r>
          </w:p>
        </w:tc>
        <w:tc>
          <w:tcPr>
            <w:tcW w:w="1707" w:type="dxa"/>
            <w:shd w:val="clear" w:color="auto" w:fill="DBE5F1"/>
            <w:vAlign w:val="center"/>
          </w:tcPr>
          <w:p w14:paraId="29725000" w14:textId="77777777" w:rsidR="000B2315" w:rsidRPr="00DD47DF" w:rsidRDefault="00D16DE9" w:rsidP="00450475">
            <w:pPr>
              <w:pStyle w:val="Tabulka"/>
              <w:keepNext/>
              <w:keepLines/>
              <w:rPr>
                <w:rFonts w:cs="Calibri"/>
              </w:rPr>
            </w:pPr>
            <w:r w:rsidRPr="00DD47DF">
              <w:rPr>
                <w:rFonts w:cs="Calibri"/>
              </w:rPr>
              <w:t>Částka (v EUR)</w:t>
            </w:r>
          </w:p>
        </w:tc>
        <w:tc>
          <w:tcPr>
            <w:tcW w:w="561" w:type="dxa"/>
            <w:shd w:val="clear" w:color="auto" w:fill="DBE5F1"/>
            <w:vAlign w:val="center"/>
          </w:tcPr>
          <w:p w14:paraId="2173D7EF" w14:textId="77777777" w:rsidR="000B2315" w:rsidRPr="00DD47DF" w:rsidRDefault="000B2315" w:rsidP="00450475">
            <w:pPr>
              <w:pStyle w:val="Tabulka"/>
              <w:keepNext/>
              <w:keepLines/>
              <w:rPr>
                <w:rFonts w:cs="Calibri"/>
              </w:rPr>
            </w:pPr>
            <w:r w:rsidRPr="00DD47DF">
              <w:rPr>
                <w:rFonts w:cs="Calibri"/>
              </w:rPr>
              <w:t>Kód</w:t>
            </w:r>
          </w:p>
        </w:tc>
        <w:tc>
          <w:tcPr>
            <w:tcW w:w="1771" w:type="dxa"/>
            <w:shd w:val="clear" w:color="auto" w:fill="DBE5F1"/>
            <w:vAlign w:val="center"/>
          </w:tcPr>
          <w:p w14:paraId="742FADAF" w14:textId="77777777" w:rsidR="000B2315" w:rsidRPr="00DD47DF" w:rsidRDefault="00D16DE9" w:rsidP="00450475">
            <w:pPr>
              <w:pStyle w:val="Tabulka"/>
              <w:keepNext/>
              <w:keepLines/>
              <w:rPr>
                <w:rFonts w:cs="Calibri"/>
              </w:rPr>
            </w:pPr>
            <w:r w:rsidRPr="00DD47DF">
              <w:rPr>
                <w:rFonts w:cs="Calibri"/>
              </w:rPr>
              <w:t>Částka (v EUR)</w:t>
            </w:r>
          </w:p>
        </w:tc>
        <w:tc>
          <w:tcPr>
            <w:tcW w:w="639" w:type="dxa"/>
            <w:shd w:val="clear" w:color="auto" w:fill="DBE5F1"/>
            <w:vAlign w:val="center"/>
          </w:tcPr>
          <w:p w14:paraId="642705D0" w14:textId="77777777" w:rsidR="000B2315" w:rsidRPr="00DD47DF" w:rsidRDefault="000B2315" w:rsidP="00450475">
            <w:pPr>
              <w:pStyle w:val="Tabulka"/>
              <w:keepNext/>
              <w:keepLines/>
              <w:rPr>
                <w:rFonts w:cs="Calibri"/>
              </w:rPr>
            </w:pPr>
            <w:r w:rsidRPr="00DD47DF">
              <w:rPr>
                <w:rFonts w:cs="Calibri"/>
              </w:rPr>
              <w:t>Kód</w:t>
            </w:r>
          </w:p>
        </w:tc>
        <w:tc>
          <w:tcPr>
            <w:tcW w:w="1692" w:type="dxa"/>
            <w:shd w:val="clear" w:color="auto" w:fill="DBE5F1"/>
            <w:vAlign w:val="center"/>
          </w:tcPr>
          <w:p w14:paraId="4816E47D" w14:textId="77777777" w:rsidR="000B2315" w:rsidRPr="00DD47DF" w:rsidRDefault="00D16DE9" w:rsidP="00450475">
            <w:pPr>
              <w:pStyle w:val="Tabulka"/>
              <w:keepNext/>
              <w:keepLines/>
              <w:rPr>
                <w:rFonts w:cs="Calibri"/>
              </w:rPr>
            </w:pPr>
            <w:r w:rsidRPr="00DD47DF">
              <w:rPr>
                <w:rFonts w:cs="Calibri"/>
              </w:rPr>
              <w:t>Částka (v EUR)</w:t>
            </w:r>
          </w:p>
        </w:tc>
        <w:tc>
          <w:tcPr>
            <w:tcW w:w="576" w:type="dxa"/>
            <w:shd w:val="clear" w:color="auto" w:fill="DBE5F1"/>
            <w:vAlign w:val="center"/>
          </w:tcPr>
          <w:p w14:paraId="314866C7" w14:textId="77777777" w:rsidR="000B2315" w:rsidRPr="00DD47DF" w:rsidRDefault="000B2315" w:rsidP="00450475">
            <w:pPr>
              <w:pStyle w:val="Tabulka"/>
              <w:keepNext/>
              <w:keepLines/>
              <w:rPr>
                <w:rFonts w:cs="Calibri"/>
              </w:rPr>
            </w:pPr>
            <w:r w:rsidRPr="00DD47DF">
              <w:rPr>
                <w:rFonts w:cs="Calibri"/>
              </w:rPr>
              <w:t>Kód</w:t>
            </w:r>
          </w:p>
        </w:tc>
        <w:tc>
          <w:tcPr>
            <w:tcW w:w="1756" w:type="dxa"/>
            <w:shd w:val="clear" w:color="auto" w:fill="DBE5F1"/>
            <w:vAlign w:val="center"/>
          </w:tcPr>
          <w:p w14:paraId="419BB231" w14:textId="77777777" w:rsidR="000B2315" w:rsidRPr="00DD47DF" w:rsidRDefault="00D16DE9" w:rsidP="00450475">
            <w:pPr>
              <w:pStyle w:val="Tabulka"/>
              <w:keepNext/>
              <w:keepLines/>
              <w:rPr>
                <w:rFonts w:cs="Calibri"/>
              </w:rPr>
            </w:pPr>
            <w:r w:rsidRPr="00DD47DF">
              <w:rPr>
                <w:rFonts w:cs="Calibri"/>
              </w:rPr>
              <w:t>Částka (v EUR)</w:t>
            </w:r>
          </w:p>
        </w:tc>
      </w:tr>
      <w:tr w:rsidR="00E50BE4" w:rsidRPr="00DD47DF" w14:paraId="64CABAED" w14:textId="77777777">
        <w:tc>
          <w:tcPr>
            <w:tcW w:w="624" w:type="dxa"/>
            <w:shd w:val="clear" w:color="auto" w:fill="auto"/>
            <w:vAlign w:val="center"/>
          </w:tcPr>
          <w:p w14:paraId="31BAF329" w14:textId="77777777" w:rsidR="00E50BE4" w:rsidRPr="00DD47DF" w:rsidRDefault="00E50BE4" w:rsidP="00E50BE4">
            <w:pPr>
              <w:pStyle w:val="Tabulka"/>
              <w:rPr>
                <w:rFonts w:cs="Calibri"/>
              </w:rPr>
            </w:pPr>
            <w:r w:rsidRPr="00DD47DF">
              <w:rPr>
                <w:rFonts w:cs="Calibri"/>
              </w:rPr>
              <w:t>003</w:t>
            </w:r>
          </w:p>
        </w:tc>
        <w:tc>
          <w:tcPr>
            <w:tcW w:w="1707" w:type="dxa"/>
            <w:shd w:val="clear" w:color="auto" w:fill="auto"/>
            <w:vAlign w:val="center"/>
          </w:tcPr>
          <w:p w14:paraId="6C0F38C5" w14:textId="1BC4935C" w:rsidR="00E50BE4" w:rsidRPr="00DD47DF" w:rsidRDefault="00321EB3" w:rsidP="00E50BE4">
            <w:pPr>
              <w:pStyle w:val="Tabulka"/>
              <w:jc w:val="right"/>
              <w:rPr>
                <w:rFonts w:cs="Calibri"/>
              </w:rPr>
            </w:pPr>
            <w:r w:rsidRPr="00700E39">
              <w:rPr>
                <w:color w:val="000000"/>
              </w:rPr>
              <w:t>28 309 949</w:t>
            </w:r>
          </w:p>
        </w:tc>
        <w:tc>
          <w:tcPr>
            <w:tcW w:w="561" w:type="dxa"/>
            <w:shd w:val="clear" w:color="auto" w:fill="auto"/>
            <w:vAlign w:val="center"/>
          </w:tcPr>
          <w:p w14:paraId="1F01C558" w14:textId="77777777" w:rsidR="00E50BE4" w:rsidRPr="00DD47DF" w:rsidRDefault="00E50BE4" w:rsidP="00E50BE4">
            <w:pPr>
              <w:pStyle w:val="Tabulka"/>
              <w:rPr>
                <w:rFonts w:cs="Calibri"/>
              </w:rPr>
            </w:pPr>
            <w:r w:rsidRPr="00DD47DF">
              <w:rPr>
                <w:rFonts w:cs="Calibri"/>
              </w:rPr>
              <w:t>01</w:t>
            </w:r>
          </w:p>
        </w:tc>
        <w:tc>
          <w:tcPr>
            <w:tcW w:w="1771" w:type="dxa"/>
            <w:shd w:val="clear" w:color="auto" w:fill="auto"/>
            <w:vAlign w:val="center"/>
          </w:tcPr>
          <w:p w14:paraId="21FC8A7A" w14:textId="2DF5DBF2" w:rsidR="00E50BE4" w:rsidRPr="001B21B6" w:rsidRDefault="00DB5EEA" w:rsidP="00E50BE4">
            <w:pPr>
              <w:pStyle w:val="Tabulka"/>
              <w:jc w:val="right"/>
              <w:rPr>
                <w:rFonts w:cs="Calibri"/>
              </w:rPr>
            </w:pPr>
            <w:r w:rsidRPr="001B21B6">
              <w:rPr>
                <w:rFonts w:cs="Calibri"/>
              </w:rPr>
              <w:t>1 168 129 658</w:t>
            </w:r>
          </w:p>
        </w:tc>
        <w:tc>
          <w:tcPr>
            <w:tcW w:w="639" w:type="dxa"/>
            <w:shd w:val="clear" w:color="auto" w:fill="auto"/>
            <w:vAlign w:val="center"/>
          </w:tcPr>
          <w:p w14:paraId="70592510" w14:textId="77777777" w:rsidR="00E50BE4" w:rsidRPr="00DD47DF" w:rsidRDefault="00E50BE4" w:rsidP="00E50BE4">
            <w:pPr>
              <w:pStyle w:val="Tabulka"/>
              <w:rPr>
                <w:rFonts w:cs="Calibri"/>
              </w:rPr>
            </w:pPr>
            <w:r w:rsidRPr="00DD47DF">
              <w:rPr>
                <w:rFonts w:cs="Calibri"/>
              </w:rPr>
              <w:t>01</w:t>
            </w:r>
          </w:p>
        </w:tc>
        <w:tc>
          <w:tcPr>
            <w:tcW w:w="1692" w:type="dxa"/>
            <w:shd w:val="clear" w:color="auto" w:fill="auto"/>
            <w:vAlign w:val="center"/>
          </w:tcPr>
          <w:p w14:paraId="26EFC03D" w14:textId="77777777" w:rsidR="00E50BE4" w:rsidRPr="00DD47DF" w:rsidRDefault="00E50BE4" w:rsidP="00E50BE4">
            <w:pPr>
              <w:pStyle w:val="Tabulka"/>
              <w:jc w:val="right"/>
              <w:rPr>
                <w:rFonts w:cs="Calibri"/>
              </w:rPr>
            </w:pPr>
            <w:r w:rsidRPr="00DD47DF">
              <w:rPr>
                <w:rFonts w:cs="Calibri"/>
              </w:rPr>
              <w:t>245 248 243</w:t>
            </w:r>
          </w:p>
        </w:tc>
        <w:tc>
          <w:tcPr>
            <w:tcW w:w="576" w:type="dxa"/>
            <w:shd w:val="clear" w:color="auto" w:fill="auto"/>
            <w:vAlign w:val="center"/>
          </w:tcPr>
          <w:p w14:paraId="56AEAD84" w14:textId="77777777" w:rsidR="00E50BE4" w:rsidRPr="00DD47DF" w:rsidRDefault="00E50BE4" w:rsidP="00E50BE4">
            <w:pPr>
              <w:pStyle w:val="Tabulka"/>
              <w:rPr>
                <w:rFonts w:cs="Calibri"/>
              </w:rPr>
            </w:pPr>
            <w:r w:rsidRPr="00DD47DF">
              <w:rPr>
                <w:rFonts w:cs="Calibri"/>
              </w:rPr>
              <w:t>01</w:t>
            </w:r>
          </w:p>
        </w:tc>
        <w:tc>
          <w:tcPr>
            <w:tcW w:w="1756" w:type="dxa"/>
            <w:shd w:val="clear" w:color="auto" w:fill="auto"/>
            <w:vAlign w:val="center"/>
          </w:tcPr>
          <w:p w14:paraId="06437421" w14:textId="5F55F4FB" w:rsidR="00E50BE4" w:rsidRPr="00DD47DF" w:rsidRDefault="00F20E9F" w:rsidP="00E50BE4">
            <w:pPr>
              <w:pStyle w:val="Tabulka"/>
              <w:jc w:val="right"/>
              <w:rPr>
                <w:rFonts w:cs="Calibri"/>
              </w:rPr>
            </w:pPr>
            <w:r w:rsidRPr="00700E39">
              <w:rPr>
                <w:rFonts w:cs="Calibri"/>
              </w:rPr>
              <w:t>7 407 407</w:t>
            </w:r>
          </w:p>
        </w:tc>
      </w:tr>
      <w:tr w:rsidR="00E50BE4" w:rsidRPr="00DD47DF" w14:paraId="608D730D" w14:textId="77777777">
        <w:tc>
          <w:tcPr>
            <w:tcW w:w="624" w:type="dxa"/>
            <w:shd w:val="clear" w:color="auto" w:fill="auto"/>
            <w:vAlign w:val="center"/>
          </w:tcPr>
          <w:p w14:paraId="507204FE" w14:textId="77777777" w:rsidR="00E50BE4" w:rsidRPr="00DD47DF" w:rsidRDefault="00E50BE4" w:rsidP="00E50BE4">
            <w:pPr>
              <w:pStyle w:val="Tabulka"/>
              <w:rPr>
                <w:rFonts w:cs="Calibri"/>
              </w:rPr>
            </w:pPr>
            <w:r w:rsidRPr="00DD47DF">
              <w:rPr>
                <w:rFonts w:cs="Calibri"/>
              </w:rPr>
              <w:t>005</w:t>
            </w:r>
          </w:p>
        </w:tc>
        <w:tc>
          <w:tcPr>
            <w:tcW w:w="1707" w:type="dxa"/>
            <w:shd w:val="clear" w:color="auto" w:fill="auto"/>
            <w:vAlign w:val="center"/>
          </w:tcPr>
          <w:p w14:paraId="41365785" w14:textId="7FA422BD" w:rsidR="00E50BE4" w:rsidRPr="00DD47DF" w:rsidRDefault="00321EB3" w:rsidP="00E50BE4">
            <w:pPr>
              <w:pStyle w:val="Tabulka"/>
              <w:jc w:val="right"/>
              <w:rPr>
                <w:rFonts w:cs="Calibri"/>
              </w:rPr>
            </w:pPr>
            <w:r w:rsidRPr="00700E39">
              <w:rPr>
                <w:color w:val="000000"/>
              </w:rPr>
              <w:t>158 533 699</w:t>
            </w:r>
          </w:p>
        </w:tc>
        <w:tc>
          <w:tcPr>
            <w:tcW w:w="561" w:type="dxa"/>
            <w:shd w:val="clear" w:color="auto" w:fill="auto"/>
            <w:vAlign w:val="center"/>
          </w:tcPr>
          <w:p w14:paraId="5CC85B96" w14:textId="77777777" w:rsidR="00E50BE4" w:rsidRPr="00DD47DF" w:rsidRDefault="00E50BE4" w:rsidP="00E50BE4">
            <w:pPr>
              <w:pStyle w:val="Tabulka"/>
              <w:rPr>
                <w:rFonts w:cs="Calibri"/>
              </w:rPr>
            </w:pPr>
            <w:r w:rsidRPr="00DD47DF">
              <w:rPr>
                <w:rFonts w:cs="Calibri"/>
              </w:rPr>
              <w:t>04</w:t>
            </w:r>
          </w:p>
        </w:tc>
        <w:tc>
          <w:tcPr>
            <w:tcW w:w="1771" w:type="dxa"/>
            <w:shd w:val="clear" w:color="auto" w:fill="auto"/>
            <w:vAlign w:val="center"/>
          </w:tcPr>
          <w:p w14:paraId="0D6E7445" w14:textId="4C039AC5" w:rsidR="00E50BE4" w:rsidRPr="001B21B6" w:rsidRDefault="00DB5EEA" w:rsidP="00E50BE4">
            <w:pPr>
              <w:pStyle w:val="Tabulka"/>
              <w:jc w:val="right"/>
              <w:rPr>
                <w:rFonts w:cs="Calibri"/>
              </w:rPr>
            </w:pPr>
            <w:r w:rsidRPr="001B21B6">
              <w:rPr>
                <w:rFonts w:cs="Calibri"/>
              </w:rPr>
              <w:t>43 200 000</w:t>
            </w:r>
          </w:p>
        </w:tc>
        <w:tc>
          <w:tcPr>
            <w:tcW w:w="639" w:type="dxa"/>
            <w:shd w:val="clear" w:color="auto" w:fill="auto"/>
            <w:vAlign w:val="center"/>
          </w:tcPr>
          <w:p w14:paraId="616F2852" w14:textId="77777777" w:rsidR="00E50BE4" w:rsidRPr="00DD47DF" w:rsidRDefault="00E50BE4" w:rsidP="00E50BE4">
            <w:pPr>
              <w:pStyle w:val="Tabulka"/>
              <w:rPr>
                <w:rFonts w:cs="Calibri"/>
              </w:rPr>
            </w:pPr>
            <w:r w:rsidRPr="00DD47DF">
              <w:rPr>
                <w:rFonts w:cs="Calibri"/>
              </w:rPr>
              <w:t>02</w:t>
            </w:r>
          </w:p>
        </w:tc>
        <w:tc>
          <w:tcPr>
            <w:tcW w:w="1692" w:type="dxa"/>
            <w:shd w:val="clear" w:color="auto" w:fill="auto"/>
            <w:vAlign w:val="center"/>
          </w:tcPr>
          <w:p w14:paraId="006AC6E8" w14:textId="77777777" w:rsidR="00E50BE4" w:rsidRPr="00DD47DF" w:rsidRDefault="00E50BE4" w:rsidP="00E50BE4">
            <w:pPr>
              <w:pStyle w:val="Tabulka"/>
              <w:jc w:val="right"/>
              <w:rPr>
                <w:rFonts w:cs="Calibri"/>
              </w:rPr>
            </w:pPr>
            <w:r w:rsidRPr="00DD47DF">
              <w:rPr>
                <w:rFonts w:cs="Calibri"/>
              </w:rPr>
              <w:t>567 198 407</w:t>
            </w:r>
          </w:p>
        </w:tc>
        <w:tc>
          <w:tcPr>
            <w:tcW w:w="576" w:type="dxa"/>
            <w:shd w:val="clear" w:color="auto" w:fill="auto"/>
            <w:vAlign w:val="center"/>
          </w:tcPr>
          <w:p w14:paraId="1B5D6217" w14:textId="77777777" w:rsidR="00E50BE4" w:rsidRPr="00DD47DF" w:rsidRDefault="00E50BE4" w:rsidP="00E50BE4">
            <w:pPr>
              <w:pStyle w:val="Tabulka"/>
              <w:rPr>
                <w:rFonts w:cs="Calibri"/>
              </w:rPr>
            </w:pPr>
            <w:r w:rsidRPr="00DD47DF">
              <w:rPr>
                <w:rFonts w:cs="Calibri"/>
              </w:rPr>
              <w:t>07</w:t>
            </w:r>
          </w:p>
        </w:tc>
        <w:tc>
          <w:tcPr>
            <w:tcW w:w="1756" w:type="dxa"/>
            <w:shd w:val="clear" w:color="auto" w:fill="auto"/>
            <w:vAlign w:val="center"/>
          </w:tcPr>
          <w:p w14:paraId="6888BB7C" w14:textId="56D59988" w:rsidR="00E50BE4" w:rsidRPr="00DD47DF" w:rsidRDefault="00712EE8" w:rsidP="00E50BE4">
            <w:pPr>
              <w:pStyle w:val="Tabulka"/>
              <w:jc w:val="right"/>
              <w:rPr>
                <w:rFonts w:cs="Calibri"/>
              </w:rPr>
            </w:pPr>
            <w:r w:rsidRPr="00700E39">
              <w:rPr>
                <w:rFonts w:cs="Calibri"/>
              </w:rPr>
              <w:t>1 209 722 251</w:t>
            </w:r>
          </w:p>
        </w:tc>
      </w:tr>
      <w:tr w:rsidR="008B0D1E" w:rsidRPr="00DD47DF" w14:paraId="06C3A5ED" w14:textId="77777777">
        <w:tc>
          <w:tcPr>
            <w:tcW w:w="624" w:type="dxa"/>
            <w:shd w:val="clear" w:color="auto" w:fill="auto"/>
            <w:vAlign w:val="center"/>
          </w:tcPr>
          <w:p w14:paraId="2D83AA91" w14:textId="4109F09B" w:rsidR="008B0D1E" w:rsidRPr="00DD47DF" w:rsidRDefault="008B0D1E" w:rsidP="008B0D1E">
            <w:pPr>
              <w:pStyle w:val="Tabulka"/>
              <w:rPr>
                <w:rFonts w:cs="Calibri"/>
              </w:rPr>
            </w:pPr>
            <w:r>
              <w:rPr>
                <w:rFonts w:cs="Calibri"/>
              </w:rPr>
              <w:t>009</w:t>
            </w:r>
          </w:p>
        </w:tc>
        <w:tc>
          <w:tcPr>
            <w:tcW w:w="1707" w:type="dxa"/>
            <w:shd w:val="clear" w:color="auto" w:fill="auto"/>
            <w:vAlign w:val="center"/>
          </w:tcPr>
          <w:p w14:paraId="2F334548" w14:textId="3560358A" w:rsidR="008B0D1E" w:rsidRPr="00DD47DF" w:rsidRDefault="008B0D1E" w:rsidP="008B0D1E">
            <w:pPr>
              <w:pStyle w:val="Tabulka"/>
              <w:jc w:val="right"/>
              <w:rPr>
                <w:rFonts w:cs="Calibri"/>
              </w:rPr>
            </w:pPr>
            <w:r w:rsidRPr="003350A0">
              <w:rPr>
                <w:rFonts w:cs="Calibri"/>
              </w:rPr>
              <w:t>2</w:t>
            </w:r>
            <w:r>
              <w:rPr>
                <w:rFonts w:cs="Calibri"/>
              </w:rPr>
              <w:t xml:space="preserve"> </w:t>
            </w:r>
            <w:r w:rsidRPr="003350A0">
              <w:rPr>
                <w:rFonts w:cs="Calibri"/>
              </w:rPr>
              <w:t>675</w:t>
            </w:r>
            <w:r>
              <w:rPr>
                <w:rFonts w:cs="Calibri"/>
              </w:rPr>
              <w:t xml:space="preserve"> </w:t>
            </w:r>
            <w:r w:rsidRPr="003350A0">
              <w:rPr>
                <w:rFonts w:cs="Calibri"/>
              </w:rPr>
              <w:t>960</w:t>
            </w:r>
          </w:p>
        </w:tc>
        <w:tc>
          <w:tcPr>
            <w:tcW w:w="561" w:type="dxa"/>
            <w:shd w:val="clear" w:color="auto" w:fill="auto"/>
            <w:vAlign w:val="center"/>
          </w:tcPr>
          <w:p w14:paraId="5CF5B55E" w14:textId="77777777" w:rsidR="008B0D1E" w:rsidRPr="00DD47DF" w:rsidRDefault="008B0D1E" w:rsidP="008B0D1E">
            <w:pPr>
              <w:pStyle w:val="Tabulka"/>
              <w:rPr>
                <w:rFonts w:cs="Calibri"/>
              </w:rPr>
            </w:pPr>
            <w:r w:rsidRPr="00DD47DF">
              <w:rPr>
                <w:rFonts w:cs="Calibri"/>
              </w:rPr>
              <w:t>06</w:t>
            </w:r>
          </w:p>
        </w:tc>
        <w:tc>
          <w:tcPr>
            <w:tcW w:w="1771" w:type="dxa"/>
            <w:shd w:val="clear" w:color="auto" w:fill="auto"/>
            <w:vAlign w:val="center"/>
          </w:tcPr>
          <w:p w14:paraId="593BCBA9" w14:textId="415558D3" w:rsidR="008B0D1E" w:rsidRPr="001B21B6" w:rsidRDefault="00DB5EEA" w:rsidP="008B0D1E">
            <w:pPr>
              <w:pStyle w:val="Tabulka"/>
              <w:jc w:val="right"/>
              <w:rPr>
                <w:rFonts w:cs="Calibri"/>
              </w:rPr>
            </w:pPr>
            <w:r w:rsidRPr="001B21B6">
              <w:rPr>
                <w:rFonts w:cs="Calibri"/>
              </w:rPr>
              <w:t>5 800 000</w:t>
            </w:r>
          </w:p>
        </w:tc>
        <w:tc>
          <w:tcPr>
            <w:tcW w:w="639" w:type="dxa"/>
            <w:shd w:val="clear" w:color="auto" w:fill="auto"/>
            <w:vAlign w:val="center"/>
          </w:tcPr>
          <w:p w14:paraId="6600FD8A" w14:textId="77777777" w:rsidR="008B0D1E" w:rsidRPr="00DD47DF" w:rsidRDefault="008B0D1E" w:rsidP="008B0D1E">
            <w:pPr>
              <w:pStyle w:val="Tabulka"/>
              <w:rPr>
                <w:rFonts w:cs="Calibri"/>
              </w:rPr>
            </w:pPr>
            <w:r w:rsidRPr="00DD47DF">
              <w:rPr>
                <w:rFonts w:cs="Calibri"/>
              </w:rPr>
              <w:t>03</w:t>
            </w:r>
          </w:p>
        </w:tc>
        <w:tc>
          <w:tcPr>
            <w:tcW w:w="1692" w:type="dxa"/>
            <w:shd w:val="clear" w:color="auto" w:fill="auto"/>
            <w:vAlign w:val="center"/>
          </w:tcPr>
          <w:p w14:paraId="4F0B8D98" w14:textId="77777777" w:rsidR="008B0D1E" w:rsidRPr="00DD47DF" w:rsidRDefault="008B0D1E" w:rsidP="008B0D1E">
            <w:pPr>
              <w:pStyle w:val="Tabulka"/>
              <w:jc w:val="right"/>
              <w:rPr>
                <w:rFonts w:cs="Calibri"/>
              </w:rPr>
            </w:pPr>
            <w:r w:rsidRPr="00DD47DF">
              <w:rPr>
                <w:rFonts w:cs="Calibri"/>
              </w:rPr>
              <w:t>404 683 008</w:t>
            </w:r>
          </w:p>
        </w:tc>
        <w:tc>
          <w:tcPr>
            <w:tcW w:w="576" w:type="dxa"/>
            <w:shd w:val="clear" w:color="auto" w:fill="auto"/>
            <w:vAlign w:val="center"/>
          </w:tcPr>
          <w:p w14:paraId="0943E0BB" w14:textId="77777777" w:rsidR="008B0D1E" w:rsidRPr="00DD47DF" w:rsidRDefault="008B0D1E" w:rsidP="008B0D1E">
            <w:pPr>
              <w:pStyle w:val="Tabulka"/>
              <w:rPr>
                <w:rFonts w:cs="Calibri"/>
              </w:rPr>
            </w:pPr>
          </w:p>
        </w:tc>
        <w:tc>
          <w:tcPr>
            <w:tcW w:w="1756" w:type="dxa"/>
            <w:shd w:val="clear" w:color="auto" w:fill="auto"/>
            <w:vAlign w:val="center"/>
          </w:tcPr>
          <w:p w14:paraId="0C11179D" w14:textId="77777777" w:rsidR="008B0D1E" w:rsidRPr="00DD47DF" w:rsidRDefault="008B0D1E" w:rsidP="008B0D1E">
            <w:pPr>
              <w:pStyle w:val="Tabulka"/>
              <w:jc w:val="right"/>
              <w:rPr>
                <w:rFonts w:cs="Calibri"/>
              </w:rPr>
            </w:pPr>
          </w:p>
        </w:tc>
      </w:tr>
      <w:tr w:rsidR="008B0D1E" w:rsidRPr="00DD47DF" w14:paraId="52542408" w14:textId="77777777">
        <w:tc>
          <w:tcPr>
            <w:tcW w:w="624" w:type="dxa"/>
            <w:shd w:val="clear" w:color="auto" w:fill="auto"/>
            <w:vAlign w:val="center"/>
          </w:tcPr>
          <w:p w14:paraId="1AC117F1" w14:textId="46F2B0B2" w:rsidR="008B0D1E" w:rsidRPr="00DD47DF" w:rsidRDefault="008B0D1E" w:rsidP="008B0D1E">
            <w:pPr>
              <w:pStyle w:val="Tabulka"/>
              <w:rPr>
                <w:rFonts w:cs="Calibri"/>
              </w:rPr>
            </w:pPr>
            <w:r>
              <w:rPr>
                <w:rFonts w:cs="Calibri"/>
              </w:rPr>
              <w:t>010</w:t>
            </w:r>
          </w:p>
        </w:tc>
        <w:tc>
          <w:tcPr>
            <w:tcW w:w="1707" w:type="dxa"/>
            <w:shd w:val="clear" w:color="auto" w:fill="auto"/>
            <w:vAlign w:val="center"/>
          </w:tcPr>
          <w:p w14:paraId="7CC03DC8" w14:textId="67717407" w:rsidR="008B0D1E" w:rsidRPr="008B0D1E" w:rsidRDefault="008B0D1E" w:rsidP="008B0D1E">
            <w:pPr>
              <w:pStyle w:val="Tabulka"/>
              <w:jc w:val="right"/>
              <w:rPr>
                <w:rFonts w:cs="Calibri"/>
              </w:rPr>
            </w:pPr>
            <w:r w:rsidRPr="008B0D1E">
              <w:rPr>
                <w:rFonts w:cs="Calibri"/>
              </w:rPr>
              <w:t>96 337 980</w:t>
            </w:r>
          </w:p>
        </w:tc>
        <w:tc>
          <w:tcPr>
            <w:tcW w:w="561" w:type="dxa"/>
            <w:shd w:val="clear" w:color="auto" w:fill="auto"/>
            <w:vAlign w:val="center"/>
          </w:tcPr>
          <w:p w14:paraId="760F1B90" w14:textId="77777777" w:rsidR="008B0D1E" w:rsidRPr="00DD47DF" w:rsidRDefault="008B0D1E" w:rsidP="008B0D1E">
            <w:pPr>
              <w:pStyle w:val="Tabulka"/>
              <w:rPr>
                <w:rFonts w:cs="Calibri"/>
              </w:rPr>
            </w:pPr>
          </w:p>
        </w:tc>
        <w:tc>
          <w:tcPr>
            <w:tcW w:w="1771" w:type="dxa"/>
            <w:shd w:val="clear" w:color="auto" w:fill="auto"/>
            <w:vAlign w:val="center"/>
          </w:tcPr>
          <w:p w14:paraId="3CA15188" w14:textId="77777777" w:rsidR="008B0D1E" w:rsidRPr="00DD47DF" w:rsidRDefault="008B0D1E" w:rsidP="008B0D1E">
            <w:pPr>
              <w:pStyle w:val="Tabulka"/>
              <w:jc w:val="right"/>
              <w:rPr>
                <w:rFonts w:cs="Calibri"/>
              </w:rPr>
            </w:pPr>
          </w:p>
        </w:tc>
        <w:tc>
          <w:tcPr>
            <w:tcW w:w="639" w:type="dxa"/>
            <w:shd w:val="clear" w:color="auto" w:fill="auto"/>
            <w:vAlign w:val="center"/>
          </w:tcPr>
          <w:p w14:paraId="13C1AFBE" w14:textId="77777777" w:rsidR="008B0D1E" w:rsidRPr="00DD47DF" w:rsidRDefault="008B0D1E" w:rsidP="008B0D1E">
            <w:pPr>
              <w:pStyle w:val="Tabulka"/>
              <w:rPr>
                <w:rFonts w:cs="Calibri"/>
              </w:rPr>
            </w:pPr>
          </w:p>
        </w:tc>
        <w:tc>
          <w:tcPr>
            <w:tcW w:w="1692" w:type="dxa"/>
            <w:shd w:val="clear" w:color="auto" w:fill="auto"/>
            <w:vAlign w:val="center"/>
          </w:tcPr>
          <w:p w14:paraId="087FBDA1" w14:textId="77777777" w:rsidR="008B0D1E" w:rsidRPr="00DD47DF" w:rsidRDefault="008B0D1E" w:rsidP="008B0D1E">
            <w:pPr>
              <w:pStyle w:val="Tabulka"/>
              <w:jc w:val="right"/>
              <w:rPr>
                <w:rFonts w:cs="Calibri"/>
              </w:rPr>
            </w:pPr>
          </w:p>
        </w:tc>
        <w:tc>
          <w:tcPr>
            <w:tcW w:w="576" w:type="dxa"/>
            <w:shd w:val="clear" w:color="auto" w:fill="auto"/>
            <w:vAlign w:val="center"/>
          </w:tcPr>
          <w:p w14:paraId="279A8668" w14:textId="77777777" w:rsidR="008B0D1E" w:rsidRPr="00DD47DF" w:rsidRDefault="008B0D1E" w:rsidP="008B0D1E">
            <w:pPr>
              <w:pStyle w:val="Tabulka"/>
              <w:rPr>
                <w:rFonts w:cs="Calibri"/>
              </w:rPr>
            </w:pPr>
          </w:p>
        </w:tc>
        <w:tc>
          <w:tcPr>
            <w:tcW w:w="1756" w:type="dxa"/>
            <w:shd w:val="clear" w:color="auto" w:fill="auto"/>
            <w:vAlign w:val="center"/>
          </w:tcPr>
          <w:p w14:paraId="6E23111B" w14:textId="77777777" w:rsidR="008B0D1E" w:rsidRPr="00DD47DF" w:rsidRDefault="008B0D1E" w:rsidP="008B0D1E">
            <w:pPr>
              <w:pStyle w:val="Tabulka"/>
              <w:jc w:val="right"/>
              <w:rPr>
                <w:rFonts w:cs="Calibri"/>
              </w:rPr>
            </w:pPr>
          </w:p>
        </w:tc>
      </w:tr>
      <w:tr w:rsidR="008B0D1E" w:rsidRPr="00DD47DF" w14:paraId="4E6859EF" w14:textId="77777777">
        <w:tc>
          <w:tcPr>
            <w:tcW w:w="624" w:type="dxa"/>
            <w:shd w:val="clear" w:color="auto" w:fill="auto"/>
            <w:vAlign w:val="center"/>
          </w:tcPr>
          <w:p w14:paraId="00F71E0D" w14:textId="13C74A7C" w:rsidR="008B0D1E" w:rsidRPr="00DD47DF" w:rsidRDefault="008B0D1E" w:rsidP="008B0D1E">
            <w:pPr>
              <w:pStyle w:val="Tabulka"/>
              <w:rPr>
                <w:rFonts w:cs="Calibri"/>
              </w:rPr>
            </w:pPr>
            <w:r w:rsidRPr="00DD47DF">
              <w:rPr>
                <w:rFonts w:cs="Calibri"/>
              </w:rPr>
              <w:t>011</w:t>
            </w:r>
          </w:p>
        </w:tc>
        <w:tc>
          <w:tcPr>
            <w:tcW w:w="1707" w:type="dxa"/>
            <w:shd w:val="clear" w:color="auto" w:fill="auto"/>
            <w:vAlign w:val="center"/>
          </w:tcPr>
          <w:p w14:paraId="234895B7" w14:textId="023D67A7" w:rsidR="008B0D1E" w:rsidRPr="00DD47DF" w:rsidRDefault="008B0D1E" w:rsidP="008B0D1E">
            <w:pPr>
              <w:pStyle w:val="Tabulka"/>
              <w:jc w:val="right"/>
              <w:rPr>
                <w:rFonts w:cs="Calibri"/>
              </w:rPr>
            </w:pPr>
            <w:r w:rsidRPr="003350A0">
              <w:rPr>
                <w:rFonts w:cs="Calibri"/>
              </w:rPr>
              <w:t>32</w:t>
            </w:r>
            <w:r>
              <w:rPr>
                <w:rFonts w:cs="Calibri"/>
              </w:rPr>
              <w:t xml:space="preserve"> </w:t>
            </w:r>
            <w:r w:rsidRPr="003350A0">
              <w:rPr>
                <w:rFonts w:cs="Calibri"/>
              </w:rPr>
              <w:t>379</w:t>
            </w:r>
            <w:r>
              <w:rPr>
                <w:rFonts w:cs="Calibri"/>
              </w:rPr>
              <w:t xml:space="preserve"> </w:t>
            </w:r>
            <w:r w:rsidRPr="003350A0">
              <w:rPr>
                <w:rFonts w:cs="Calibri"/>
              </w:rPr>
              <w:t>101</w:t>
            </w:r>
          </w:p>
        </w:tc>
        <w:tc>
          <w:tcPr>
            <w:tcW w:w="561" w:type="dxa"/>
            <w:shd w:val="clear" w:color="auto" w:fill="auto"/>
            <w:vAlign w:val="center"/>
          </w:tcPr>
          <w:p w14:paraId="32A461C7" w14:textId="77777777" w:rsidR="008B0D1E" w:rsidRPr="00DD47DF" w:rsidRDefault="008B0D1E" w:rsidP="008B0D1E">
            <w:pPr>
              <w:pStyle w:val="Tabulka"/>
              <w:rPr>
                <w:rFonts w:cs="Calibri"/>
              </w:rPr>
            </w:pPr>
          </w:p>
        </w:tc>
        <w:tc>
          <w:tcPr>
            <w:tcW w:w="1771" w:type="dxa"/>
            <w:shd w:val="clear" w:color="auto" w:fill="auto"/>
            <w:vAlign w:val="center"/>
          </w:tcPr>
          <w:p w14:paraId="6747DB88" w14:textId="77777777" w:rsidR="008B0D1E" w:rsidRPr="00DD47DF" w:rsidRDefault="008B0D1E" w:rsidP="008B0D1E">
            <w:pPr>
              <w:pStyle w:val="Tabulka"/>
              <w:jc w:val="right"/>
              <w:rPr>
                <w:rFonts w:cs="Calibri"/>
              </w:rPr>
            </w:pPr>
          </w:p>
        </w:tc>
        <w:tc>
          <w:tcPr>
            <w:tcW w:w="639" w:type="dxa"/>
            <w:shd w:val="clear" w:color="auto" w:fill="auto"/>
            <w:vAlign w:val="center"/>
          </w:tcPr>
          <w:p w14:paraId="4ABDD67F" w14:textId="77777777" w:rsidR="008B0D1E" w:rsidRPr="00DD47DF" w:rsidRDefault="008B0D1E" w:rsidP="008B0D1E">
            <w:pPr>
              <w:pStyle w:val="Tabulka"/>
              <w:rPr>
                <w:rFonts w:cs="Calibri"/>
              </w:rPr>
            </w:pPr>
          </w:p>
        </w:tc>
        <w:tc>
          <w:tcPr>
            <w:tcW w:w="1692" w:type="dxa"/>
            <w:shd w:val="clear" w:color="auto" w:fill="auto"/>
            <w:vAlign w:val="center"/>
          </w:tcPr>
          <w:p w14:paraId="6FDA9F73" w14:textId="77777777" w:rsidR="008B0D1E" w:rsidRPr="00DD47DF" w:rsidRDefault="008B0D1E" w:rsidP="008B0D1E">
            <w:pPr>
              <w:pStyle w:val="Tabulka"/>
              <w:jc w:val="right"/>
              <w:rPr>
                <w:rFonts w:cs="Calibri"/>
              </w:rPr>
            </w:pPr>
          </w:p>
        </w:tc>
        <w:tc>
          <w:tcPr>
            <w:tcW w:w="576" w:type="dxa"/>
            <w:shd w:val="clear" w:color="auto" w:fill="auto"/>
            <w:vAlign w:val="center"/>
          </w:tcPr>
          <w:p w14:paraId="3123EC66" w14:textId="77777777" w:rsidR="008B0D1E" w:rsidRPr="00DD47DF" w:rsidRDefault="008B0D1E" w:rsidP="008B0D1E">
            <w:pPr>
              <w:pStyle w:val="Tabulka"/>
              <w:rPr>
                <w:rFonts w:cs="Calibri"/>
              </w:rPr>
            </w:pPr>
          </w:p>
        </w:tc>
        <w:tc>
          <w:tcPr>
            <w:tcW w:w="1756" w:type="dxa"/>
            <w:shd w:val="clear" w:color="auto" w:fill="auto"/>
            <w:vAlign w:val="center"/>
          </w:tcPr>
          <w:p w14:paraId="4A30D501" w14:textId="77777777" w:rsidR="008B0D1E" w:rsidRPr="00DD47DF" w:rsidRDefault="008B0D1E" w:rsidP="008B0D1E">
            <w:pPr>
              <w:pStyle w:val="Tabulka"/>
              <w:jc w:val="right"/>
              <w:rPr>
                <w:rFonts w:cs="Calibri"/>
              </w:rPr>
            </w:pPr>
          </w:p>
        </w:tc>
      </w:tr>
      <w:tr w:rsidR="008B0D1E" w:rsidRPr="00DD47DF" w14:paraId="02C310E7" w14:textId="77777777">
        <w:tc>
          <w:tcPr>
            <w:tcW w:w="624" w:type="dxa"/>
            <w:shd w:val="clear" w:color="auto" w:fill="auto"/>
            <w:vAlign w:val="center"/>
          </w:tcPr>
          <w:p w14:paraId="144F061C" w14:textId="798E253F" w:rsidR="008B0D1E" w:rsidRPr="00DD47DF" w:rsidRDefault="008B0D1E" w:rsidP="008B0D1E">
            <w:pPr>
              <w:pStyle w:val="Tabulka"/>
              <w:rPr>
                <w:rFonts w:cs="Calibri"/>
              </w:rPr>
            </w:pPr>
            <w:r w:rsidRPr="00DD47DF">
              <w:rPr>
                <w:rFonts w:cs="Calibri"/>
              </w:rPr>
              <w:t>012</w:t>
            </w:r>
          </w:p>
        </w:tc>
        <w:tc>
          <w:tcPr>
            <w:tcW w:w="1707" w:type="dxa"/>
            <w:shd w:val="clear" w:color="auto" w:fill="auto"/>
            <w:vAlign w:val="center"/>
          </w:tcPr>
          <w:p w14:paraId="36AA234F" w14:textId="08BE32B6" w:rsidR="008B0D1E" w:rsidRPr="00DD47DF" w:rsidRDefault="008B0D1E" w:rsidP="008B0D1E">
            <w:pPr>
              <w:pStyle w:val="Tabulka"/>
              <w:jc w:val="right"/>
              <w:rPr>
                <w:rFonts w:cs="Calibri"/>
              </w:rPr>
            </w:pPr>
            <w:r w:rsidRPr="003350A0">
              <w:rPr>
                <w:rFonts w:cs="Calibri"/>
              </w:rPr>
              <w:t>17</w:t>
            </w:r>
            <w:r>
              <w:rPr>
                <w:rFonts w:cs="Calibri"/>
              </w:rPr>
              <w:t xml:space="preserve"> </w:t>
            </w:r>
            <w:r w:rsidRPr="003350A0">
              <w:rPr>
                <w:rFonts w:cs="Calibri"/>
              </w:rPr>
              <w:t>126</w:t>
            </w:r>
            <w:r>
              <w:rPr>
                <w:rFonts w:cs="Calibri"/>
              </w:rPr>
              <w:t xml:space="preserve"> </w:t>
            </w:r>
            <w:r w:rsidRPr="003350A0">
              <w:rPr>
                <w:rFonts w:cs="Calibri"/>
              </w:rPr>
              <w:t>135</w:t>
            </w:r>
          </w:p>
        </w:tc>
        <w:tc>
          <w:tcPr>
            <w:tcW w:w="561" w:type="dxa"/>
            <w:shd w:val="clear" w:color="auto" w:fill="auto"/>
            <w:vAlign w:val="center"/>
          </w:tcPr>
          <w:p w14:paraId="38195DF3" w14:textId="77777777" w:rsidR="008B0D1E" w:rsidRPr="00DD47DF" w:rsidRDefault="008B0D1E" w:rsidP="008B0D1E">
            <w:pPr>
              <w:pStyle w:val="Tabulka"/>
              <w:rPr>
                <w:rFonts w:cs="Calibri"/>
              </w:rPr>
            </w:pPr>
          </w:p>
        </w:tc>
        <w:tc>
          <w:tcPr>
            <w:tcW w:w="1771" w:type="dxa"/>
            <w:shd w:val="clear" w:color="auto" w:fill="auto"/>
            <w:vAlign w:val="center"/>
          </w:tcPr>
          <w:p w14:paraId="4035FB5C" w14:textId="77777777" w:rsidR="008B0D1E" w:rsidRPr="00DD47DF" w:rsidRDefault="008B0D1E" w:rsidP="008B0D1E">
            <w:pPr>
              <w:pStyle w:val="Tabulka"/>
              <w:jc w:val="right"/>
              <w:rPr>
                <w:rFonts w:cs="Calibri"/>
              </w:rPr>
            </w:pPr>
          </w:p>
        </w:tc>
        <w:tc>
          <w:tcPr>
            <w:tcW w:w="639" w:type="dxa"/>
            <w:shd w:val="clear" w:color="auto" w:fill="auto"/>
            <w:vAlign w:val="center"/>
          </w:tcPr>
          <w:p w14:paraId="71F8C838" w14:textId="77777777" w:rsidR="008B0D1E" w:rsidRPr="00DD47DF" w:rsidRDefault="008B0D1E" w:rsidP="008B0D1E">
            <w:pPr>
              <w:pStyle w:val="Tabulka"/>
              <w:rPr>
                <w:rFonts w:cs="Calibri"/>
              </w:rPr>
            </w:pPr>
          </w:p>
        </w:tc>
        <w:tc>
          <w:tcPr>
            <w:tcW w:w="1692" w:type="dxa"/>
            <w:shd w:val="clear" w:color="auto" w:fill="auto"/>
            <w:vAlign w:val="center"/>
          </w:tcPr>
          <w:p w14:paraId="7025F757" w14:textId="77777777" w:rsidR="008B0D1E" w:rsidRPr="00DD47DF" w:rsidRDefault="008B0D1E" w:rsidP="008B0D1E">
            <w:pPr>
              <w:pStyle w:val="Tabulka"/>
              <w:jc w:val="right"/>
              <w:rPr>
                <w:rFonts w:cs="Calibri"/>
              </w:rPr>
            </w:pPr>
          </w:p>
        </w:tc>
        <w:tc>
          <w:tcPr>
            <w:tcW w:w="576" w:type="dxa"/>
            <w:shd w:val="clear" w:color="auto" w:fill="auto"/>
            <w:vAlign w:val="center"/>
          </w:tcPr>
          <w:p w14:paraId="7B8EAD21" w14:textId="77777777" w:rsidR="008B0D1E" w:rsidRPr="00DD47DF" w:rsidRDefault="008B0D1E" w:rsidP="008B0D1E">
            <w:pPr>
              <w:pStyle w:val="Tabulka"/>
              <w:rPr>
                <w:rFonts w:cs="Calibri"/>
              </w:rPr>
            </w:pPr>
          </w:p>
        </w:tc>
        <w:tc>
          <w:tcPr>
            <w:tcW w:w="1756" w:type="dxa"/>
            <w:shd w:val="clear" w:color="auto" w:fill="auto"/>
            <w:vAlign w:val="center"/>
          </w:tcPr>
          <w:p w14:paraId="2B94B3D1" w14:textId="77777777" w:rsidR="008B0D1E" w:rsidRPr="00DD47DF" w:rsidRDefault="008B0D1E" w:rsidP="008B0D1E">
            <w:pPr>
              <w:pStyle w:val="Tabulka"/>
              <w:jc w:val="right"/>
              <w:rPr>
                <w:rFonts w:cs="Calibri"/>
              </w:rPr>
            </w:pPr>
          </w:p>
        </w:tc>
      </w:tr>
      <w:tr w:rsidR="008B0D1E" w:rsidRPr="00DD47DF" w14:paraId="1CCBE6EB" w14:textId="77777777">
        <w:tc>
          <w:tcPr>
            <w:tcW w:w="624" w:type="dxa"/>
            <w:shd w:val="clear" w:color="auto" w:fill="auto"/>
            <w:vAlign w:val="center"/>
          </w:tcPr>
          <w:p w14:paraId="106C1555" w14:textId="40854529" w:rsidR="008B0D1E" w:rsidRPr="00DD47DF" w:rsidRDefault="008B0D1E" w:rsidP="008B0D1E">
            <w:pPr>
              <w:pStyle w:val="Tabulka"/>
              <w:rPr>
                <w:rFonts w:cs="Calibri"/>
              </w:rPr>
            </w:pPr>
            <w:r w:rsidRPr="00DD47DF">
              <w:rPr>
                <w:rFonts w:cs="Calibri"/>
              </w:rPr>
              <w:t>015</w:t>
            </w:r>
          </w:p>
        </w:tc>
        <w:tc>
          <w:tcPr>
            <w:tcW w:w="1707" w:type="dxa"/>
            <w:shd w:val="clear" w:color="auto" w:fill="auto"/>
            <w:vAlign w:val="center"/>
          </w:tcPr>
          <w:p w14:paraId="1D7B2631" w14:textId="53BB00D2" w:rsidR="008B0D1E" w:rsidRPr="00DD47DF" w:rsidRDefault="008B0D1E" w:rsidP="008B0D1E">
            <w:pPr>
              <w:pStyle w:val="Tabulka"/>
              <w:jc w:val="right"/>
              <w:rPr>
                <w:rFonts w:cs="Calibri"/>
              </w:rPr>
            </w:pPr>
            <w:r w:rsidRPr="00DD47DF">
              <w:rPr>
                <w:rFonts w:cs="Calibri"/>
              </w:rPr>
              <w:t>37 118 139</w:t>
            </w:r>
          </w:p>
        </w:tc>
        <w:tc>
          <w:tcPr>
            <w:tcW w:w="561" w:type="dxa"/>
            <w:shd w:val="clear" w:color="auto" w:fill="auto"/>
            <w:vAlign w:val="center"/>
          </w:tcPr>
          <w:p w14:paraId="1874D4C9" w14:textId="77777777" w:rsidR="008B0D1E" w:rsidRPr="00DD47DF" w:rsidRDefault="008B0D1E" w:rsidP="008B0D1E">
            <w:pPr>
              <w:pStyle w:val="Tabulka"/>
              <w:rPr>
                <w:rFonts w:cs="Calibri"/>
              </w:rPr>
            </w:pPr>
          </w:p>
        </w:tc>
        <w:tc>
          <w:tcPr>
            <w:tcW w:w="1771" w:type="dxa"/>
            <w:shd w:val="clear" w:color="auto" w:fill="auto"/>
            <w:vAlign w:val="center"/>
          </w:tcPr>
          <w:p w14:paraId="5513D239" w14:textId="77777777" w:rsidR="008B0D1E" w:rsidRPr="00DD47DF" w:rsidRDefault="008B0D1E" w:rsidP="008B0D1E">
            <w:pPr>
              <w:pStyle w:val="Tabulka"/>
              <w:jc w:val="right"/>
              <w:rPr>
                <w:rFonts w:cs="Calibri"/>
              </w:rPr>
            </w:pPr>
          </w:p>
        </w:tc>
        <w:tc>
          <w:tcPr>
            <w:tcW w:w="639" w:type="dxa"/>
            <w:shd w:val="clear" w:color="auto" w:fill="auto"/>
            <w:vAlign w:val="center"/>
          </w:tcPr>
          <w:p w14:paraId="7474BF2D" w14:textId="77777777" w:rsidR="008B0D1E" w:rsidRPr="00DD47DF" w:rsidRDefault="008B0D1E" w:rsidP="008B0D1E">
            <w:pPr>
              <w:pStyle w:val="Tabulka"/>
              <w:rPr>
                <w:rFonts w:cs="Calibri"/>
              </w:rPr>
            </w:pPr>
          </w:p>
        </w:tc>
        <w:tc>
          <w:tcPr>
            <w:tcW w:w="1692" w:type="dxa"/>
            <w:shd w:val="clear" w:color="auto" w:fill="auto"/>
            <w:vAlign w:val="center"/>
          </w:tcPr>
          <w:p w14:paraId="3DD725D2" w14:textId="77777777" w:rsidR="008B0D1E" w:rsidRPr="00DD47DF" w:rsidRDefault="008B0D1E" w:rsidP="008B0D1E">
            <w:pPr>
              <w:pStyle w:val="Tabulka"/>
              <w:jc w:val="right"/>
              <w:rPr>
                <w:rFonts w:cs="Calibri"/>
              </w:rPr>
            </w:pPr>
          </w:p>
        </w:tc>
        <w:tc>
          <w:tcPr>
            <w:tcW w:w="576" w:type="dxa"/>
            <w:shd w:val="clear" w:color="auto" w:fill="auto"/>
            <w:vAlign w:val="center"/>
          </w:tcPr>
          <w:p w14:paraId="01D2C887" w14:textId="77777777" w:rsidR="008B0D1E" w:rsidRPr="00DD47DF" w:rsidRDefault="008B0D1E" w:rsidP="008B0D1E">
            <w:pPr>
              <w:pStyle w:val="Tabulka"/>
              <w:rPr>
                <w:rFonts w:cs="Calibri"/>
              </w:rPr>
            </w:pPr>
          </w:p>
        </w:tc>
        <w:tc>
          <w:tcPr>
            <w:tcW w:w="1756" w:type="dxa"/>
            <w:shd w:val="clear" w:color="auto" w:fill="auto"/>
            <w:vAlign w:val="center"/>
          </w:tcPr>
          <w:p w14:paraId="0E63915A" w14:textId="77777777" w:rsidR="008B0D1E" w:rsidRPr="00DD47DF" w:rsidRDefault="008B0D1E" w:rsidP="008B0D1E">
            <w:pPr>
              <w:pStyle w:val="Tabulka"/>
              <w:jc w:val="right"/>
              <w:rPr>
                <w:rFonts w:cs="Calibri"/>
              </w:rPr>
            </w:pPr>
          </w:p>
        </w:tc>
      </w:tr>
      <w:tr w:rsidR="008B0D1E" w:rsidRPr="00DD47DF" w14:paraId="4071B0D4" w14:textId="77777777">
        <w:tc>
          <w:tcPr>
            <w:tcW w:w="624" w:type="dxa"/>
            <w:shd w:val="clear" w:color="auto" w:fill="auto"/>
            <w:vAlign w:val="center"/>
          </w:tcPr>
          <w:p w14:paraId="556678D9" w14:textId="481B6AB4" w:rsidR="008B0D1E" w:rsidRPr="00DD47DF" w:rsidRDefault="008B0D1E" w:rsidP="008B0D1E">
            <w:pPr>
              <w:pStyle w:val="Tabulka"/>
              <w:rPr>
                <w:rFonts w:cs="Calibri"/>
              </w:rPr>
            </w:pPr>
            <w:r w:rsidRPr="00DD47DF">
              <w:rPr>
                <w:rFonts w:cs="Calibri"/>
              </w:rPr>
              <w:t>016</w:t>
            </w:r>
          </w:p>
        </w:tc>
        <w:tc>
          <w:tcPr>
            <w:tcW w:w="1707" w:type="dxa"/>
            <w:shd w:val="clear" w:color="auto" w:fill="auto"/>
            <w:vAlign w:val="center"/>
          </w:tcPr>
          <w:p w14:paraId="5736EE81" w14:textId="5ED9633D" w:rsidR="008B0D1E" w:rsidRPr="00DD47DF" w:rsidRDefault="008B0D1E" w:rsidP="008B0D1E">
            <w:pPr>
              <w:pStyle w:val="Tabulka"/>
              <w:jc w:val="right"/>
              <w:rPr>
                <w:rFonts w:cs="Calibri"/>
              </w:rPr>
            </w:pPr>
            <w:r w:rsidRPr="00AC0508">
              <w:rPr>
                <w:rFonts w:cs="Calibri"/>
              </w:rPr>
              <w:t>142</w:t>
            </w:r>
            <w:r>
              <w:rPr>
                <w:rFonts w:cs="Calibri"/>
              </w:rPr>
              <w:t xml:space="preserve"> </w:t>
            </w:r>
            <w:r w:rsidRPr="00AC0508">
              <w:rPr>
                <w:rFonts w:cs="Calibri"/>
              </w:rPr>
              <w:t>861</w:t>
            </w:r>
            <w:r>
              <w:rPr>
                <w:rFonts w:cs="Calibri"/>
              </w:rPr>
              <w:t xml:space="preserve"> </w:t>
            </w:r>
            <w:r w:rsidRPr="00AC0508">
              <w:rPr>
                <w:rFonts w:cs="Calibri"/>
              </w:rPr>
              <w:t>673</w:t>
            </w:r>
          </w:p>
        </w:tc>
        <w:tc>
          <w:tcPr>
            <w:tcW w:w="561" w:type="dxa"/>
            <w:shd w:val="clear" w:color="auto" w:fill="auto"/>
            <w:vAlign w:val="center"/>
          </w:tcPr>
          <w:p w14:paraId="7168A440" w14:textId="77777777" w:rsidR="008B0D1E" w:rsidRPr="00DD47DF" w:rsidRDefault="008B0D1E" w:rsidP="008B0D1E">
            <w:pPr>
              <w:pStyle w:val="Tabulka"/>
              <w:rPr>
                <w:rFonts w:cs="Calibri"/>
              </w:rPr>
            </w:pPr>
          </w:p>
        </w:tc>
        <w:tc>
          <w:tcPr>
            <w:tcW w:w="1771" w:type="dxa"/>
            <w:shd w:val="clear" w:color="auto" w:fill="auto"/>
            <w:vAlign w:val="center"/>
          </w:tcPr>
          <w:p w14:paraId="56721FD6" w14:textId="77777777" w:rsidR="008B0D1E" w:rsidRPr="00DD47DF" w:rsidRDefault="008B0D1E" w:rsidP="008B0D1E">
            <w:pPr>
              <w:pStyle w:val="Tabulka"/>
              <w:jc w:val="right"/>
              <w:rPr>
                <w:rFonts w:cs="Calibri"/>
              </w:rPr>
            </w:pPr>
          </w:p>
        </w:tc>
        <w:tc>
          <w:tcPr>
            <w:tcW w:w="639" w:type="dxa"/>
            <w:shd w:val="clear" w:color="auto" w:fill="auto"/>
            <w:vAlign w:val="center"/>
          </w:tcPr>
          <w:p w14:paraId="733C46DB" w14:textId="77777777" w:rsidR="008B0D1E" w:rsidRPr="00DD47DF" w:rsidRDefault="008B0D1E" w:rsidP="008B0D1E">
            <w:pPr>
              <w:pStyle w:val="Tabulka"/>
              <w:rPr>
                <w:rFonts w:cs="Calibri"/>
              </w:rPr>
            </w:pPr>
          </w:p>
        </w:tc>
        <w:tc>
          <w:tcPr>
            <w:tcW w:w="1692" w:type="dxa"/>
            <w:shd w:val="clear" w:color="auto" w:fill="auto"/>
            <w:vAlign w:val="center"/>
          </w:tcPr>
          <w:p w14:paraId="6A7731E6" w14:textId="77777777" w:rsidR="008B0D1E" w:rsidRPr="00DD47DF" w:rsidRDefault="008B0D1E" w:rsidP="008B0D1E">
            <w:pPr>
              <w:pStyle w:val="Tabulka"/>
              <w:jc w:val="right"/>
              <w:rPr>
                <w:rFonts w:cs="Calibri"/>
              </w:rPr>
            </w:pPr>
          </w:p>
        </w:tc>
        <w:tc>
          <w:tcPr>
            <w:tcW w:w="576" w:type="dxa"/>
            <w:shd w:val="clear" w:color="auto" w:fill="auto"/>
            <w:vAlign w:val="center"/>
          </w:tcPr>
          <w:p w14:paraId="79C22595" w14:textId="77777777" w:rsidR="008B0D1E" w:rsidRPr="00DD47DF" w:rsidRDefault="008B0D1E" w:rsidP="008B0D1E">
            <w:pPr>
              <w:pStyle w:val="Tabulka"/>
              <w:rPr>
                <w:rFonts w:cs="Calibri"/>
              </w:rPr>
            </w:pPr>
          </w:p>
        </w:tc>
        <w:tc>
          <w:tcPr>
            <w:tcW w:w="1756" w:type="dxa"/>
            <w:shd w:val="clear" w:color="auto" w:fill="auto"/>
            <w:vAlign w:val="center"/>
          </w:tcPr>
          <w:p w14:paraId="2828CDF3" w14:textId="77777777" w:rsidR="008B0D1E" w:rsidRPr="00DD47DF" w:rsidRDefault="008B0D1E" w:rsidP="008B0D1E">
            <w:pPr>
              <w:pStyle w:val="Tabulka"/>
              <w:jc w:val="right"/>
              <w:rPr>
                <w:rFonts w:cs="Calibri"/>
              </w:rPr>
            </w:pPr>
          </w:p>
        </w:tc>
      </w:tr>
      <w:tr w:rsidR="008B0D1E" w:rsidRPr="00DD47DF" w14:paraId="59EC7E5B" w14:textId="77777777">
        <w:tc>
          <w:tcPr>
            <w:tcW w:w="624" w:type="dxa"/>
            <w:shd w:val="clear" w:color="auto" w:fill="auto"/>
            <w:vAlign w:val="center"/>
          </w:tcPr>
          <w:p w14:paraId="64998EC7" w14:textId="54C111EC" w:rsidR="008B0D1E" w:rsidRPr="00DD47DF" w:rsidRDefault="008B0D1E" w:rsidP="008B0D1E">
            <w:pPr>
              <w:pStyle w:val="Tabulka"/>
              <w:rPr>
                <w:rFonts w:cs="Calibri"/>
              </w:rPr>
            </w:pPr>
            <w:r w:rsidRPr="00DD47DF">
              <w:rPr>
                <w:rFonts w:cs="Calibri"/>
              </w:rPr>
              <w:t>068</w:t>
            </w:r>
          </w:p>
        </w:tc>
        <w:tc>
          <w:tcPr>
            <w:tcW w:w="1707" w:type="dxa"/>
            <w:shd w:val="clear" w:color="auto" w:fill="auto"/>
            <w:vAlign w:val="center"/>
          </w:tcPr>
          <w:p w14:paraId="7207595B" w14:textId="113CB268" w:rsidR="008B0D1E" w:rsidRPr="00DD47DF" w:rsidRDefault="008B0D1E" w:rsidP="008B0D1E">
            <w:pPr>
              <w:pStyle w:val="Tabulka"/>
              <w:jc w:val="right"/>
              <w:rPr>
                <w:rFonts w:cs="Calibri"/>
              </w:rPr>
            </w:pPr>
            <w:r w:rsidRPr="008B0D1E">
              <w:rPr>
                <w:rFonts w:cs="Calibri"/>
              </w:rPr>
              <w:t>260 498 891</w:t>
            </w:r>
          </w:p>
        </w:tc>
        <w:tc>
          <w:tcPr>
            <w:tcW w:w="561" w:type="dxa"/>
            <w:shd w:val="clear" w:color="auto" w:fill="auto"/>
            <w:vAlign w:val="center"/>
          </w:tcPr>
          <w:p w14:paraId="1EFBFBEF" w14:textId="77777777" w:rsidR="008B0D1E" w:rsidRPr="00DD47DF" w:rsidRDefault="008B0D1E" w:rsidP="008B0D1E">
            <w:pPr>
              <w:pStyle w:val="Tabulka"/>
              <w:rPr>
                <w:rFonts w:cs="Calibri"/>
              </w:rPr>
            </w:pPr>
          </w:p>
        </w:tc>
        <w:tc>
          <w:tcPr>
            <w:tcW w:w="1771" w:type="dxa"/>
            <w:shd w:val="clear" w:color="auto" w:fill="auto"/>
            <w:vAlign w:val="center"/>
          </w:tcPr>
          <w:p w14:paraId="43FCCDAD" w14:textId="77777777" w:rsidR="008B0D1E" w:rsidRPr="00DD47DF" w:rsidRDefault="008B0D1E" w:rsidP="008B0D1E">
            <w:pPr>
              <w:pStyle w:val="Tabulka"/>
              <w:jc w:val="right"/>
              <w:rPr>
                <w:rFonts w:cs="Calibri"/>
              </w:rPr>
            </w:pPr>
          </w:p>
        </w:tc>
        <w:tc>
          <w:tcPr>
            <w:tcW w:w="639" w:type="dxa"/>
            <w:shd w:val="clear" w:color="auto" w:fill="auto"/>
            <w:vAlign w:val="center"/>
          </w:tcPr>
          <w:p w14:paraId="546B351F" w14:textId="77777777" w:rsidR="008B0D1E" w:rsidRPr="00DD47DF" w:rsidRDefault="008B0D1E" w:rsidP="008B0D1E">
            <w:pPr>
              <w:pStyle w:val="Tabulka"/>
              <w:rPr>
                <w:rFonts w:cs="Calibri"/>
              </w:rPr>
            </w:pPr>
          </w:p>
        </w:tc>
        <w:tc>
          <w:tcPr>
            <w:tcW w:w="1692" w:type="dxa"/>
            <w:shd w:val="clear" w:color="auto" w:fill="auto"/>
            <w:vAlign w:val="center"/>
          </w:tcPr>
          <w:p w14:paraId="2FE1C6D8" w14:textId="77777777" w:rsidR="008B0D1E" w:rsidRPr="00DD47DF" w:rsidRDefault="008B0D1E" w:rsidP="008B0D1E">
            <w:pPr>
              <w:pStyle w:val="Tabulka"/>
              <w:jc w:val="right"/>
              <w:rPr>
                <w:rFonts w:cs="Calibri"/>
              </w:rPr>
            </w:pPr>
          </w:p>
        </w:tc>
        <w:tc>
          <w:tcPr>
            <w:tcW w:w="576" w:type="dxa"/>
            <w:shd w:val="clear" w:color="auto" w:fill="auto"/>
            <w:vAlign w:val="center"/>
          </w:tcPr>
          <w:p w14:paraId="03962B7B" w14:textId="77777777" w:rsidR="008B0D1E" w:rsidRPr="00DD47DF" w:rsidRDefault="008B0D1E" w:rsidP="008B0D1E">
            <w:pPr>
              <w:pStyle w:val="Tabulka"/>
              <w:rPr>
                <w:rFonts w:cs="Calibri"/>
              </w:rPr>
            </w:pPr>
          </w:p>
        </w:tc>
        <w:tc>
          <w:tcPr>
            <w:tcW w:w="1756" w:type="dxa"/>
            <w:shd w:val="clear" w:color="auto" w:fill="auto"/>
            <w:vAlign w:val="center"/>
          </w:tcPr>
          <w:p w14:paraId="330ECD73" w14:textId="77777777" w:rsidR="008B0D1E" w:rsidRPr="00DD47DF" w:rsidRDefault="008B0D1E" w:rsidP="008B0D1E">
            <w:pPr>
              <w:pStyle w:val="Tabulka"/>
              <w:jc w:val="right"/>
              <w:rPr>
                <w:rFonts w:cs="Calibri"/>
              </w:rPr>
            </w:pPr>
          </w:p>
        </w:tc>
      </w:tr>
      <w:tr w:rsidR="008B0D1E" w:rsidRPr="00DD47DF" w14:paraId="017CBB11" w14:textId="77777777">
        <w:tc>
          <w:tcPr>
            <w:tcW w:w="624" w:type="dxa"/>
            <w:shd w:val="clear" w:color="auto" w:fill="auto"/>
            <w:vAlign w:val="center"/>
          </w:tcPr>
          <w:p w14:paraId="77B466F7" w14:textId="676193AB" w:rsidR="008B0D1E" w:rsidRPr="00DD47DF" w:rsidRDefault="008B0D1E" w:rsidP="008B0D1E">
            <w:pPr>
              <w:pStyle w:val="Tabulka"/>
              <w:rPr>
                <w:rFonts w:cs="Calibri"/>
              </w:rPr>
            </w:pPr>
            <w:r w:rsidRPr="00DD47DF">
              <w:rPr>
                <w:rFonts w:cs="Calibri"/>
              </w:rPr>
              <w:t>069</w:t>
            </w:r>
          </w:p>
        </w:tc>
        <w:tc>
          <w:tcPr>
            <w:tcW w:w="1707" w:type="dxa"/>
            <w:shd w:val="clear" w:color="auto" w:fill="auto"/>
            <w:vAlign w:val="center"/>
          </w:tcPr>
          <w:p w14:paraId="5EDF142E" w14:textId="256AF2DF" w:rsidR="008B0D1E" w:rsidRPr="001A705B" w:rsidRDefault="008B0D1E" w:rsidP="008B0D1E">
            <w:pPr>
              <w:pStyle w:val="Tabulka"/>
              <w:jc w:val="right"/>
              <w:rPr>
                <w:rFonts w:cs="Calibri"/>
              </w:rPr>
            </w:pPr>
            <w:r w:rsidRPr="00700E39">
              <w:rPr>
                <w:color w:val="000000"/>
              </w:rPr>
              <w:t>50 539 796</w:t>
            </w:r>
          </w:p>
        </w:tc>
        <w:tc>
          <w:tcPr>
            <w:tcW w:w="561" w:type="dxa"/>
            <w:shd w:val="clear" w:color="auto" w:fill="auto"/>
            <w:vAlign w:val="center"/>
          </w:tcPr>
          <w:p w14:paraId="2F160BB1" w14:textId="77777777" w:rsidR="008B0D1E" w:rsidRPr="00DD47DF" w:rsidRDefault="008B0D1E" w:rsidP="008B0D1E">
            <w:pPr>
              <w:pStyle w:val="Tabulka"/>
              <w:rPr>
                <w:rFonts w:cs="Calibri"/>
              </w:rPr>
            </w:pPr>
          </w:p>
        </w:tc>
        <w:tc>
          <w:tcPr>
            <w:tcW w:w="1771" w:type="dxa"/>
            <w:shd w:val="clear" w:color="auto" w:fill="auto"/>
            <w:vAlign w:val="center"/>
          </w:tcPr>
          <w:p w14:paraId="7BCB5D1D" w14:textId="77777777" w:rsidR="008B0D1E" w:rsidRPr="00DD47DF" w:rsidRDefault="008B0D1E" w:rsidP="008B0D1E">
            <w:pPr>
              <w:pStyle w:val="Tabulka"/>
              <w:jc w:val="right"/>
              <w:rPr>
                <w:rFonts w:cs="Calibri"/>
              </w:rPr>
            </w:pPr>
          </w:p>
        </w:tc>
        <w:tc>
          <w:tcPr>
            <w:tcW w:w="639" w:type="dxa"/>
            <w:shd w:val="clear" w:color="auto" w:fill="auto"/>
            <w:vAlign w:val="center"/>
          </w:tcPr>
          <w:p w14:paraId="43C01D3E" w14:textId="77777777" w:rsidR="008B0D1E" w:rsidRPr="00DD47DF" w:rsidRDefault="008B0D1E" w:rsidP="008B0D1E">
            <w:pPr>
              <w:pStyle w:val="Tabulka"/>
              <w:rPr>
                <w:rFonts w:cs="Calibri"/>
              </w:rPr>
            </w:pPr>
          </w:p>
        </w:tc>
        <w:tc>
          <w:tcPr>
            <w:tcW w:w="1692" w:type="dxa"/>
            <w:shd w:val="clear" w:color="auto" w:fill="auto"/>
            <w:vAlign w:val="center"/>
          </w:tcPr>
          <w:p w14:paraId="3C2EA92B" w14:textId="77777777" w:rsidR="008B0D1E" w:rsidRPr="00DD47DF" w:rsidRDefault="008B0D1E" w:rsidP="008B0D1E">
            <w:pPr>
              <w:pStyle w:val="Tabulka"/>
              <w:jc w:val="right"/>
              <w:rPr>
                <w:rFonts w:cs="Calibri"/>
              </w:rPr>
            </w:pPr>
          </w:p>
        </w:tc>
        <w:tc>
          <w:tcPr>
            <w:tcW w:w="576" w:type="dxa"/>
            <w:shd w:val="clear" w:color="auto" w:fill="auto"/>
            <w:vAlign w:val="center"/>
          </w:tcPr>
          <w:p w14:paraId="651CA1B3" w14:textId="77777777" w:rsidR="008B0D1E" w:rsidRPr="00DD47DF" w:rsidRDefault="008B0D1E" w:rsidP="008B0D1E">
            <w:pPr>
              <w:pStyle w:val="Tabulka"/>
              <w:rPr>
                <w:rFonts w:cs="Calibri"/>
              </w:rPr>
            </w:pPr>
          </w:p>
        </w:tc>
        <w:tc>
          <w:tcPr>
            <w:tcW w:w="1756" w:type="dxa"/>
            <w:shd w:val="clear" w:color="auto" w:fill="auto"/>
            <w:vAlign w:val="center"/>
          </w:tcPr>
          <w:p w14:paraId="16742A05" w14:textId="77777777" w:rsidR="008B0D1E" w:rsidRPr="00DD47DF" w:rsidRDefault="008B0D1E" w:rsidP="008B0D1E">
            <w:pPr>
              <w:pStyle w:val="Tabulka"/>
              <w:jc w:val="right"/>
              <w:rPr>
                <w:rFonts w:cs="Calibri"/>
              </w:rPr>
            </w:pPr>
          </w:p>
        </w:tc>
      </w:tr>
      <w:tr w:rsidR="008B0D1E" w:rsidRPr="00DD47DF" w14:paraId="5A10C8CF" w14:textId="77777777">
        <w:tc>
          <w:tcPr>
            <w:tcW w:w="624" w:type="dxa"/>
            <w:shd w:val="clear" w:color="auto" w:fill="auto"/>
            <w:vAlign w:val="center"/>
          </w:tcPr>
          <w:p w14:paraId="292125F6" w14:textId="12F41022" w:rsidR="008B0D1E" w:rsidRPr="00DD47DF" w:rsidRDefault="008B0D1E" w:rsidP="008B0D1E">
            <w:pPr>
              <w:pStyle w:val="Tabulka"/>
              <w:rPr>
                <w:rFonts w:cs="Calibri"/>
              </w:rPr>
            </w:pPr>
            <w:r w:rsidRPr="00DD47DF">
              <w:rPr>
                <w:rFonts w:cs="Calibri"/>
              </w:rPr>
              <w:t>070</w:t>
            </w:r>
          </w:p>
        </w:tc>
        <w:tc>
          <w:tcPr>
            <w:tcW w:w="1707" w:type="dxa"/>
            <w:shd w:val="clear" w:color="auto" w:fill="auto"/>
            <w:vAlign w:val="center"/>
          </w:tcPr>
          <w:p w14:paraId="77BA1D57" w14:textId="06FBE383" w:rsidR="008B0D1E" w:rsidRPr="001A705B" w:rsidRDefault="005272BB" w:rsidP="008B0D1E">
            <w:pPr>
              <w:pStyle w:val="Tabulka"/>
              <w:jc w:val="right"/>
              <w:rPr>
                <w:rFonts w:cs="Calibri"/>
              </w:rPr>
            </w:pPr>
            <w:r w:rsidRPr="005272BB">
              <w:rPr>
                <w:rFonts w:cs="Calibri"/>
              </w:rPr>
              <w:t>390 748 335</w:t>
            </w:r>
          </w:p>
        </w:tc>
        <w:tc>
          <w:tcPr>
            <w:tcW w:w="561" w:type="dxa"/>
            <w:shd w:val="clear" w:color="auto" w:fill="auto"/>
            <w:vAlign w:val="center"/>
          </w:tcPr>
          <w:p w14:paraId="3A04892E" w14:textId="77777777" w:rsidR="008B0D1E" w:rsidRPr="00DD47DF" w:rsidRDefault="008B0D1E" w:rsidP="008B0D1E">
            <w:pPr>
              <w:pStyle w:val="Tabulka"/>
              <w:rPr>
                <w:rFonts w:cs="Calibri"/>
              </w:rPr>
            </w:pPr>
          </w:p>
        </w:tc>
        <w:tc>
          <w:tcPr>
            <w:tcW w:w="1771" w:type="dxa"/>
            <w:shd w:val="clear" w:color="auto" w:fill="auto"/>
            <w:vAlign w:val="center"/>
          </w:tcPr>
          <w:p w14:paraId="5B0F819A" w14:textId="77777777" w:rsidR="008B0D1E" w:rsidRPr="00DD47DF" w:rsidRDefault="008B0D1E" w:rsidP="008B0D1E">
            <w:pPr>
              <w:pStyle w:val="Tabulka"/>
              <w:jc w:val="right"/>
              <w:rPr>
                <w:rFonts w:cs="Calibri"/>
              </w:rPr>
            </w:pPr>
          </w:p>
        </w:tc>
        <w:tc>
          <w:tcPr>
            <w:tcW w:w="639" w:type="dxa"/>
            <w:shd w:val="clear" w:color="auto" w:fill="auto"/>
            <w:vAlign w:val="center"/>
          </w:tcPr>
          <w:p w14:paraId="7CEBCD41" w14:textId="77777777" w:rsidR="008B0D1E" w:rsidRPr="00DD47DF" w:rsidRDefault="008B0D1E" w:rsidP="008B0D1E">
            <w:pPr>
              <w:pStyle w:val="Tabulka"/>
              <w:rPr>
                <w:rFonts w:cs="Calibri"/>
              </w:rPr>
            </w:pPr>
          </w:p>
        </w:tc>
        <w:tc>
          <w:tcPr>
            <w:tcW w:w="1692" w:type="dxa"/>
            <w:shd w:val="clear" w:color="auto" w:fill="auto"/>
            <w:vAlign w:val="center"/>
          </w:tcPr>
          <w:p w14:paraId="7D2E2E6C" w14:textId="77777777" w:rsidR="008B0D1E" w:rsidRPr="00DD47DF" w:rsidRDefault="008B0D1E" w:rsidP="008B0D1E">
            <w:pPr>
              <w:pStyle w:val="Tabulka"/>
              <w:jc w:val="right"/>
              <w:rPr>
                <w:rFonts w:cs="Calibri"/>
              </w:rPr>
            </w:pPr>
          </w:p>
        </w:tc>
        <w:tc>
          <w:tcPr>
            <w:tcW w:w="576" w:type="dxa"/>
            <w:shd w:val="clear" w:color="auto" w:fill="auto"/>
            <w:vAlign w:val="center"/>
          </w:tcPr>
          <w:p w14:paraId="6FB7D028" w14:textId="77777777" w:rsidR="008B0D1E" w:rsidRPr="00DD47DF" w:rsidRDefault="008B0D1E" w:rsidP="008B0D1E">
            <w:pPr>
              <w:pStyle w:val="Tabulka"/>
              <w:rPr>
                <w:rFonts w:cs="Calibri"/>
              </w:rPr>
            </w:pPr>
          </w:p>
        </w:tc>
        <w:tc>
          <w:tcPr>
            <w:tcW w:w="1756" w:type="dxa"/>
            <w:shd w:val="clear" w:color="auto" w:fill="auto"/>
            <w:vAlign w:val="center"/>
          </w:tcPr>
          <w:p w14:paraId="79B97029" w14:textId="77777777" w:rsidR="008B0D1E" w:rsidRPr="00DD47DF" w:rsidRDefault="008B0D1E" w:rsidP="008B0D1E">
            <w:pPr>
              <w:pStyle w:val="Tabulka"/>
              <w:jc w:val="right"/>
              <w:rPr>
                <w:rFonts w:cs="Calibri"/>
              </w:rPr>
            </w:pPr>
          </w:p>
        </w:tc>
      </w:tr>
    </w:tbl>
    <w:p w14:paraId="60B85122" w14:textId="77777777" w:rsidR="00B53995" w:rsidRPr="00DD47DF" w:rsidRDefault="00B53995" w:rsidP="00DA3512">
      <w:pPr>
        <w:pStyle w:val="kapitola2A0"/>
        <w:numPr>
          <w:ilvl w:val="2"/>
          <w:numId w:val="68"/>
        </w:numPr>
      </w:pPr>
      <w:bookmarkStart w:id="88" w:name="_Toc351464403"/>
      <w:bookmarkStart w:id="89" w:name="_Toc520445298"/>
      <w:r w:rsidRPr="00DD47DF">
        <w:t>Přehled plánovaného využití technické pomoci, je-li to nutné, včetně opatření na posílení správní kapacity orgánů zapojených do řízení a kontroly programů a příjemců (použije-li se)</w:t>
      </w:r>
      <w:bookmarkEnd w:id="89"/>
    </w:p>
    <w:p w14:paraId="1A0D6AA8" w14:textId="77777777" w:rsidR="000373F5" w:rsidRPr="00DD47DF" w:rsidRDefault="006F58B4" w:rsidP="000373F5">
      <w:pPr>
        <w:pStyle w:val="Standardntext"/>
        <w:rPr>
          <w:color w:val="FF0000"/>
        </w:rPr>
      </w:pPr>
      <w:r w:rsidRPr="00DD47DF">
        <w:t>Není relevantní pro OP PIK.</w:t>
      </w:r>
    </w:p>
    <w:p w14:paraId="0FC178B0" w14:textId="77777777" w:rsidR="001B7120" w:rsidRPr="00DD47DF" w:rsidRDefault="001B7120" w:rsidP="001B7120">
      <w:pPr>
        <w:pStyle w:val="Standardntext"/>
        <w:rPr>
          <w:color w:val="FF0000"/>
        </w:rPr>
      </w:pPr>
      <w:r w:rsidRPr="00DD47DF">
        <w:rPr>
          <w:color w:val="FF0000"/>
        </w:rPr>
        <w:br w:type="page"/>
      </w:r>
    </w:p>
    <w:p w14:paraId="0C3FC09F" w14:textId="77777777" w:rsidR="00B53995" w:rsidRPr="00DD47DF" w:rsidRDefault="00B53995" w:rsidP="005F43DF">
      <w:pPr>
        <w:pStyle w:val="kapitola2A0"/>
        <w:numPr>
          <w:ilvl w:val="2"/>
          <w:numId w:val="25"/>
        </w:numPr>
      </w:pPr>
      <w:bookmarkStart w:id="90" w:name="_Toc351464405"/>
      <w:bookmarkStart w:id="91" w:name="_Toc520445299"/>
      <w:bookmarkEnd w:id="88"/>
      <w:r w:rsidRPr="00DD47DF">
        <w:lastRenderedPageBreak/>
        <w:t>PRIORITNÍ OSA 4: Rozvoj vysokorychlostních přístupových sítí k internetu a informačních a komunikačních technologií</w:t>
      </w:r>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gridCol w:w="498"/>
      </w:tblGrid>
      <w:tr w:rsidR="00B53995" w:rsidRPr="00DD47DF" w14:paraId="37110E0E" w14:textId="77777777">
        <w:tc>
          <w:tcPr>
            <w:tcW w:w="4736" w:type="pct"/>
            <w:shd w:val="clear" w:color="auto" w:fill="auto"/>
            <w:vAlign w:val="center"/>
          </w:tcPr>
          <w:p w14:paraId="04CD4E96" w14:textId="77777777" w:rsidR="00B53995" w:rsidRPr="00DD47DF" w:rsidRDefault="00B53995" w:rsidP="00B53995">
            <w:pPr>
              <w:pStyle w:val="Tabulka"/>
              <w:jc w:val="left"/>
              <w:rPr>
                <w:rFonts w:cs="Calibri"/>
              </w:rPr>
            </w:pPr>
            <w:r w:rsidRPr="00DD47DF">
              <w:rPr>
                <w:rFonts w:cs="Calibri"/>
              </w:rPr>
              <w:t>Celá prioritní osa bude realizována výhradně prostřednictvím finančních nástrojů</w:t>
            </w:r>
          </w:p>
        </w:tc>
        <w:tc>
          <w:tcPr>
            <w:tcW w:w="264" w:type="pct"/>
            <w:shd w:val="clear" w:color="auto" w:fill="auto"/>
            <w:vAlign w:val="center"/>
          </w:tcPr>
          <w:p w14:paraId="534C7428" w14:textId="77777777" w:rsidR="00B53995" w:rsidRPr="00DD47DF" w:rsidRDefault="002756E7" w:rsidP="00B53995">
            <w:pPr>
              <w:pStyle w:val="Tabulka"/>
              <w:rPr>
                <w:rFonts w:cs="Calibri"/>
              </w:rPr>
            </w:pPr>
            <w:r w:rsidRPr="00DD47DF">
              <w:rPr>
                <w:rFonts w:cs="Calibri"/>
              </w:rPr>
              <w:fldChar w:fldCharType="begin">
                <w:ffData>
                  <w:name w:val="Check1"/>
                  <w:enabled/>
                  <w:calcOnExit w:val="0"/>
                  <w:checkBox>
                    <w:sizeAuto/>
                    <w:default w:val="0"/>
                  </w:checkBox>
                </w:ffData>
              </w:fldChar>
            </w:r>
            <w:r w:rsidR="00B53995" w:rsidRPr="00DD47DF">
              <w:rPr>
                <w:rFonts w:cs="Calibri"/>
              </w:rPr>
              <w:instrText xml:space="preserve"> FORMCHECKBOX </w:instrText>
            </w:r>
            <w:r w:rsidR="00AF6FE3">
              <w:rPr>
                <w:rFonts w:cs="Calibri"/>
              </w:rPr>
            </w:r>
            <w:r w:rsidR="00AF6FE3">
              <w:rPr>
                <w:rFonts w:cs="Calibri"/>
              </w:rPr>
              <w:fldChar w:fldCharType="separate"/>
            </w:r>
            <w:r w:rsidRPr="00DD47DF">
              <w:rPr>
                <w:rFonts w:cs="Calibri"/>
              </w:rPr>
              <w:fldChar w:fldCharType="end"/>
            </w:r>
          </w:p>
        </w:tc>
      </w:tr>
      <w:tr w:rsidR="00B53995" w:rsidRPr="00DD47DF" w14:paraId="2F53514F" w14:textId="77777777">
        <w:tc>
          <w:tcPr>
            <w:tcW w:w="4736" w:type="pct"/>
            <w:shd w:val="clear" w:color="auto" w:fill="auto"/>
            <w:vAlign w:val="center"/>
          </w:tcPr>
          <w:p w14:paraId="2454FBAA" w14:textId="77777777" w:rsidR="00B53995" w:rsidRPr="00DD47DF" w:rsidRDefault="00B53995" w:rsidP="00B53995">
            <w:pPr>
              <w:pStyle w:val="Tabulka"/>
              <w:jc w:val="left"/>
              <w:rPr>
                <w:rFonts w:cs="Calibri"/>
              </w:rPr>
            </w:pPr>
            <w:r w:rsidRPr="00DD47DF">
              <w:rPr>
                <w:rFonts w:cs="Calibri"/>
              </w:rPr>
              <w:t>Celá prioritní osa bude realizována výhradně prostřednictvím finančních nástrojů zřízených na úrovni Unie</w:t>
            </w:r>
          </w:p>
        </w:tc>
        <w:tc>
          <w:tcPr>
            <w:tcW w:w="264" w:type="pct"/>
            <w:shd w:val="clear" w:color="auto" w:fill="auto"/>
            <w:vAlign w:val="center"/>
          </w:tcPr>
          <w:p w14:paraId="6B4774A8" w14:textId="77777777" w:rsidR="00B53995" w:rsidRPr="00DD47DF" w:rsidRDefault="002756E7" w:rsidP="00B53995">
            <w:pPr>
              <w:pStyle w:val="Tabulka"/>
              <w:rPr>
                <w:rFonts w:cs="Calibri"/>
              </w:rPr>
            </w:pPr>
            <w:r w:rsidRPr="00DD47DF">
              <w:rPr>
                <w:rFonts w:cs="Calibri"/>
              </w:rPr>
              <w:fldChar w:fldCharType="begin">
                <w:ffData>
                  <w:name w:val="Check1"/>
                  <w:enabled/>
                  <w:calcOnExit w:val="0"/>
                  <w:checkBox>
                    <w:sizeAuto/>
                    <w:default w:val="0"/>
                  </w:checkBox>
                </w:ffData>
              </w:fldChar>
            </w:r>
            <w:r w:rsidR="00B53995" w:rsidRPr="00DD47DF">
              <w:rPr>
                <w:rFonts w:cs="Calibri"/>
              </w:rPr>
              <w:instrText xml:space="preserve"> FORMCHECKBOX </w:instrText>
            </w:r>
            <w:r w:rsidR="00AF6FE3">
              <w:rPr>
                <w:rFonts w:cs="Calibri"/>
              </w:rPr>
            </w:r>
            <w:r w:rsidR="00AF6FE3">
              <w:rPr>
                <w:rFonts w:cs="Calibri"/>
              </w:rPr>
              <w:fldChar w:fldCharType="separate"/>
            </w:r>
            <w:r w:rsidRPr="00DD47DF">
              <w:rPr>
                <w:rFonts w:cs="Calibri"/>
              </w:rPr>
              <w:fldChar w:fldCharType="end"/>
            </w:r>
          </w:p>
        </w:tc>
      </w:tr>
      <w:tr w:rsidR="00B53995" w:rsidRPr="00DD47DF" w14:paraId="220501FA" w14:textId="77777777">
        <w:tc>
          <w:tcPr>
            <w:tcW w:w="4736" w:type="pct"/>
            <w:shd w:val="clear" w:color="auto" w:fill="auto"/>
            <w:vAlign w:val="center"/>
          </w:tcPr>
          <w:p w14:paraId="2A631C57" w14:textId="77777777" w:rsidR="00B53995" w:rsidRPr="00DD47DF" w:rsidRDefault="00B53995" w:rsidP="00B53995">
            <w:pPr>
              <w:pStyle w:val="Tabulka"/>
              <w:jc w:val="left"/>
              <w:rPr>
                <w:rFonts w:cs="Calibri"/>
              </w:rPr>
            </w:pPr>
            <w:r w:rsidRPr="00DD47DF">
              <w:rPr>
                <w:rFonts w:cs="Calibri"/>
              </w:rPr>
              <w:t>Celá prioritní osa bude realizována výhradně prostřednictvím komunitně vedeného místního rozvoje</w:t>
            </w:r>
          </w:p>
        </w:tc>
        <w:tc>
          <w:tcPr>
            <w:tcW w:w="264" w:type="pct"/>
            <w:shd w:val="clear" w:color="auto" w:fill="auto"/>
            <w:vAlign w:val="center"/>
          </w:tcPr>
          <w:p w14:paraId="37430AE0" w14:textId="77777777" w:rsidR="00B53995" w:rsidRPr="00DD47DF" w:rsidRDefault="002756E7" w:rsidP="00B53995">
            <w:pPr>
              <w:pStyle w:val="Tabulka"/>
              <w:rPr>
                <w:rFonts w:cs="Calibri"/>
              </w:rPr>
            </w:pPr>
            <w:r w:rsidRPr="00DD47DF">
              <w:rPr>
                <w:rFonts w:cs="Calibri"/>
              </w:rPr>
              <w:fldChar w:fldCharType="begin">
                <w:ffData>
                  <w:name w:val="Check1"/>
                  <w:enabled/>
                  <w:calcOnExit w:val="0"/>
                  <w:checkBox>
                    <w:sizeAuto/>
                    <w:default w:val="0"/>
                  </w:checkBox>
                </w:ffData>
              </w:fldChar>
            </w:r>
            <w:r w:rsidR="00B53995" w:rsidRPr="00DD47DF">
              <w:rPr>
                <w:rFonts w:cs="Calibri"/>
              </w:rPr>
              <w:instrText xml:space="preserve"> FORMCHECKBOX </w:instrText>
            </w:r>
            <w:r w:rsidR="00AF6FE3">
              <w:rPr>
                <w:rFonts w:cs="Calibri"/>
              </w:rPr>
            </w:r>
            <w:r w:rsidR="00AF6FE3">
              <w:rPr>
                <w:rFonts w:cs="Calibri"/>
              </w:rPr>
              <w:fldChar w:fldCharType="separate"/>
            </w:r>
            <w:r w:rsidRPr="00DD47DF">
              <w:rPr>
                <w:rFonts w:cs="Calibri"/>
              </w:rPr>
              <w:fldChar w:fldCharType="end"/>
            </w:r>
          </w:p>
        </w:tc>
      </w:tr>
    </w:tbl>
    <w:p w14:paraId="35299C0D" w14:textId="77777777" w:rsidR="00B53995" w:rsidRPr="00DD47DF" w:rsidRDefault="00B53995" w:rsidP="005F43DF">
      <w:pPr>
        <w:pStyle w:val="kapitola2A0"/>
        <w:numPr>
          <w:ilvl w:val="2"/>
          <w:numId w:val="25"/>
        </w:numPr>
      </w:pPr>
      <w:bookmarkStart w:id="92" w:name="_Toc520445300"/>
      <w:r w:rsidRPr="00DD47DF">
        <w:t>Odůvodnění pro vytvoření prioritní osy, která zahrnuje více než jednu kategorii regionů nebo více než jeden tematický cíl či fond (použije-li se)</w:t>
      </w:r>
      <w:bookmarkEnd w:id="92"/>
    </w:p>
    <w:p w14:paraId="18547C76" w14:textId="77777777" w:rsidR="00B53995" w:rsidRPr="00DD47DF" w:rsidRDefault="00B53995" w:rsidP="00B53995">
      <w:pPr>
        <w:pStyle w:val="Standardntext"/>
      </w:pPr>
      <w:r w:rsidRPr="00DD47DF">
        <w:t>Není relevantní pro OP PIK.</w:t>
      </w:r>
    </w:p>
    <w:p w14:paraId="7C377742" w14:textId="77777777" w:rsidR="00B53995" w:rsidRPr="00DD47DF" w:rsidRDefault="00B53995" w:rsidP="005F43DF">
      <w:pPr>
        <w:pStyle w:val="kapitola2A0"/>
        <w:numPr>
          <w:ilvl w:val="2"/>
          <w:numId w:val="25"/>
        </w:numPr>
      </w:pPr>
      <w:bookmarkStart w:id="93" w:name="_Toc520445301"/>
      <w:r w:rsidRPr="00DD47DF">
        <w:t>Fond, kategorie regionů a základ pro výpočet podpory Unie</w:t>
      </w:r>
      <w:bookmarkEnd w:id="93"/>
    </w:p>
    <w:p w14:paraId="76E7083F" w14:textId="77777777" w:rsidR="00B53995" w:rsidRPr="00DD47DF" w:rsidRDefault="00B53995" w:rsidP="00B53995">
      <w:pPr>
        <w:pStyle w:val="Standardntext"/>
      </w:pPr>
      <w:r w:rsidRPr="00DD47DF">
        <w:t>Fond: Evropský fond pro regionální rozvoj</w:t>
      </w:r>
    </w:p>
    <w:p w14:paraId="18346109" w14:textId="77777777" w:rsidR="00B53995" w:rsidRPr="00DD47DF" w:rsidRDefault="00B53995" w:rsidP="00B53995">
      <w:pPr>
        <w:pStyle w:val="Standardntext"/>
      </w:pPr>
      <w:r w:rsidRPr="00DD47DF">
        <w:t>Kategorie regionů: Méně rozvinuté regiony</w:t>
      </w:r>
    </w:p>
    <w:p w14:paraId="2C7B4B65" w14:textId="77777777" w:rsidR="00B53995" w:rsidRPr="00DD47DF" w:rsidRDefault="008668C8" w:rsidP="00B53995">
      <w:pPr>
        <w:pStyle w:val="Standardntext"/>
      </w:pPr>
      <w:r w:rsidRPr="00DD47DF">
        <w:t xml:space="preserve">Základ pro výpočet: </w:t>
      </w:r>
      <w:r w:rsidR="009B6147" w:rsidRPr="00DD47DF">
        <w:t>celkové způsobilé výdaje</w:t>
      </w:r>
    </w:p>
    <w:p w14:paraId="11083337" w14:textId="77777777" w:rsidR="00B53995" w:rsidRPr="00DD47DF" w:rsidRDefault="00B53995" w:rsidP="005F43DF">
      <w:pPr>
        <w:pStyle w:val="kapitola2A0"/>
        <w:numPr>
          <w:ilvl w:val="2"/>
          <w:numId w:val="25"/>
        </w:numPr>
      </w:pPr>
      <w:bookmarkStart w:id="94" w:name="_Toc520445302"/>
      <w:r w:rsidRPr="00DD47DF">
        <w:t>INVESTIČNÍ PRIORITA 1 prioritní osy 4: Rozšiřování širokopásmového připojení a zavádění vysokorychlostních sítí a podpora zavádění vznikajících technologií a sítí pro digitální hospodářství</w:t>
      </w:r>
      <w:bookmarkEnd w:id="94"/>
    </w:p>
    <w:p w14:paraId="02A19070" w14:textId="77777777" w:rsidR="00150199" w:rsidRPr="00DD47DF" w:rsidRDefault="008C7D72" w:rsidP="005F43DF">
      <w:pPr>
        <w:pStyle w:val="kapitola2A0"/>
        <w:numPr>
          <w:ilvl w:val="2"/>
          <w:numId w:val="25"/>
        </w:numPr>
      </w:pPr>
      <w:bookmarkStart w:id="95" w:name="_Toc520445303"/>
      <w:r w:rsidRPr="00DD47DF">
        <w:t>Specifické cíle odpovídající investiční prioritě a očekávané výsledky</w:t>
      </w:r>
      <w:bookmarkEnd w:id="95"/>
    </w:p>
    <w:p w14:paraId="0B2EC8CC" w14:textId="77777777" w:rsidR="00150199" w:rsidRPr="00DD47DF" w:rsidRDefault="00150199" w:rsidP="00396141">
      <w:pPr>
        <w:pStyle w:val="Modrnadpis"/>
      </w:pPr>
      <w:r w:rsidRPr="00DD47DF">
        <w:t xml:space="preserve">SPECIFICKÝ CÍL </w:t>
      </w:r>
      <w:r w:rsidR="00C71E6F" w:rsidRPr="00DD47DF">
        <w:t>4.</w:t>
      </w:r>
      <w:r w:rsidRPr="00DD47DF">
        <w:t>1: Zvětš</w:t>
      </w:r>
      <w:r w:rsidR="00771951" w:rsidRPr="00DD47DF">
        <w:t xml:space="preserve">it </w:t>
      </w:r>
      <w:r w:rsidRPr="00DD47DF">
        <w:t xml:space="preserve">pokrytí vysokorychlostním přístupem k internetu </w:t>
      </w:r>
    </w:p>
    <w:bookmarkEnd w:id="90"/>
    <w:p w14:paraId="1CD9DEC1" w14:textId="77777777" w:rsidR="00FF3BA2" w:rsidRPr="00DD47DF" w:rsidRDefault="00FF3BA2" w:rsidP="009836D4">
      <w:pPr>
        <w:pStyle w:val="Standardntext"/>
      </w:pPr>
      <w:r w:rsidRPr="00DD47DF">
        <w:t xml:space="preserve">Sítě pro vysokorychlostní přístup k internetu </w:t>
      </w:r>
      <w:r w:rsidR="003F0354" w:rsidRPr="00DD47DF">
        <w:t>umožňující přenosovou rychlost alespoň 30 Mbit/s</w:t>
      </w:r>
      <w:r w:rsidRPr="00DD47DF">
        <w:t xml:space="preserve"> patří mezi základní infrastrukturu státu a jsou významným komunikačním prostředkem moderního hospodářství, nepostradatelným nástrojem znalostní společnosti, v níž se uskutečňuje dělba práce a která se orientuje na produkci služeb s</w:t>
      </w:r>
      <w:r w:rsidR="007408D9" w:rsidRPr="00DD47DF">
        <w:t> </w:t>
      </w:r>
      <w:r w:rsidRPr="00DD47DF">
        <w:t>vysokou</w:t>
      </w:r>
      <w:r w:rsidR="007408D9" w:rsidRPr="00DD47DF">
        <w:t xml:space="preserve"> přidanou</w:t>
      </w:r>
      <w:r w:rsidRPr="00DD47DF">
        <w:t xml:space="preserve"> hodnotou. </w:t>
      </w:r>
      <w:r w:rsidR="00FF329A" w:rsidRPr="00DD47DF">
        <w:t>Hlavním cílem je růst konkurenceschopnosti ekonomiky založený</w:t>
      </w:r>
      <w:r w:rsidR="002449A8" w:rsidRPr="00DD47DF">
        <w:t xml:space="preserve"> na</w:t>
      </w:r>
      <w:r w:rsidR="00FF329A" w:rsidRPr="00DD47DF">
        <w:t xml:space="preserve"> moderních vysokorychlostních přístupových sítí k internetu.</w:t>
      </w:r>
    </w:p>
    <w:p w14:paraId="6D4355C3" w14:textId="77777777" w:rsidR="003F4488" w:rsidRPr="00DD47DF" w:rsidRDefault="003508A9" w:rsidP="00396141">
      <w:pPr>
        <w:pStyle w:val="Modrnadpis"/>
      </w:pPr>
      <w:r w:rsidRPr="00DD47DF">
        <w:t>Výsledky, kterých chce ČR dosáhnout s podporou Unie</w:t>
      </w:r>
    </w:p>
    <w:p w14:paraId="4B3E0B9E" w14:textId="77777777" w:rsidR="00B94C32" w:rsidRPr="00DD47DF" w:rsidRDefault="00DF1FBB" w:rsidP="00FB3387">
      <w:pPr>
        <w:pStyle w:val="Standardntext"/>
        <w:numPr>
          <w:ilvl w:val="0"/>
          <w:numId w:val="36"/>
        </w:numPr>
        <w:rPr>
          <w:sz w:val="20"/>
          <w:szCs w:val="20"/>
        </w:rPr>
      </w:pPr>
      <w:r w:rsidRPr="00DD47DF">
        <w:t>V</w:t>
      </w:r>
      <w:r w:rsidR="00B94C32" w:rsidRPr="00DD47DF">
        <w:t>ybudování dostatečně rozvinuté a dostupné technologické základny v ČR v podobě adekvátní infrastruktury umožňující vysokorychlostní přístup k internetu</w:t>
      </w:r>
      <w:r w:rsidR="00B94C32" w:rsidRPr="00DD47DF">
        <w:rPr>
          <w:color w:val="000000"/>
        </w:rPr>
        <w:t xml:space="preserve"> na území bez stávající možnosti přístupu k vysokorychlostnímu internetu nebo s možností </w:t>
      </w:r>
      <w:r w:rsidR="003F0354" w:rsidRPr="00DD47DF">
        <w:rPr>
          <w:color w:val="000000"/>
        </w:rPr>
        <w:t xml:space="preserve">vysokorychlostního </w:t>
      </w:r>
      <w:r w:rsidR="00B94C32" w:rsidRPr="00DD47DF">
        <w:rPr>
          <w:color w:val="000000"/>
        </w:rPr>
        <w:t>přístupu k internetu prostřednictvím pouze jednoho poskytovatele</w:t>
      </w:r>
      <w:r w:rsidRPr="00DD47DF">
        <w:rPr>
          <w:color w:val="000000"/>
        </w:rPr>
        <w:t>.</w:t>
      </w:r>
      <w:r w:rsidR="00CD5F80" w:rsidRPr="00DD47DF">
        <w:rPr>
          <w:rStyle w:val="Znakapoznpodarou"/>
          <w:color w:val="000000"/>
        </w:rPr>
        <w:footnoteReference w:id="71"/>
      </w:r>
    </w:p>
    <w:p w14:paraId="265092AD" w14:textId="77777777" w:rsidR="003F4488" w:rsidRPr="00DD47DF" w:rsidRDefault="00DF1FBB" w:rsidP="00FB3387">
      <w:pPr>
        <w:pStyle w:val="Standardntext"/>
        <w:numPr>
          <w:ilvl w:val="0"/>
          <w:numId w:val="36"/>
        </w:numPr>
        <w:rPr>
          <w:sz w:val="20"/>
          <w:szCs w:val="20"/>
        </w:rPr>
      </w:pPr>
      <w:r w:rsidRPr="00DD47DF">
        <w:rPr>
          <w:color w:val="000000"/>
        </w:rPr>
        <w:t>Z</w:t>
      </w:r>
      <w:r w:rsidR="00B94C32" w:rsidRPr="00DD47DF">
        <w:t>lepšení parametrů této infrastruktury jako jsou rychlost, kapacita a bezpečnost</w:t>
      </w:r>
      <w:r w:rsidR="00DC56C8" w:rsidRPr="00DD47DF">
        <w:t>.</w:t>
      </w:r>
    </w:p>
    <w:p w14:paraId="7C17CE5C" w14:textId="77777777" w:rsidR="005C4BA0" w:rsidRPr="00DD47DF" w:rsidRDefault="00847094" w:rsidP="00FB3387">
      <w:pPr>
        <w:pStyle w:val="Standardntext"/>
        <w:numPr>
          <w:ilvl w:val="0"/>
          <w:numId w:val="36"/>
        </w:numPr>
        <w:rPr>
          <w:color w:val="000000"/>
        </w:rPr>
      </w:pPr>
      <w:r w:rsidRPr="00DD47DF">
        <w:lastRenderedPageBreak/>
        <w:t>Usnadnění rozvoje podnikání a</w:t>
      </w:r>
      <w:r w:rsidR="005C4BA0" w:rsidRPr="00DD47DF">
        <w:t xml:space="preserve"> přístupu ke službám státu </w:t>
      </w:r>
      <w:r w:rsidR="00DC56C8" w:rsidRPr="00DD47DF">
        <w:t>jak pro obyvatelstvo, tak pro podnikatelský sektor. S tím souvisí</w:t>
      </w:r>
      <w:r w:rsidR="005C4BA0" w:rsidRPr="00DD47DF">
        <w:t xml:space="preserve"> </w:t>
      </w:r>
      <w:r w:rsidR="005C4BA0" w:rsidRPr="00DD47DF">
        <w:rPr>
          <w:color w:val="000000"/>
        </w:rPr>
        <w:t xml:space="preserve">růst </w:t>
      </w:r>
      <w:r w:rsidRPr="00DD47DF">
        <w:rPr>
          <w:color w:val="000000"/>
        </w:rPr>
        <w:t>hrubého domácího produktu</w:t>
      </w:r>
      <w:r w:rsidR="00DC56C8" w:rsidRPr="00DD47DF">
        <w:rPr>
          <w:rStyle w:val="Znakapoznpodarou"/>
          <w:color w:val="000000"/>
        </w:rPr>
        <w:footnoteReference w:id="72"/>
      </w:r>
      <w:r w:rsidR="005C4BA0" w:rsidRPr="00DD47DF">
        <w:rPr>
          <w:color w:val="000000"/>
        </w:rPr>
        <w:t xml:space="preserve"> a </w:t>
      </w:r>
      <w:r w:rsidRPr="00DD47DF">
        <w:rPr>
          <w:color w:val="000000"/>
        </w:rPr>
        <w:t xml:space="preserve">zvyšování </w:t>
      </w:r>
      <w:r w:rsidR="005C4BA0" w:rsidRPr="00DD47DF">
        <w:rPr>
          <w:color w:val="000000"/>
        </w:rPr>
        <w:t>zaměstnanosti</w:t>
      </w:r>
      <w:r w:rsidR="00DC56C8" w:rsidRPr="00DD47DF">
        <w:rPr>
          <w:rStyle w:val="Znakapoznpodarou"/>
          <w:color w:val="000000"/>
        </w:rPr>
        <w:footnoteReference w:id="73"/>
      </w:r>
      <w:r w:rsidR="005C4BA0" w:rsidRPr="00DD47DF">
        <w:rPr>
          <w:color w:val="000000"/>
        </w:rPr>
        <w:t xml:space="preserve"> v</w:t>
      </w:r>
      <w:r w:rsidRPr="00DD47DF">
        <w:rPr>
          <w:color w:val="000000"/>
        </w:rPr>
        <w:t> ekonomice jako celku</w:t>
      </w:r>
      <w:r w:rsidR="005C4BA0" w:rsidRPr="00DD47DF">
        <w:rPr>
          <w:color w:val="000000"/>
        </w:rPr>
        <w:t>.</w:t>
      </w:r>
    </w:p>
    <w:p w14:paraId="3854A59F" w14:textId="77777777" w:rsidR="00847094" w:rsidRPr="00DD47DF" w:rsidRDefault="00847094" w:rsidP="00FB3387">
      <w:pPr>
        <w:pStyle w:val="Standardntext"/>
        <w:numPr>
          <w:ilvl w:val="0"/>
          <w:numId w:val="36"/>
        </w:numPr>
        <w:rPr>
          <w:color w:val="000000"/>
        </w:rPr>
      </w:pPr>
      <w:r w:rsidRPr="00DD47DF">
        <w:t>Rozšíření nabídky</w:t>
      </w:r>
      <w:r w:rsidR="006C3009" w:rsidRPr="00DD47DF">
        <w:t xml:space="preserve"> moderních a pokrokových</w:t>
      </w:r>
      <w:r w:rsidRPr="00DD47DF">
        <w:t xml:space="preserve"> digitálních služeb </w:t>
      </w:r>
      <w:r w:rsidR="006C3009" w:rsidRPr="00DD47DF">
        <w:t xml:space="preserve">a aplikací </w:t>
      </w:r>
      <w:r w:rsidRPr="00DD47DF">
        <w:t xml:space="preserve">např. v oblasti komunikace, zábavy, obchodování, vzdělávání, zdravotnictví </w:t>
      </w:r>
      <w:r w:rsidR="006C3009" w:rsidRPr="00DD47DF">
        <w:t>nebo</w:t>
      </w:r>
      <w:r w:rsidRPr="00DD47DF">
        <w:t xml:space="preserve"> přístupu k zaměstnání.</w:t>
      </w:r>
    </w:p>
    <w:p w14:paraId="22628487" w14:textId="77777777" w:rsidR="00A6030D" w:rsidRPr="00DD47DF" w:rsidRDefault="00DF1FBB" w:rsidP="00FB3387">
      <w:pPr>
        <w:pStyle w:val="Standardntext"/>
        <w:numPr>
          <w:ilvl w:val="0"/>
          <w:numId w:val="36"/>
        </w:numPr>
        <w:rPr>
          <w:color w:val="000000"/>
        </w:rPr>
      </w:pPr>
      <w:r w:rsidRPr="00DD47DF">
        <w:rPr>
          <w:color w:val="000000"/>
        </w:rPr>
        <w:t>P</w:t>
      </w:r>
      <w:r w:rsidR="00B94C32" w:rsidRPr="00DD47DF">
        <w:rPr>
          <w:color w:val="000000"/>
        </w:rPr>
        <w:t>řekonání tzv. „digitální propasti“</w:t>
      </w:r>
      <w:r w:rsidR="008A5FCE" w:rsidRPr="00DD47DF">
        <w:rPr>
          <w:color w:val="000000"/>
        </w:rPr>
        <w:t xml:space="preserve"> </w:t>
      </w:r>
      <w:r w:rsidR="008A5FCE" w:rsidRPr="00DD47DF">
        <w:t>mezi městskými a venkovskými oblastmi</w:t>
      </w:r>
      <w:r w:rsidR="00B94C32" w:rsidRPr="00DD47DF">
        <w:rPr>
          <w:color w:val="000000"/>
        </w:rPr>
        <w:t xml:space="preserve"> z hledis</w:t>
      </w:r>
      <w:r w:rsidR="00127389" w:rsidRPr="00DD47DF">
        <w:rPr>
          <w:color w:val="000000"/>
        </w:rPr>
        <w:t>e</w:t>
      </w:r>
      <w:r w:rsidR="00B94C32" w:rsidRPr="00DD47DF">
        <w:rPr>
          <w:color w:val="000000"/>
        </w:rPr>
        <w:t>k</w:t>
      </w:r>
      <w:r w:rsidR="008A5FCE" w:rsidRPr="00DD47DF">
        <w:t>, ve kterých nelze soukromé investice na komerční bázi očekávat</w:t>
      </w:r>
      <w:r w:rsidR="00B94C32" w:rsidRPr="00DD47DF">
        <w:rPr>
          <w:color w:val="000000"/>
        </w:rPr>
        <w:t xml:space="preserve">. </w:t>
      </w:r>
      <w:r w:rsidR="008A5FCE" w:rsidRPr="00DD47DF">
        <w:rPr>
          <w:color w:val="000000"/>
        </w:rPr>
        <w:t>Výsledkem bude</w:t>
      </w:r>
      <w:r w:rsidR="00847094" w:rsidRPr="00DD47DF">
        <w:rPr>
          <w:color w:val="000000"/>
        </w:rPr>
        <w:t xml:space="preserve"> z</w:t>
      </w:r>
      <w:r w:rsidR="00A6030D" w:rsidRPr="00DD47DF">
        <w:t xml:space="preserve">výšení konkurenceschopnosti periferních regionů, které bude </w:t>
      </w:r>
      <w:r w:rsidR="008A5FCE" w:rsidRPr="00DD47DF">
        <w:t xml:space="preserve">současně </w:t>
      </w:r>
      <w:r w:rsidR="00A6030D" w:rsidRPr="00DD47DF">
        <w:t>působit jako prevence proti přemísťování hospodářské činnosti.</w:t>
      </w:r>
    </w:p>
    <w:p w14:paraId="3882F8A0" w14:textId="77777777" w:rsidR="00DF1FBB" w:rsidRPr="00DD47DF" w:rsidRDefault="001D7C5F" w:rsidP="00FB3387">
      <w:pPr>
        <w:pStyle w:val="Standardntext"/>
        <w:numPr>
          <w:ilvl w:val="0"/>
          <w:numId w:val="36"/>
        </w:numPr>
        <w:rPr>
          <w:color w:val="000000"/>
        </w:rPr>
      </w:pPr>
      <w:r w:rsidRPr="00DD47DF">
        <w:rPr>
          <w:color w:val="000000"/>
        </w:rPr>
        <w:t>Zvýšení dostupnosti ICT pro všechny bez ohledu na lokalitu, sociální postavení nebo zdravotní postižení a dále podpora celoživotního vzdělávání za účelem posílení digitální gramotnosti a snazší</w:t>
      </w:r>
      <w:r w:rsidR="00DF1FBB" w:rsidRPr="00DD47DF">
        <w:rPr>
          <w:color w:val="000000"/>
        </w:rPr>
        <w:t xml:space="preserve"> začlenění </w:t>
      </w:r>
      <w:r w:rsidR="008D79C2" w:rsidRPr="00DD47DF">
        <w:rPr>
          <w:color w:val="000000"/>
        </w:rPr>
        <w:t>se</w:t>
      </w:r>
      <w:r w:rsidR="00DF1FBB" w:rsidRPr="00DD47DF">
        <w:rPr>
          <w:color w:val="000000"/>
        </w:rPr>
        <w:t xml:space="preserve"> do informační společnosti.</w:t>
      </w:r>
    </w:p>
    <w:p w14:paraId="1388D3D7" w14:textId="77777777" w:rsidR="00150199" w:rsidRPr="00DD47DF" w:rsidRDefault="00150199" w:rsidP="00EA74FF">
      <w:pPr>
        <w:pStyle w:val="Titulek"/>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0" w:type="auto"/>
        <w:tblCellMar>
          <w:left w:w="57" w:type="dxa"/>
          <w:right w:w="57" w:type="dxa"/>
        </w:tblCellMar>
        <w:tblLook w:val="01E0" w:firstRow="1" w:lastRow="1" w:firstColumn="1" w:lastColumn="1" w:noHBand="0" w:noVBand="0"/>
      </w:tblPr>
      <w:tblGrid>
        <w:gridCol w:w="664"/>
        <w:gridCol w:w="1217"/>
        <w:gridCol w:w="973"/>
        <w:gridCol w:w="1171"/>
        <w:gridCol w:w="979"/>
        <w:gridCol w:w="912"/>
        <w:gridCol w:w="1021"/>
        <w:gridCol w:w="1263"/>
        <w:gridCol w:w="1126"/>
      </w:tblGrid>
      <w:tr w:rsidR="00E84B36" w:rsidRPr="00DD47DF" w14:paraId="49D0C3BD" w14:textId="77777777">
        <w:trPr>
          <w:trHeight w:hRule="exact" w:val="1467"/>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3339E0D" w14:textId="77777777" w:rsidR="00CF739D" w:rsidRPr="00DD47DF" w:rsidRDefault="00CF739D" w:rsidP="00EA74FF">
            <w:pPr>
              <w:pStyle w:val="Tabulka"/>
              <w:rPr>
                <w:rFonts w:cs="Calibri"/>
                <w:b/>
                <w:bCs/>
              </w:rPr>
            </w:pPr>
            <w:r w:rsidRPr="00DD47DF">
              <w:rPr>
                <w:rFonts w:cs="Calibri"/>
                <w:b/>
                <w:bCs/>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E42FC03" w14:textId="77777777" w:rsidR="00CF739D" w:rsidRPr="00DD47DF" w:rsidRDefault="00CF739D" w:rsidP="00EA74FF">
            <w:pPr>
              <w:pStyle w:val="Tabulka"/>
              <w:rPr>
                <w:rFonts w:cs="Calibri"/>
                <w:b/>
                <w:bCs/>
              </w:rPr>
            </w:pPr>
            <w:r w:rsidRPr="00DD47DF">
              <w:rPr>
                <w:rFonts w:cs="Calibri"/>
                <w:b/>
                <w:bCs/>
              </w:rPr>
              <w:t>Ukazatel</w:t>
            </w:r>
          </w:p>
        </w:tc>
        <w:tc>
          <w:tcPr>
            <w:tcW w:w="973"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1ACAEE23" w14:textId="77777777" w:rsidR="00CF739D" w:rsidRPr="00DD47DF" w:rsidRDefault="00CF739D" w:rsidP="00E84B36">
            <w:pPr>
              <w:pStyle w:val="Tabulka"/>
              <w:rPr>
                <w:rFonts w:cs="Calibri"/>
                <w:b/>
                <w:bCs/>
              </w:rPr>
            </w:pPr>
            <w:r w:rsidRPr="00DD47DF">
              <w:rPr>
                <w:rFonts w:cs="Calibri"/>
                <w:b/>
                <w:bCs/>
              </w:rPr>
              <w:t>Měrná</w:t>
            </w:r>
            <w:r w:rsidR="00E84B36" w:rsidRPr="00DD47DF">
              <w:rPr>
                <w:rFonts w:cs="Calibri"/>
                <w:b/>
                <w:bCs/>
              </w:rPr>
              <w:t xml:space="preserve"> </w:t>
            </w:r>
            <w:r w:rsidRPr="00DD47DF">
              <w:rPr>
                <w:rFonts w:cs="Calibri"/>
                <w:b/>
                <w:bCs/>
              </w:rPr>
              <w:t>jednotka</w:t>
            </w:r>
          </w:p>
        </w:tc>
        <w:tc>
          <w:tcPr>
            <w:tcW w:w="1171"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61E869C" w14:textId="77777777" w:rsidR="00CF739D" w:rsidRPr="00DD47DF" w:rsidRDefault="00CF739D" w:rsidP="00EA74FF">
            <w:pPr>
              <w:pStyle w:val="Tabulka"/>
              <w:rPr>
                <w:rFonts w:cs="Calibri"/>
                <w:b/>
                <w:bCs/>
              </w:rPr>
            </w:pPr>
            <w:r w:rsidRPr="00DD47DF">
              <w:rPr>
                <w:rFonts w:cs="Calibri"/>
                <w:b/>
                <w:bCs/>
              </w:rPr>
              <w:t>Kategorie regionů (je-li relevantní)</w:t>
            </w:r>
          </w:p>
        </w:tc>
        <w:tc>
          <w:tcPr>
            <w:tcW w:w="979"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0C1EFCF8" w14:textId="77777777" w:rsidR="00CF739D" w:rsidRPr="00DD47DF" w:rsidRDefault="004B0854" w:rsidP="00EA74FF">
            <w:pPr>
              <w:pStyle w:val="Tabulka"/>
              <w:rPr>
                <w:rFonts w:cs="Calibri"/>
                <w:b/>
                <w:bCs/>
              </w:rPr>
            </w:pPr>
            <w:r w:rsidRPr="00DD47DF">
              <w:rPr>
                <w:rFonts w:cs="Calibri"/>
                <w:b/>
                <w:bCs/>
              </w:rPr>
              <w:t>Výchozí hodnota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BDB77F5" w14:textId="77777777" w:rsidR="00CF739D" w:rsidRPr="00DD47DF" w:rsidRDefault="004B0854" w:rsidP="004B0854">
            <w:pPr>
              <w:pStyle w:val="Tabulka"/>
              <w:rPr>
                <w:rFonts w:cs="Calibri"/>
                <w:b/>
                <w:bCs/>
              </w:rPr>
            </w:pPr>
            <w:r w:rsidRPr="00DD47DF">
              <w:rPr>
                <w:rFonts w:cs="Calibri"/>
                <w:b/>
                <w:bCs/>
              </w:rPr>
              <w:t xml:space="preserve">Výchozí </w:t>
            </w:r>
            <w:r w:rsidR="00CF739D" w:rsidRPr="00DD47DF">
              <w:rPr>
                <w:rFonts w:cs="Calibri"/>
                <w:b/>
                <w:bCs/>
              </w:rPr>
              <w:t>rok</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D95BEE1" w14:textId="77777777" w:rsidR="00CF739D" w:rsidRPr="00DD47DF" w:rsidRDefault="00CF739D" w:rsidP="00EA74FF">
            <w:pPr>
              <w:pStyle w:val="Tabulka"/>
              <w:rPr>
                <w:rFonts w:cs="Calibri"/>
                <w:b/>
                <w:bCs/>
              </w:rPr>
            </w:pPr>
            <w:r w:rsidRPr="00DD47DF">
              <w:rPr>
                <w:rFonts w:cs="Calibri"/>
                <w:b/>
                <w:bCs/>
              </w:rPr>
              <w:t>Cílová hodnota (2023)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4C8A585" w14:textId="77777777" w:rsidR="00CF739D" w:rsidRPr="00DD47DF" w:rsidRDefault="00CF739D" w:rsidP="00EA74FF">
            <w:pPr>
              <w:pStyle w:val="Tabulka"/>
              <w:rPr>
                <w:rFonts w:cs="Calibri"/>
                <w:b/>
                <w:bCs/>
              </w:rPr>
            </w:pPr>
            <w:r w:rsidRPr="00DD47DF">
              <w:rPr>
                <w:rFonts w:cs="Calibri"/>
                <w:b/>
                <w:bCs/>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0828263" w14:textId="77777777" w:rsidR="00CF739D" w:rsidRPr="00DD47DF" w:rsidRDefault="00CF739D" w:rsidP="00EA74FF">
            <w:pPr>
              <w:pStyle w:val="Tabulka"/>
              <w:rPr>
                <w:rFonts w:cs="Calibri"/>
                <w:b/>
                <w:bCs/>
              </w:rPr>
            </w:pPr>
            <w:r w:rsidRPr="00DD47DF">
              <w:rPr>
                <w:rFonts w:cs="Calibri"/>
                <w:b/>
                <w:bCs/>
              </w:rPr>
              <w:t>Četnost podávání zpráv</w:t>
            </w:r>
          </w:p>
        </w:tc>
      </w:tr>
      <w:tr w:rsidR="00E84B36" w:rsidRPr="00DD47DF" w14:paraId="3F1F9382" w14:textId="77777777" w:rsidTr="002921B0">
        <w:trPr>
          <w:trHeight w:hRule="exact" w:val="1325"/>
        </w:trPr>
        <w:tc>
          <w:tcPr>
            <w:tcW w:w="0" w:type="auto"/>
            <w:tcBorders>
              <w:top w:val="single" w:sz="4" w:space="0" w:color="000000"/>
              <w:left w:val="single" w:sz="4" w:space="0" w:color="000000"/>
              <w:bottom w:val="single" w:sz="4" w:space="0" w:color="000000"/>
              <w:right w:val="single" w:sz="4" w:space="0" w:color="000000"/>
            </w:tcBorders>
            <w:vAlign w:val="center"/>
          </w:tcPr>
          <w:p w14:paraId="68F21734" w14:textId="77777777" w:rsidR="00D24A13" w:rsidRPr="00DD47DF" w:rsidRDefault="00686830" w:rsidP="00EA74FF">
            <w:pPr>
              <w:pStyle w:val="Tabulka"/>
              <w:rPr>
                <w:rFonts w:cs="Calibri"/>
              </w:rPr>
            </w:pPr>
            <w:r w:rsidRPr="00DD47DF">
              <w:rPr>
                <w:rFonts w:cs="Calibri"/>
              </w:rPr>
              <w:t>30200</w:t>
            </w:r>
          </w:p>
        </w:tc>
        <w:tc>
          <w:tcPr>
            <w:tcW w:w="0" w:type="auto"/>
            <w:tcBorders>
              <w:top w:val="single" w:sz="4" w:space="0" w:color="000000"/>
              <w:left w:val="single" w:sz="4" w:space="0" w:color="000000"/>
              <w:bottom w:val="single" w:sz="4" w:space="0" w:color="000000"/>
              <w:right w:val="single" w:sz="4" w:space="0" w:color="000000"/>
            </w:tcBorders>
            <w:vAlign w:val="center"/>
          </w:tcPr>
          <w:p w14:paraId="2A711529" w14:textId="77777777" w:rsidR="00D24A13" w:rsidRPr="00DD47DF" w:rsidRDefault="002921B0" w:rsidP="00EA74FF">
            <w:pPr>
              <w:pStyle w:val="Tabulka"/>
              <w:jc w:val="left"/>
              <w:rPr>
                <w:rFonts w:cs="Calibri"/>
              </w:rPr>
            </w:pPr>
            <w:r w:rsidRPr="002921B0">
              <w:rPr>
                <w:rFonts w:cs="Calibri"/>
              </w:rPr>
              <w:t>Míra pokrytí sítí nové generace (NGA)</w:t>
            </w:r>
          </w:p>
        </w:tc>
        <w:tc>
          <w:tcPr>
            <w:tcW w:w="973" w:type="dxa"/>
            <w:tcBorders>
              <w:top w:val="single" w:sz="4" w:space="0" w:color="000000"/>
              <w:left w:val="single" w:sz="4" w:space="0" w:color="000000"/>
              <w:bottom w:val="single" w:sz="4" w:space="0" w:color="000000"/>
              <w:right w:val="single" w:sz="4" w:space="0" w:color="000000"/>
            </w:tcBorders>
            <w:vAlign w:val="center"/>
          </w:tcPr>
          <w:p w14:paraId="4F45959E" w14:textId="77777777" w:rsidR="00D24A13" w:rsidRPr="00DD47DF" w:rsidRDefault="00B3144E" w:rsidP="00EA74FF">
            <w:pPr>
              <w:pStyle w:val="Tabulka"/>
              <w:rPr>
                <w:rFonts w:cs="Calibri"/>
              </w:rPr>
            </w:pPr>
            <w:r w:rsidRPr="00DD47DF">
              <w:rPr>
                <w:rFonts w:cs="Calibri"/>
              </w:rPr>
              <w:t>%</w:t>
            </w:r>
          </w:p>
        </w:tc>
        <w:tc>
          <w:tcPr>
            <w:tcW w:w="1171" w:type="dxa"/>
            <w:tcBorders>
              <w:top w:val="single" w:sz="4" w:space="0" w:color="000000"/>
              <w:left w:val="single" w:sz="4" w:space="0" w:color="000000"/>
              <w:bottom w:val="single" w:sz="4" w:space="0" w:color="000000"/>
              <w:right w:val="single" w:sz="4" w:space="0" w:color="000000"/>
            </w:tcBorders>
            <w:vAlign w:val="center"/>
          </w:tcPr>
          <w:p w14:paraId="3B89B26E" w14:textId="77777777" w:rsidR="00D24A13" w:rsidRPr="00DD47DF" w:rsidRDefault="002B3F69" w:rsidP="00EA74FF">
            <w:pPr>
              <w:pStyle w:val="Tabulka"/>
              <w:rPr>
                <w:rFonts w:cs="Calibri"/>
              </w:rPr>
            </w:pPr>
            <w:r w:rsidRPr="00DD47DF">
              <w:rPr>
                <w:rFonts w:cs="Calibri"/>
              </w:rPr>
              <w:t>Méně rozvinuté regiony</w:t>
            </w:r>
          </w:p>
        </w:tc>
        <w:tc>
          <w:tcPr>
            <w:tcW w:w="979" w:type="dxa"/>
            <w:tcBorders>
              <w:top w:val="single" w:sz="4" w:space="0" w:color="000000"/>
              <w:left w:val="single" w:sz="4" w:space="0" w:color="000000"/>
              <w:bottom w:val="single" w:sz="4" w:space="0" w:color="000000"/>
              <w:right w:val="single" w:sz="4" w:space="0" w:color="000000"/>
            </w:tcBorders>
            <w:vAlign w:val="center"/>
          </w:tcPr>
          <w:p w14:paraId="2C8EEC3F" w14:textId="77777777" w:rsidR="00D24A13" w:rsidRPr="00DD47DF" w:rsidRDefault="00740BF8" w:rsidP="00EA74FF">
            <w:pPr>
              <w:pStyle w:val="Tabulka"/>
              <w:rPr>
                <w:rFonts w:cs="Calibri"/>
              </w:rPr>
            </w:pPr>
            <w:r>
              <w:rPr>
                <w:rFonts w:cs="Calibri"/>
              </w:rPr>
              <w:t>64</w:t>
            </w:r>
          </w:p>
        </w:tc>
        <w:tc>
          <w:tcPr>
            <w:tcW w:w="0" w:type="auto"/>
            <w:tcBorders>
              <w:top w:val="single" w:sz="4" w:space="0" w:color="000000"/>
              <w:left w:val="single" w:sz="4" w:space="0" w:color="000000"/>
              <w:bottom w:val="single" w:sz="4" w:space="0" w:color="000000"/>
              <w:right w:val="single" w:sz="4" w:space="0" w:color="000000"/>
            </w:tcBorders>
            <w:vAlign w:val="center"/>
          </w:tcPr>
          <w:p w14:paraId="0209EEE7" w14:textId="77777777" w:rsidR="00D24A13" w:rsidRPr="00DD47DF" w:rsidRDefault="00740BF8" w:rsidP="00EA74FF">
            <w:pPr>
              <w:pStyle w:val="Tabulka"/>
              <w:rPr>
                <w:rFonts w:cs="Calibri"/>
              </w:rPr>
            </w:pPr>
            <w:r>
              <w:rPr>
                <w:rFonts w:cs="Calibri"/>
              </w:rPr>
              <w:t>2013</w:t>
            </w:r>
          </w:p>
        </w:tc>
        <w:tc>
          <w:tcPr>
            <w:tcW w:w="0" w:type="auto"/>
            <w:tcBorders>
              <w:top w:val="single" w:sz="4" w:space="0" w:color="000000"/>
              <w:left w:val="single" w:sz="4" w:space="0" w:color="000000"/>
              <w:bottom w:val="single" w:sz="4" w:space="0" w:color="000000"/>
              <w:right w:val="single" w:sz="4" w:space="0" w:color="000000"/>
            </w:tcBorders>
            <w:vAlign w:val="center"/>
          </w:tcPr>
          <w:p w14:paraId="521EC85E" w14:textId="77777777" w:rsidR="00D24A13" w:rsidRPr="00DD47DF" w:rsidRDefault="00235E7F" w:rsidP="00947572">
            <w:pPr>
              <w:pStyle w:val="Tabulka"/>
              <w:rPr>
                <w:rFonts w:cs="Calibri"/>
              </w:rPr>
            </w:pPr>
            <w:r w:rsidRPr="00DD47DF">
              <w:rPr>
                <w:rFonts w:cs="Calibri"/>
              </w:rPr>
              <w:t>77</w:t>
            </w:r>
          </w:p>
        </w:tc>
        <w:tc>
          <w:tcPr>
            <w:tcW w:w="0" w:type="auto"/>
            <w:tcBorders>
              <w:top w:val="single" w:sz="4" w:space="0" w:color="000000"/>
              <w:left w:val="single" w:sz="4" w:space="0" w:color="000000"/>
              <w:bottom w:val="single" w:sz="4" w:space="0" w:color="000000"/>
              <w:right w:val="single" w:sz="4" w:space="0" w:color="000000"/>
            </w:tcBorders>
            <w:vAlign w:val="center"/>
          </w:tcPr>
          <w:p w14:paraId="01F99DB0" w14:textId="77777777" w:rsidR="00D24A13" w:rsidRPr="00DD47DF" w:rsidRDefault="00B3144E" w:rsidP="00EA74FF">
            <w:pPr>
              <w:pStyle w:val="Tabulka"/>
              <w:rPr>
                <w:rFonts w:cs="Calibri"/>
              </w:rPr>
            </w:pPr>
            <w:r w:rsidRPr="00DD47DF">
              <w:rPr>
                <w:rFonts w:cs="Calibri"/>
              </w:rPr>
              <w:t>Digital Agenda Scoreboard</w:t>
            </w:r>
          </w:p>
        </w:tc>
        <w:tc>
          <w:tcPr>
            <w:tcW w:w="0" w:type="auto"/>
            <w:tcBorders>
              <w:top w:val="single" w:sz="4" w:space="0" w:color="000000"/>
              <w:left w:val="single" w:sz="4" w:space="0" w:color="000000"/>
              <w:bottom w:val="single" w:sz="4" w:space="0" w:color="000000"/>
              <w:right w:val="single" w:sz="4" w:space="0" w:color="000000"/>
            </w:tcBorders>
            <w:vAlign w:val="center"/>
          </w:tcPr>
          <w:p w14:paraId="602323C1" w14:textId="77777777" w:rsidR="00D24A13" w:rsidRPr="00DD47DF" w:rsidRDefault="00B3144E" w:rsidP="00EA74FF">
            <w:pPr>
              <w:pStyle w:val="Tabulka"/>
              <w:rPr>
                <w:rFonts w:cs="Calibri"/>
              </w:rPr>
            </w:pPr>
            <w:r w:rsidRPr="00DD47DF">
              <w:rPr>
                <w:rFonts w:cs="Calibri"/>
              </w:rPr>
              <w:t>ročně</w:t>
            </w:r>
          </w:p>
        </w:tc>
      </w:tr>
    </w:tbl>
    <w:p w14:paraId="396ABE64" w14:textId="77777777" w:rsidR="00150199" w:rsidRPr="00DD47DF" w:rsidRDefault="001B2E5C" w:rsidP="005F43DF">
      <w:pPr>
        <w:pStyle w:val="kapitola2A0"/>
        <w:numPr>
          <w:ilvl w:val="2"/>
          <w:numId w:val="25"/>
        </w:numPr>
      </w:pPr>
      <w:bookmarkStart w:id="96" w:name="_Toc520445304"/>
      <w:r w:rsidRPr="00DD47DF">
        <w:t>Opatření, jež má být podpořeno v rámci investiční priority</w:t>
      </w:r>
      <w:bookmarkEnd w:id="96"/>
    </w:p>
    <w:p w14:paraId="4F16C5D7" w14:textId="77777777" w:rsidR="00150199" w:rsidRPr="00DD47DF" w:rsidRDefault="00D479AF" w:rsidP="005F43DF">
      <w:pPr>
        <w:pStyle w:val="Nadpis5"/>
        <w:numPr>
          <w:ilvl w:val="4"/>
          <w:numId w:val="26"/>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37B095D5" w14:textId="77777777" w:rsidR="00150199" w:rsidRPr="00DD47DF" w:rsidRDefault="000A2EB4" w:rsidP="00FF329A">
      <w:pPr>
        <w:pStyle w:val="Standardntext"/>
        <w:rPr>
          <w:b/>
        </w:rPr>
      </w:pPr>
      <w:r w:rsidRPr="00DD47DF">
        <w:rPr>
          <w:b/>
        </w:rPr>
        <w:t>Aktivity pro tento specifický cíl:</w:t>
      </w:r>
    </w:p>
    <w:p w14:paraId="0C70E639" w14:textId="77777777" w:rsidR="00150199" w:rsidRPr="00DD47DF" w:rsidRDefault="001E5FB8" w:rsidP="005F43DF">
      <w:pPr>
        <w:pStyle w:val="Standardntext"/>
        <w:numPr>
          <w:ilvl w:val="0"/>
          <w:numId w:val="28"/>
        </w:numPr>
        <w:ind w:left="714" w:hanging="357"/>
      </w:pPr>
      <w:r w:rsidRPr="00DD47DF">
        <w:t>M</w:t>
      </w:r>
      <w:r w:rsidR="00150199" w:rsidRPr="00DD47DF">
        <w:t xml:space="preserve">odernizace resp. rozšiřování stávající infrastruktury pro vysokorychlostní přístup k internetu využitím optických prvků s cílem umožnit vysokorychlostní přístup k internetu přenosovou rychlostí </w:t>
      </w:r>
      <w:r w:rsidR="003F0354" w:rsidRPr="00DD47DF">
        <w:t xml:space="preserve">alespoň </w:t>
      </w:r>
      <w:r w:rsidR="00150199" w:rsidRPr="00DD47DF">
        <w:t>30 Mbit/s,</w:t>
      </w:r>
    </w:p>
    <w:p w14:paraId="623CC404" w14:textId="77777777" w:rsidR="00150199" w:rsidRPr="00DD47DF" w:rsidRDefault="00450475" w:rsidP="005F43DF">
      <w:pPr>
        <w:pStyle w:val="Standardntext"/>
        <w:numPr>
          <w:ilvl w:val="0"/>
          <w:numId w:val="28"/>
        </w:numPr>
        <w:ind w:left="714" w:hanging="357"/>
      </w:pPr>
      <w:r w:rsidRPr="00DD47DF">
        <w:t xml:space="preserve">zřizování nových sítí sestávajících z části nebo plně z optických vedení pro vysokorychlostní přístup k internetu umožňující přenosovou rychlost alespoň 30 Mbit/s; </w:t>
      </w:r>
      <w:r w:rsidRPr="00DD47DF">
        <w:lastRenderedPageBreak/>
        <w:t>v případě zřizování nových sítí s pevným připojením do jednotlivých domácností musí tato síť umožnit přenosovou rychlost až 100 Mbit/s,</w:t>
      </w:r>
    </w:p>
    <w:p w14:paraId="5038A6D8" w14:textId="77777777" w:rsidR="00150199" w:rsidRPr="00DD47DF" w:rsidRDefault="00450475" w:rsidP="005F43DF">
      <w:pPr>
        <w:pStyle w:val="Standardntext"/>
        <w:numPr>
          <w:ilvl w:val="0"/>
          <w:numId w:val="28"/>
        </w:numPr>
      </w:pPr>
      <w:r w:rsidRPr="00DD47DF">
        <w:t>vytváření pasivní infrastruktury pro vysokorychlostní přístup k internetu zejména v lokalitách předpokládaného budoucího stavebního rozvoje, přičemž tato aktivita může být podpořena pouze v kombinaci s jednou z předchozích dvou aktivit.</w:t>
      </w:r>
    </w:p>
    <w:p w14:paraId="28657AB2" w14:textId="77777777" w:rsidR="00BA1C22" w:rsidRPr="00DD47DF" w:rsidRDefault="00EE6BCB" w:rsidP="00BA1C22">
      <w:pPr>
        <w:pStyle w:val="Standardntext"/>
        <w:rPr>
          <w:bCs/>
        </w:rPr>
      </w:pPr>
      <w:r w:rsidRPr="00DD47DF">
        <w:rPr>
          <w:bCs/>
        </w:rPr>
        <w:t>Výstupem tohoto specifického cíle</w:t>
      </w:r>
      <w:r w:rsidR="004F2EB2" w:rsidRPr="00DD47DF">
        <w:rPr>
          <w:bCs/>
        </w:rPr>
        <w:t xml:space="preserve"> </w:t>
      </w:r>
      <w:r w:rsidRPr="00DD47DF">
        <w:rPr>
          <w:bCs/>
        </w:rPr>
        <w:t>budou</w:t>
      </w:r>
      <w:r w:rsidR="004F2EB2" w:rsidRPr="00DD47DF">
        <w:rPr>
          <w:bCs/>
        </w:rPr>
        <w:t xml:space="preserve"> projekty, jejichž účelem bude zavedení internetové konektivity do oblastí bez vysokorychlostní internetové infrastruktury (tzv. bílých míst) z nejbližšího, resp. nejvhodnějšího, přístupového bodu o relevantní kapacitě.</w:t>
      </w:r>
      <w:r w:rsidR="003F0354" w:rsidRPr="00DD47DF">
        <w:rPr>
          <w:bCs/>
        </w:rPr>
        <w:t xml:space="preserve"> Při rozhodování o podpoře jednotlivých projektů zajišťujících vybudování infrastruktury splňující požadavky na kvalitu služby přístupu k internetu bude vždy respektován</w:t>
      </w:r>
      <w:r w:rsidR="00450475" w:rsidRPr="00DD47DF">
        <w:rPr>
          <w:bCs/>
        </w:rPr>
        <w:t xml:space="preserve"> princip technologické neutrality</w:t>
      </w:r>
      <w:r w:rsidR="00B832D3" w:rsidRPr="00DD47DF">
        <w:rPr>
          <w:bCs/>
        </w:rPr>
        <w:t xml:space="preserve">. </w:t>
      </w:r>
      <w:r w:rsidR="003F0354" w:rsidRPr="00DD47DF">
        <w:rPr>
          <w:bCs/>
        </w:rPr>
        <w:t xml:space="preserve">Tento princip zajistí nediskriminační výběr nejefektivnějších projektů zejména u tzv. poslední míle vysokorychlostních sítí elektronických komunikací bez ohledu na využitý druh infrastruktury nebo technologie v případě, že zajistí poskytování služby v dostatečné kvalitě. </w:t>
      </w:r>
      <w:r w:rsidR="004F2EB2" w:rsidRPr="00DD47DF">
        <w:rPr>
          <w:bCs/>
        </w:rPr>
        <w:t xml:space="preserve">V konečném důsledku se </w:t>
      </w:r>
      <w:r w:rsidR="00B832D3" w:rsidRPr="00DD47DF">
        <w:rPr>
          <w:bCs/>
        </w:rPr>
        <w:t xml:space="preserve">však </w:t>
      </w:r>
      <w:r w:rsidR="004F2EB2" w:rsidRPr="00DD47DF">
        <w:rPr>
          <w:bCs/>
        </w:rPr>
        <w:t xml:space="preserve">musí v předmětné oblasti zvýšit počet domácností, které budou mít možnost vysokorychlostního přístupu k internetu o rychlosti </w:t>
      </w:r>
      <w:r w:rsidR="003F0354" w:rsidRPr="00DD47DF">
        <w:rPr>
          <w:bCs/>
        </w:rPr>
        <w:t xml:space="preserve">alespoň </w:t>
      </w:r>
      <w:r w:rsidR="004F2EB2" w:rsidRPr="00DD47DF">
        <w:rPr>
          <w:bCs/>
        </w:rPr>
        <w:t>30 Mbit/s.</w:t>
      </w:r>
    </w:p>
    <w:p w14:paraId="5820CA6A" w14:textId="77777777" w:rsidR="0034716C" w:rsidRPr="00DD47DF" w:rsidRDefault="0034716C" w:rsidP="0023153A">
      <w:pPr>
        <w:pStyle w:val="Standardntext"/>
        <w:rPr>
          <w:bCs/>
        </w:rPr>
      </w:pPr>
      <w:r w:rsidRPr="00DD47DF">
        <w:rPr>
          <w:bCs/>
        </w:rPr>
        <w:t xml:space="preserve">Z důvodu vysoké nákladnosti stavebních prací se bude podporovat budování i tzv. pasivní infrastruktury, která </w:t>
      </w:r>
      <w:r w:rsidR="003F0354" w:rsidRPr="00DD47DF">
        <w:rPr>
          <w:bCs/>
        </w:rPr>
        <w:t xml:space="preserve">sama o sobě </w:t>
      </w:r>
      <w:r w:rsidRPr="00DD47DF">
        <w:rPr>
          <w:bCs/>
        </w:rPr>
        <w:t xml:space="preserve">bezprostředně neumožní poskytovat službu vysokorychlostního přístupu k internetu, </w:t>
      </w:r>
      <w:r w:rsidR="003F0354" w:rsidRPr="00DD47DF">
        <w:rPr>
          <w:bCs/>
        </w:rPr>
        <w:t>ale je nezbytným předpokladem budování vlastní síťové infrastruktury zejména v případě sítě sestávajících zčásti nebo zcela z optických vedení</w:t>
      </w:r>
      <w:r w:rsidRPr="00DD47DF">
        <w:rPr>
          <w:bCs/>
        </w:rPr>
        <w:t>.</w:t>
      </w:r>
      <w:r w:rsidR="003F0354" w:rsidRPr="00DD47DF">
        <w:t xml:space="preserve"> </w:t>
      </w:r>
      <w:r w:rsidR="003F0354" w:rsidRPr="00DD47DF">
        <w:rPr>
          <w:bCs/>
        </w:rPr>
        <w:t>Nezbytnou podmínkou pro rozhodnutí o podpoře je v takovém případě následné zajištění dostupnosti služby vysokorychlostního přístupu k internetu požadované kvality. Povinné sdílené pasivní infrastruktury současně umožní snížení nákladů na budování sítí dalšími subjekty a podpoří rozvoj konkurence v oblasti poskytování služeb</w:t>
      </w:r>
      <w:r w:rsidRPr="00DD47DF">
        <w:rPr>
          <w:bCs/>
        </w:rPr>
        <w:t>.</w:t>
      </w:r>
    </w:p>
    <w:p w14:paraId="7D0236D8" w14:textId="77777777" w:rsidR="00AF178F" w:rsidRPr="00DD47DF" w:rsidRDefault="00AF178F" w:rsidP="00BA1C22">
      <w:pPr>
        <w:pStyle w:val="Standardntext"/>
        <w:rPr>
          <w:bCs/>
        </w:rPr>
      </w:pPr>
      <w:r w:rsidRPr="00DD47DF">
        <w:rPr>
          <w:bCs/>
        </w:rPr>
        <w:t xml:space="preserve">Aktivity SC 4.1 </w:t>
      </w:r>
      <w:r w:rsidR="00E46D4E" w:rsidRPr="00DD47DF">
        <w:rPr>
          <w:bCs/>
        </w:rPr>
        <w:t xml:space="preserve">vycházejí z potřeb zohledněných v Národní RIS3 strategii a </w:t>
      </w:r>
      <w:r w:rsidRPr="00DD47DF">
        <w:rPr>
          <w:bCs/>
        </w:rPr>
        <w:t xml:space="preserve">mají přímou vazbu na tento strategický cíl Národní </w:t>
      </w:r>
      <w:r w:rsidR="002B0AB0" w:rsidRPr="00DD47DF">
        <w:rPr>
          <w:bCs/>
        </w:rPr>
        <w:t>RI</w:t>
      </w:r>
      <w:r w:rsidRPr="00DD47DF">
        <w:rPr>
          <w:bCs/>
        </w:rPr>
        <w:t>S3 strategie: „</w:t>
      </w:r>
      <w:r w:rsidR="00B600B5" w:rsidRPr="00DD47DF">
        <w:rPr>
          <w:bCs/>
        </w:rPr>
        <w:t>Rozvoj Infrastruktury v ICT</w:t>
      </w:r>
      <w:r w:rsidRPr="00DD47DF">
        <w:rPr>
          <w:bCs/>
        </w:rPr>
        <w:t>“.</w:t>
      </w:r>
      <w:r w:rsidR="00CA3052" w:rsidRPr="00DD47DF">
        <w:rPr>
          <w:bCs/>
        </w:rPr>
        <w:t xml:space="preserve"> Jde především o vzájemnou provázanost s typovými aktivitami</w:t>
      </w:r>
      <w:r w:rsidR="00752DD2" w:rsidRPr="00DD47DF">
        <w:rPr>
          <w:bCs/>
        </w:rPr>
        <w:t>/projekty/operacemi specifického cíle E3.3</w:t>
      </w:r>
      <w:r w:rsidR="00CA3052" w:rsidRPr="00DD47DF">
        <w:rPr>
          <w:bCs/>
        </w:rPr>
        <w:t xml:space="preserve"> „</w:t>
      </w:r>
      <w:r w:rsidR="00752DD2" w:rsidRPr="00DD47DF">
        <w:rPr>
          <w:bCs/>
        </w:rPr>
        <w:t>Zvýšení dostupnosti infrastruktury</w:t>
      </w:r>
      <w:r w:rsidR="00CA3052" w:rsidRPr="00DD47DF">
        <w:rPr>
          <w:bCs/>
        </w:rPr>
        <w:t xml:space="preserve">“ Národní </w:t>
      </w:r>
      <w:r w:rsidR="002B0AB0" w:rsidRPr="00DD47DF">
        <w:rPr>
          <w:bCs/>
        </w:rPr>
        <w:t>RI</w:t>
      </w:r>
      <w:r w:rsidR="00CA3052" w:rsidRPr="00DD47DF">
        <w:rPr>
          <w:bCs/>
        </w:rPr>
        <w:t>S3 strategie.</w:t>
      </w:r>
    </w:p>
    <w:p w14:paraId="58FF03B7" w14:textId="77777777" w:rsidR="00150199" w:rsidRPr="00DD47DF" w:rsidRDefault="00150199" w:rsidP="006155A8">
      <w:pPr>
        <w:pStyle w:val="Standardntext"/>
      </w:pPr>
      <w:r w:rsidRPr="00DD47DF">
        <w:rPr>
          <w:b/>
          <w:bCs/>
        </w:rPr>
        <w:t>Hlavní cílová skupina:</w:t>
      </w:r>
      <w:r w:rsidRPr="00DD47DF">
        <w:rPr>
          <w:bCs/>
        </w:rPr>
        <w:t xml:space="preserve"> </w:t>
      </w:r>
      <w:r w:rsidRPr="00DD47DF">
        <w:t>Obyvatelé</w:t>
      </w:r>
      <w:r w:rsidR="0068667C" w:rsidRPr="00DD47DF">
        <w:t xml:space="preserve"> a podnikatelé</w:t>
      </w:r>
      <w:r w:rsidRPr="00DD47DF">
        <w:t xml:space="preserve">, kteří nemají možnost využívat vysokorychlostní přístup k internetu o rychlosti </w:t>
      </w:r>
      <w:r w:rsidR="0023153A" w:rsidRPr="00DD47DF">
        <w:t xml:space="preserve">alespoň </w:t>
      </w:r>
      <w:r w:rsidRPr="00DD47DF">
        <w:t>30 Mbit/s.</w:t>
      </w:r>
    </w:p>
    <w:p w14:paraId="4A3E5813" w14:textId="77777777" w:rsidR="00150199" w:rsidRPr="00DD47DF" w:rsidRDefault="00150199" w:rsidP="006155A8">
      <w:pPr>
        <w:pStyle w:val="Standardntext"/>
      </w:pPr>
      <w:r w:rsidRPr="00DD47DF">
        <w:rPr>
          <w:b/>
          <w:bCs/>
        </w:rPr>
        <w:t xml:space="preserve">Cílové území: </w:t>
      </w:r>
      <w:r w:rsidR="00EA72D6" w:rsidRPr="00DD47DF">
        <w:rPr>
          <w:bCs/>
        </w:rPr>
        <w:t>Prioritně</w:t>
      </w:r>
      <w:r w:rsidR="00EA72D6" w:rsidRPr="00DD47DF">
        <w:rPr>
          <w:b/>
          <w:bCs/>
        </w:rPr>
        <w:t xml:space="preserve"> </w:t>
      </w:r>
      <w:r w:rsidR="00792328" w:rsidRPr="00DD47DF">
        <w:t>oblasti, ve</w:t>
      </w:r>
      <w:r w:rsidRPr="00DD47DF">
        <w:t xml:space="preserve"> kter</w:t>
      </w:r>
      <w:r w:rsidR="00792328" w:rsidRPr="00DD47DF">
        <w:t>ých</w:t>
      </w:r>
      <w:r w:rsidRPr="00DD47DF">
        <w:t xml:space="preserve"> neexistuje žádný provozovatel sítě pro vysokorychlostní přístup k internetu umožňující zajišťování služ</w:t>
      </w:r>
      <w:r w:rsidR="00792328" w:rsidRPr="00DD47DF">
        <w:t>by reálnou rychlostí alespoň 30 </w:t>
      </w:r>
      <w:r w:rsidRPr="00DD47DF">
        <w:t xml:space="preserve">Mbit/s a není pravděpodobné, že by v ní do tří let nějaký poskytovatel vybudoval infrastrukturu pro poskytování této služby. </w:t>
      </w:r>
      <w:r w:rsidR="004F2EB2" w:rsidRPr="00DD47DF">
        <w:t>Výjimečně</w:t>
      </w:r>
      <w:r w:rsidR="004F2EB2" w:rsidRPr="00DD47DF">
        <w:rPr>
          <w:rStyle w:val="Znakapoznpodarou"/>
        </w:rPr>
        <w:footnoteReference w:id="74"/>
      </w:r>
      <w:r w:rsidR="004F2EB2" w:rsidRPr="00DD47DF">
        <w:t xml:space="preserve"> a pouze v odůvodněných případech na základě předem stanovených kritériích bude možné poskytnout podporu i v</w:t>
      </w:r>
      <w:r w:rsidR="00792328" w:rsidRPr="00DD47DF">
        <w:t> </w:t>
      </w:r>
      <w:r w:rsidR="004F2EB2" w:rsidRPr="00DD47DF">
        <w:t>oblastech</w:t>
      </w:r>
      <w:r w:rsidR="00792328" w:rsidRPr="00DD47DF">
        <w:t>, ve kterých</w:t>
      </w:r>
      <w:r w:rsidRPr="00DD47DF">
        <w:t xml:space="preserve"> existuje jeden provozovatel sítě vysokorychlostního přístupu k internetu zajišťující poskytování služby reálnou rychlostí alespoň 30 Mbit/s a není pravděpodobné, že by v ní do tří let jiný podnikatel vybudoval infrastrukturu pro poskytování této služby.</w:t>
      </w:r>
    </w:p>
    <w:p w14:paraId="54C5AD83" w14:textId="24CBD7F3" w:rsidR="00150199" w:rsidRPr="00DD47DF" w:rsidRDefault="00150199" w:rsidP="006155A8">
      <w:pPr>
        <w:pStyle w:val="Standardntext"/>
        <w:rPr>
          <w:bCs/>
        </w:rPr>
      </w:pPr>
      <w:r w:rsidRPr="00DD47DF">
        <w:rPr>
          <w:b/>
          <w:bCs/>
        </w:rPr>
        <w:t>Typy příjemců:</w:t>
      </w:r>
      <w:r w:rsidR="00300004" w:rsidRPr="00DD47DF">
        <w:t xml:space="preserve"> </w:t>
      </w:r>
      <w:r w:rsidR="00AC26AB" w:rsidRPr="00DD47DF">
        <w:t>Podnikatelé v elektronických komunikacích</w:t>
      </w:r>
      <w:r w:rsidR="000704E9" w:rsidRPr="00DD47DF">
        <w:t xml:space="preserve"> </w:t>
      </w:r>
      <w:r w:rsidR="004F2EB2" w:rsidRPr="00DD47DF">
        <w:rPr>
          <w:bCs/>
        </w:rPr>
        <w:t xml:space="preserve">bez ohledu na velikost. </w:t>
      </w:r>
      <w:r w:rsidR="006B6624" w:rsidRPr="00700E39">
        <w:rPr>
          <w:bCs/>
        </w:rPr>
        <w:t>Obce, kraje a jim podřízené či jimi zřízené organizace.</w:t>
      </w:r>
      <w:r w:rsidR="003E3234">
        <w:rPr>
          <w:bCs/>
        </w:rPr>
        <w:t xml:space="preserve"> </w:t>
      </w:r>
      <w:r w:rsidR="004F2EB2" w:rsidRPr="00DD47DF">
        <w:rPr>
          <w:bCs/>
        </w:rPr>
        <w:t>Podporovány budou tudíž i velké podniky</w:t>
      </w:r>
      <w:r w:rsidR="00093576" w:rsidRPr="00DD47DF">
        <w:rPr>
          <w:bCs/>
        </w:rPr>
        <w:t xml:space="preserve"> </w:t>
      </w:r>
      <w:r w:rsidR="00093576" w:rsidRPr="00DD47DF">
        <w:lastRenderedPageBreak/>
        <w:t>(</w:t>
      </w:r>
      <w:r w:rsidR="00450475" w:rsidRPr="00DD47DF">
        <w:t>po</w:t>
      </w:r>
      <w:r w:rsidR="00093576" w:rsidRPr="00DD47DF">
        <w:t>dle čl. 3 odst. 1 nařízení o EFRR)</w:t>
      </w:r>
      <w:r w:rsidR="004F2EB2" w:rsidRPr="00DD47DF">
        <w:rPr>
          <w:bCs/>
        </w:rPr>
        <w:t xml:space="preserve">, neboť celospolečenské přínosy a související pozitivní multiplikační efekty v rámci podpory rozšiřování všeobecné dostupnosti vysokorychlostního přístupu k internetu </w:t>
      </w:r>
      <w:r w:rsidR="0023153A" w:rsidRPr="00DD47DF">
        <w:rPr>
          <w:bCs/>
        </w:rPr>
        <w:t>jednoznač</w:t>
      </w:r>
      <w:r w:rsidR="004F2EB2" w:rsidRPr="00DD47DF">
        <w:rPr>
          <w:bCs/>
        </w:rPr>
        <w:t>ně převažují nad případnými negativními důsledky, které by mohly vzniknout podporováním velkých podniků.</w:t>
      </w:r>
      <w:r w:rsidR="00792328" w:rsidRPr="00DD47DF">
        <w:rPr>
          <w:bCs/>
        </w:rPr>
        <w:t xml:space="preserve"> </w:t>
      </w:r>
      <w:r w:rsidR="00B26853" w:rsidRPr="00DD47DF">
        <w:rPr>
          <w:bCs/>
        </w:rPr>
        <w:t>Tyto aktivity musí zároveň být v souladu i s politikou vlády ČR vztahující se k zavádění vysokorychlostního</w:t>
      </w:r>
      <w:r w:rsidR="002702C1" w:rsidRPr="00DD47DF">
        <w:rPr>
          <w:bCs/>
        </w:rPr>
        <w:t xml:space="preserve"> přístupu k</w:t>
      </w:r>
      <w:r w:rsidR="00B26853" w:rsidRPr="00DD47DF">
        <w:rPr>
          <w:bCs/>
        </w:rPr>
        <w:t xml:space="preserve"> internetu a jejím formám (kdy vláda preferuje především budování přístupových sítí nové generace – NGA, při současném respektování zásady technologické neutrality), tudíž ze soutěže projektů nelze vylučovat ani příslušné státní podniky prosazující tyto vládní priority. </w:t>
      </w:r>
      <w:r w:rsidR="00D42274" w:rsidRPr="00DD47DF">
        <w:rPr>
          <w:bCs/>
        </w:rPr>
        <w:t xml:space="preserve">Rozumí se rovněž, že </w:t>
      </w:r>
      <w:r w:rsidR="00450475" w:rsidRPr="00DD47DF">
        <w:rPr>
          <w:bCs/>
        </w:rPr>
        <w:t xml:space="preserve">s ohledem na </w:t>
      </w:r>
      <w:r w:rsidR="00D42274" w:rsidRPr="00DD47DF">
        <w:rPr>
          <w:bCs/>
        </w:rPr>
        <w:t>vysoké investiční nároky na výstavbu sítí a</w:t>
      </w:r>
      <w:r w:rsidR="0023153A" w:rsidRPr="00DD47DF">
        <w:rPr>
          <w:bCs/>
        </w:rPr>
        <w:t xml:space="preserve"> na</w:t>
      </w:r>
      <w:r w:rsidR="00D42274" w:rsidRPr="00DD47DF">
        <w:rPr>
          <w:bCs/>
        </w:rPr>
        <w:t xml:space="preserve"> nutnost tyto náklady předfinancovat, a dále s ohlede</w:t>
      </w:r>
      <w:r w:rsidR="00450475" w:rsidRPr="00DD47DF">
        <w:rPr>
          <w:bCs/>
        </w:rPr>
        <w:t xml:space="preserve">m na značnou technologickou a </w:t>
      </w:r>
      <w:r w:rsidR="00D42274" w:rsidRPr="00DD47DF">
        <w:rPr>
          <w:bCs/>
        </w:rPr>
        <w:t>procesní náročnost zajištění provozu podpořených sítí a v neposlední řadě i s ohledem na zajištění udržitelnosti projektu</w:t>
      </w:r>
      <w:r w:rsidR="00450475" w:rsidRPr="00DD47DF">
        <w:rPr>
          <w:bCs/>
        </w:rPr>
        <w:t>,</w:t>
      </w:r>
      <w:r w:rsidR="00D42274" w:rsidRPr="00DD47DF">
        <w:rPr>
          <w:bCs/>
        </w:rPr>
        <w:t xml:space="preserve"> nebude možné </w:t>
      </w:r>
      <w:r w:rsidR="00450475" w:rsidRPr="00DD47DF">
        <w:rPr>
          <w:bCs/>
        </w:rPr>
        <w:t xml:space="preserve">takové investice </w:t>
      </w:r>
      <w:r w:rsidR="00D42274" w:rsidRPr="00DD47DF">
        <w:rPr>
          <w:bCs/>
        </w:rPr>
        <w:t xml:space="preserve">vygenerovat bez významné participace velkých podniků. </w:t>
      </w:r>
      <w:r w:rsidR="0023153A" w:rsidRPr="00DD47DF">
        <w:rPr>
          <w:bCs/>
        </w:rPr>
        <w:t xml:space="preserve">Budování finančně náročných vysokorychlostních sítí velkými podniky v kombinaci s povinným umožněním přístupu do těchto sítí ostatním zájemcům o poskytování služeb přístupu k internetu o požadovaných rychlostech zakládá předpoklad následného vstupu nových subjektů na trh a budoucího rozvoje konkurenčního prostředí při maximálním využití realizovaných investic. </w:t>
      </w:r>
      <w:r w:rsidR="00D42274" w:rsidRPr="00DD47DF">
        <w:rPr>
          <w:bCs/>
        </w:rPr>
        <w:t xml:space="preserve">S ohledem na současnou praxi budování sítí lze však předpokládat výrazné zapojení malých a středních </w:t>
      </w:r>
      <w:r w:rsidR="00333BB8" w:rsidRPr="00DD47DF">
        <w:rPr>
          <w:bCs/>
        </w:rPr>
        <w:t xml:space="preserve">podniků </w:t>
      </w:r>
      <w:r w:rsidR="00D42274" w:rsidRPr="00DD47DF">
        <w:rPr>
          <w:bCs/>
        </w:rPr>
        <w:t>na straně zhotovitelů přípravn</w:t>
      </w:r>
      <w:r w:rsidR="00450475" w:rsidRPr="00DD47DF">
        <w:rPr>
          <w:bCs/>
        </w:rPr>
        <w:t>ých, výkopových a stavebních pra</w:t>
      </w:r>
      <w:r w:rsidR="00D42274" w:rsidRPr="00DD47DF">
        <w:rPr>
          <w:bCs/>
        </w:rPr>
        <w:t xml:space="preserve">cí, které </w:t>
      </w:r>
      <w:r w:rsidR="00450475" w:rsidRPr="00DD47DF">
        <w:rPr>
          <w:bCs/>
        </w:rPr>
        <w:t xml:space="preserve">budou </w:t>
      </w:r>
      <w:r w:rsidR="00D42274" w:rsidRPr="00DD47DF">
        <w:rPr>
          <w:bCs/>
        </w:rPr>
        <w:t>tvořit výraznou položku v nákladech podpořených projektů. Vybudovaná infrastruktura pro vysokorychlostní přístup k internetu rovněž významně podpoří poptávku po produktech a službách malých a středních podniků.</w:t>
      </w:r>
    </w:p>
    <w:p w14:paraId="3E9E67E9" w14:textId="77777777" w:rsidR="00150199" w:rsidRPr="00DD47DF" w:rsidRDefault="00BA6461" w:rsidP="005F43DF">
      <w:pPr>
        <w:pStyle w:val="Nadpis5"/>
        <w:numPr>
          <w:ilvl w:val="4"/>
          <w:numId w:val="26"/>
        </w:numPr>
      </w:pPr>
      <w:r w:rsidRPr="00DD47DF">
        <w:t>Hlavní zásady pro výběr operací</w:t>
      </w:r>
    </w:p>
    <w:p w14:paraId="5E053002" w14:textId="77777777" w:rsidR="00B45C7F" w:rsidRPr="00DD47DF" w:rsidRDefault="00FE3385" w:rsidP="00963119">
      <w:pPr>
        <w:pStyle w:val="Standardntext"/>
      </w:pPr>
      <w:r w:rsidRPr="00DD47DF">
        <w:t>Společné obecné zásady pro výběr operací pro všechny investiční priority celého OP PIK jsou uvedeny v prioritní ose 1 v oddíle 2.A.6.2.</w:t>
      </w:r>
    </w:p>
    <w:p w14:paraId="080F98D1" w14:textId="77777777" w:rsidR="00D42004" w:rsidRPr="00DD47DF" w:rsidRDefault="00D42004" w:rsidP="00D42004">
      <w:pPr>
        <w:pStyle w:val="Standardntext"/>
      </w:pPr>
      <w:r w:rsidRPr="00DD47DF">
        <w:t>V rámci výběru a hodnocení projektů budou posuzována především následující kritéria:</w:t>
      </w:r>
    </w:p>
    <w:p w14:paraId="59664677" w14:textId="77777777" w:rsidR="00D42004" w:rsidRPr="00DD47DF" w:rsidRDefault="00D42004" w:rsidP="00FB3387">
      <w:pPr>
        <w:pStyle w:val="Standardntext"/>
        <w:numPr>
          <w:ilvl w:val="0"/>
          <w:numId w:val="43"/>
        </w:numPr>
      </w:pPr>
      <w:r w:rsidRPr="00DD47DF">
        <w:t xml:space="preserve">Kvalita a potřebnost </w:t>
      </w:r>
      <w:r w:rsidR="00B45C7F" w:rsidRPr="00DD47DF">
        <w:t xml:space="preserve">projektu s ohledem na </w:t>
      </w:r>
      <w:r w:rsidR="0023153A" w:rsidRPr="00DD47DF">
        <w:t>jeho</w:t>
      </w:r>
      <w:r w:rsidR="00B45C7F" w:rsidRPr="00DD47DF">
        <w:t xml:space="preserve"> potenciál ve specifických územích (tzn. z hlediska identifikace bílých míst)</w:t>
      </w:r>
      <w:r w:rsidRPr="00DD47DF">
        <w:t>.</w:t>
      </w:r>
    </w:p>
    <w:p w14:paraId="43AA3A71" w14:textId="77777777" w:rsidR="00F00EF8" w:rsidRPr="00DD47DF" w:rsidRDefault="00F00EF8" w:rsidP="00FB3387">
      <w:pPr>
        <w:pStyle w:val="Standardntext"/>
        <w:numPr>
          <w:ilvl w:val="0"/>
          <w:numId w:val="43"/>
        </w:numPr>
      </w:pPr>
      <w:r w:rsidRPr="00DD47DF">
        <w:rPr>
          <w:bCs/>
        </w:rPr>
        <w:t>Žadatel o podporu předloží podnikatelský záměr, který bude obsahovat základní informace o lokalitě, kapitálovou náročnost investiční pří</w:t>
      </w:r>
      <w:r w:rsidR="00712D59" w:rsidRPr="00DD47DF">
        <w:rPr>
          <w:bCs/>
        </w:rPr>
        <w:t>ležitosti, technicko-organizační</w:t>
      </w:r>
      <w:r w:rsidRPr="00DD47DF">
        <w:rPr>
          <w:bCs/>
        </w:rPr>
        <w:t>, obchodní a finanční zajištění realizace.</w:t>
      </w:r>
      <w:r w:rsidR="00712D59" w:rsidRPr="00DD47DF">
        <w:rPr>
          <w:bCs/>
        </w:rPr>
        <w:t xml:space="preserve"> V projektu musí být </w:t>
      </w:r>
      <w:r w:rsidR="0030164D" w:rsidRPr="00DD47DF">
        <w:rPr>
          <w:bCs/>
        </w:rPr>
        <w:t xml:space="preserve">rovněž </w:t>
      </w:r>
      <w:r w:rsidR="00712D59" w:rsidRPr="00DD47DF">
        <w:rPr>
          <w:bCs/>
        </w:rPr>
        <w:t>popsán přístup</w:t>
      </w:r>
      <w:r w:rsidR="0030164D" w:rsidRPr="00DD47DF">
        <w:rPr>
          <w:bCs/>
        </w:rPr>
        <w:t xml:space="preserve"> k síti na velkoobchodní úrovni.</w:t>
      </w:r>
    </w:p>
    <w:p w14:paraId="7490DA83" w14:textId="77777777" w:rsidR="00D42004" w:rsidRPr="00DD47DF" w:rsidRDefault="00D42004" w:rsidP="00FB3387">
      <w:pPr>
        <w:pStyle w:val="Standardntext"/>
        <w:numPr>
          <w:ilvl w:val="0"/>
          <w:numId w:val="43"/>
        </w:numPr>
      </w:pPr>
      <w:r w:rsidRPr="00DD47DF">
        <w:t>Soulad projektu s</w:t>
      </w:r>
      <w:r w:rsidR="00BA4E72" w:rsidRPr="00DD47DF">
        <w:t xml:space="preserve"> </w:t>
      </w:r>
      <w:r w:rsidRPr="00DD47DF">
        <w:t>územní dimenzí této investiční priority</w:t>
      </w:r>
      <w:r w:rsidR="00C63CF5" w:rsidRPr="00DD47DF">
        <w:t xml:space="preserve"> (viz </w:t>
      </w:r>
      <w:r w:rsidR="00C63CF5" w:rsidRPr="00DD47DF">
        <w:rPr>
          <w:i/>
        </w:rPr>
        <w:t>Cílové území</w:t>
      </w:r>
      <w:r w:rsidR="00C63CF5" w:rsidRPr="00DD47DF">
        <w:t xml:space="preserve"> v oddíle 2.A.6.1 a dále oddíl 4)</w:t>
      </w:r>
      <w:r w:rsidRPr="00DD47DF">
        <w:t>. </w:t>
      </w:r>
    </w:p>
    <w:p w14:paraId="741BCF25" w14:textId="77777777" w:rsidR="00AC3FC6" w:rsidRPr="00DD47DF" w:rsidRDefault="00AC3FC6" w:rsidP="00FB3387">
      <w:pPr>
        <w:pStyle w:val="Standardntext"/>
        <w:numPr>
          <w:ilvl w:val="0"/>
          <w:numId w:val="43"/>
        </w:numPr>
      </w:pPr>
      <w:r w:rsidRPr="00DD47DF">
        <w:t>Soulad projektu s prioritami RIS3.</w:t>
      </w:r>
    </w:p>
    <w:p w14:paraId="69E6AC82" w14:textId="77777777" w:rsidR="00D42004" w:rsidRPr="00DD47DF" w:rsidRDefault="00D42004" w:rsidP="00FB3387">
      <w:pPr>
        <w:pStyle w:val="Standardntext"/>
        <w:numPr>
          <w:ilvl w:val="0"/>
          <w:numId w:val="43"/>
        </w:numPr>
      </w:pPr>
      <w:r w:rsidRPr="00DD47DF">
        <w:t xml:space="preserve">Soulad projektu s horizontálními principy, mezi něž patří udržitelný rozvoj, rovné příležitosti a ochrana před diskriminací. Projekt, který bude v rozporu s těmito principy, nebude v rámci OP PIK podpořen (blíže viz oddíl 11). </w:t>
      </w:r>
    </w:p>
    <w:p w14:paraId="5174F0FC" w14:textId="77777777" w:rsidR="00192F36" w:rsidRPr="00DD47DF" w:rsidRDefault="00192F36" w:rsidP="00FB3387">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0E4DD3C2" w14:textId="77777777" w:rsidR="00150199" w:rsidRPr="00DD47DF" w:rsidRDefault="00BA6461" w:rsidP="005F43DF">
      <w:pPr>
        <w:pStyle w:val="Nadpis5"/>
        <w:numPr>
          <w:ilvl w:val="4"/>
          <w:numId w:val="26"/>
        </w:numPr>
        <w:rPr>
          <w:rFonts w:cs="Calibri"/>
        </w:rPr>
      </w:pPr>
      <w:r w:rsidRPr="00DD47DF">
        <w:lastRenderedPageBreak/>
        <w:t>Plánované využití finančních nástrojů (použije-li se)</w:t>
      </w:r>
    </w:p>
    <w:p w14:paraId="5AC175A5" w14:textId="77777777" w:rsidR="00150199" w:rsidRPr="00DD47DF" w:rsidRDefault="000373F5" w:rsidP="002A4D1D">
      <w:pPr>
        <w:pStyle w:val="Standardntext"/>
      </w:pPr>
      <w:r w:rsidRPr="00DD47DF">
        <w:t xml:space="preserve">Řídící orgán </w:t>
      </w:r>
      <w:r w:rsidR="00EC6418" w:rsidRPr="00DD47DF">
        <w:t xml:space="preserve">posoudí možnosti </w:t>
      </w:r>
      <w:r w:rsidRPr="00DD47DF">
        <w:t>využití finančních nástrojů v této investiční prioritě</w:t>
      </w:r>
      <w:r w:rsidR="00EC6418" w:rsidRPr="00DD47DF">
        <w:t xml:space="preserve"> OP PIK na základě výsledků </w:t>
      </w:r>
      <w:r w:rsidRPr="00DD47DF">
        <w:t xml:space="preserve">předběžného </w:t>
      </w:r>
      <w:r w:rsidR="00EC6418" w:rsidRPr="00DD47DF">
        <w:t xml:space="preserve">vyhodnocení provedeného </w:t>
      </w:r>
      <w:r w:rsidRPr="00DD47DF">
        <w:t>dle čl. 37 odst. 2 obecného nařízení, případně jeho revize podle čl. 37 odst. 2 písm. g) obecného nařízení.</w:t>
      </w:r>
    </w:p>
    <w:p w14:paraId="4ACB0F4F" w14:textId="77777777" w:rsidR="00150199" w:rsidRPr="00DD47DF" w:rsidRDefault="00BA6461" w:rsidP="005F43DF">
      <w:pPr>
        <w:pStyle w:val="Nadpis5"/>
        <w:numPr>
          <w:ilvl w:val="4"/>
          <w:numId w:val="26"/>
        </w:numPr>
      </w:pPr>
      <w:r w:rsidRPr="00DD47DF">
        <w:t>Plánované využití velkých projektů (použije-li se)</w:t>
      </w:r>
    </w:p>
    <w:p w14:paraId="6B1737C4" w14:textId="77777777" w:rsidR="002A4D1D" w:rsidRPr="00DD47DF" w:rsidRDefault="002A4D1D" w:rsidP="002A4D1D">
      <w:pPr>
        <w:pStyle w:val="Standardntext"/>
      </w:pPr>
      <w:r w:rsidRPr="00DD47DF">
        <w:t xml:space="preserve">Velké projekty ve smyslu čl. </w:t>
      </w:r>
      <w:r w:rsidR="008F52F8" w:rsidRPr="00DD47DF">
        <w:t>10</w:t>
      </w:r>
      <w:r w:rsidRPr="00DD47DF">
        <w:t>0 obecného nařízení nejsou plánovány.</w:t>
      </w:r>
    </w:p>
    <w:p w14:paraId="74C353E2" w14:textId="77777777" w:rsidR="00150199" w:rsidRPr="00DD47DF" w:rsidRDefault="00BA6461" w:rsidP="005F43DF">
      <w:pPr>
        <w:pStyle w:val="Nadpis5"/>
        <w:numPr>
          <w:ilvl w:val="4"/>
          <w:numId w:val="26"/>
        </w:numPr>
      </w:pPr>
      <w:r w:rsidRPr="00DD47DF">
        <w:t>Ukazatele výstupů podle investiční priority a případně podle kategorie regionů</w:t>
      </w:r>
    </w:p>
    <w:p w14:paraId="047604B5" w14:textId="77777777" w:rsidR="00150199" w:rsidRPr="00DD47DF" w:rsidRDefault="00150199" w:rsidP="004126CC">
      <w:pPr>
        <w:pStyle w:val="Titulek"/>
        <w:keepNext/>
        <w:keepLines/>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457"/>
        <w:gridCol w:w="2635"/>
        <w:gridCol w:w="1196"/>
        <w:gridCol w:w="665"/>
        <w:gridCol w:w="1201"/>
        <w:gridCol w:w="974"/>
        <w:gridCol w:w="1033"/>
        <w:gridCol w:w="1165"/>
      </w:tblGrid>
      <w:tr w:rsidR="001B2E5C" w:rsidRPr="00DD47DF" w14:paraId="1829C5DA" w14:textId="77777777">
        <w:trPr>
          <w:trHeight w:hRule="exact" w:val="1043"/>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E9F541E" w14:textId="77777777" w:rsidR="001B2E5C" w:rsidRPr="00DD47DF" w:rsidRDefault="001B2E5C" w:rsidP="004126CC">
            <w:pPr>
              <w:pStyle w:val="Tabulka"/>
              <w:keepNext/>
              <w:keepLines/>
              <w:rPr>
                <w:rFonts w:cs="Calibri"/>
                <w:b/>
              </w:rPr>
            </w:pPr>
            <w:r w:rsidRPr="00DD47DF">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16ADDDE" w14:textId="77777777" w:rsidR="001B2E5C" w:rsidRPr="00DD47DF" w:rsidRDefault="001B2E5C" w:rsidP="004126CC">
            <w:pPr>
              <w:pStyle w:val="Tabulka"/>
              <w:keepNext/>
              <w:keepLines/>
              <w:rPr>
                <w:rFonts w:cs="Calibri"/>
                <w:b/>
              </w:rPr>
            </w:pPr>
            <w:r w:rsidRPr="00DD47DF">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BCE2E64" w14:textId="77777777" w:rsidR="001B2E5C" w:rsidRPr="00DD47DF" w:rsidRDefault="001B2E5C" w:rsidP="004126CC">
            <w:pPr>
              <w:pStyle w:val="Tabulka"/>
              <w:keepNext/>
              <w:keepLines/>
              <w:rPr>
                <w:rFonts w:cs="Calibri"/>
                <w:b/>
              </w:rPr>
            </w:pPr>
            <w:r w:rsidRPr="00DD47DF">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FD69AA1" w14:textId="77777777" w:rsidR="001B2E5C" w:rsidRPr="00DD47DF" w:rsidRDefault="001B2E5C" w:rsidP="004126CC">
            <w:pPr>
              <w:pStyle w:val="Tabulka"/>
              <w:keepNext/>
              <w:keepLines/>
              <w:rPr>
                <w:rFonts w:cs="Calibri"/>
                <w:b/>
              </w:rPr>
            </w:pPr>
            <w:r w:rsidRPr="00DD47DF">
              <w:rPr>
                <w:rFonts w:cs="Calibri"/>
                <w:b/>
              </w:rPr>
              <w:t>Fond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56F6F1DF" w14:textId="77777777" w:rsidR="001B2E5C" w:rsidRPr="00DD47DF" w:rsidRDefault="001B2E5C" w:rsidP="004126CC">
            <w:pPr>
              <w:pStyle w:val="Tabulka"/>
              <w:keepNext/>
              <w:keepLines/>
              <w:rPr>
                <w:rFonts w:cs="Calibri"/>
                <w:b/>
              </w:rPr>
            </w:pPr>
            <w:r w:rsidRPr="00DD47DF">
              <w:rPr>
                <w:rFonts w:cs="Calibri"/>
                <w:b/>
              </w:rPr>
              <w:t>Kategorie regionu</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5AA9DA9E" w14:textId="77777777" w:rsidR="001B2E5C" w:rsidRPr="00DD47DF" w:rsidRDefault="001B2E5C" w:rsidP="004126CC">
            <w:pPr>
              <w:pStyle w:val="Tabulka"/>
              <w:keepNext/>
              <w:keepLines/>
              <w:rPr>
                <w:rFonts w:cs="Calibri"/>
                <w:b/>
              </w:rPr>
            </w:pPr>
            <w:r w:rsidRPr="00DD47DF">
              <w:rPr>
                <w:rFonts w:cs="Calibri"/>
                <w:b/>
              </w:rPr>
              <w:t>Cílová hodnota</w:t>
            </w:r>
          </w:p>
          <w:p w14:paraId="4134BABC" w14:textId="77777777" w:rsidR="001B2E5C" w:rsidRPr="00DD47DF" w:rsidRDefault="001B2E5C" w:rsidP="004126CC">
            <w:pPr>
              <w:pStyle w:val="Tabulka"/>
              <w:keepNext/>
              <w:keepLines/>
              <w:rPr>
                <w:rFonts w:cs="Calibri"/>
                <w:b/>
              </w:rPr>
            </w:pPr>
            <w:r w:rsidRPr="00DD47DF">
              <w:rPr>
                <w:rFonts w:cs="Calibri"/>
                <w:b/>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EECA83F" w14:textId="77777777" w:rsidR="001B2E5C" w:rsidRPr="00DD47DF" w:rsidRDefault="001B2E5C" w:rsidP="004126CC">
            <w:pPr>
              <w:pStyle w:val="Tabulka"/>
              <w:keepNext/>
              <w:keepLines/>
              <w:rPr>
                <w:rFonts w:cs="Calibri"/>
                <w:b/>
              </w:rPr>
            </w:pPr>
            <w:r w:rsidRPr="00DD47DF">
              <w:rPr>
                <w:rFonts w:cs="Calibri"/>
                <w:b/>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7FF4C94" w14:textId="77777777" w:rsidR="001B2E5C" w:rsidRPr="00DD47DF" w:rsidRDefault="001B2E5C" w:rsidP="004126CC">
            <w:pPr>
              <w:pStyle w:val="Tabulka"/>
              <w:keepNext/>
              <w:keepLines/>
              <w:rPr>
                <w:rFonts w:cs="Calibri"/>
                <w:b/>
              </w:rPr>
            </w:pPr>
            <w:r w:rsidRPr="00DD47DF">
              <w:rPr>
                <w:rFonts w:cs="Calibri"/>
                <w:b/>
              </w:rPr>
              <w:t>Četnost podávání zpráv</w:t>
            </w:r>
          </w:p>
        </w:tc>
      </w:tr>
      <w:tr w:rsidR="002B3F69" w:rsidRPr="00DD47DF" w14:paraId="3E468787"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1597E7E2" w14:textId="4AE58173" w:rsidR="002B3F69" w:rsidRPr="00DD47DF" w:rsidRDefault="00C75691" w:rsidP="004126CC">
            <w:pPr>
              <w:pStyle w:val="Tabulka"/>
              <w:keepNext/>
              <w:keepLines/>
              <w:rPr>
                <w:rFonts w:cs="Calibri"/>
              </w:rPr>
            </w:pPr>
            <w:r w:rsidRPr="00DD47DF">
              <w:rPr>
                <w:rFonts w:cs="Calibri"/>
              </w:rPr>
              <w:t xml:space="preserve">CO </w:t>
            </w:r>
            <w:r w:rsidR="00981056" w:rsidRPr="00DD47DF">
              <w:rPr>
                <w:rFonts w:cs="Calibri"/>
              </w:rPr>
              <w:t>0</w:t>
            </w:r>
            <w:r w:rsidR="002B3F69" w:rsidRPr="00DD47DF">
              <w:rPr>
                <w:rFonts w:cs="Calibri"/>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7FA7789A" w14:textId="77777777" w:rsidR="002B3F69" w:rsidRPr="00DD47DF" w:rsidRDefault="007D6298" w:rsidP="004126CC">
            <w:pPr>
              <w:pStyle w:val="Tabulka"/>
              <w:keepNext/>
              <w:keepLines/>
              <w:jc w:val="left"/>
              <w:rPr>
                <w:rFonts w:cs="Calibri"/>
              </w:rPr>
            </w:pPr>
            <w:r w:rsidRPr="00DD47DF">
              <w:rPr>
                <w:rFonts w:cs="Calibri"/>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56CAB24A" w14:textId="77777777" w:rsidR="002B3F69" w:rsidRPr="00DD47DF" w:rsidRDefault="002B3F69" w:rsidP="004126CC">
            <w:pPr>
              <w:pStyle w:val="Tabulka"/>
              <w:keepNext/>
              <w:keepLines/>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3926B4F3" w14:textId="77777777" w:rsidR="002B3F69" w:rsidRPr="00DD47DF" w:rsidRDefault="002B3F69" w:rsidP="004126CC">
            <w:pPr>
              <w:pStyle w:val="Tabulka"/>
              <w:keepNext/>
              <w:keepLines/>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1CF88F9E" w14:textId="77777777" w:rsidR="002B3F69" w:rsidRPr="00DD47DF" w:rsidRDefault="002B3F69" w:rsidP="004126CC">
            <w:pPr>
              <w:pStyle w:val="Tabulka"/>
              <w:keepNext/>
              <w:keepLines/>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06AA62DD" w14:textId="77777777" w:rsidR="002B3F69" w:rsidRPr="00DD47DF" w:rsidRDefault="00A06496" w:rsidP="00333BB8">
            <w:pPr>
              <w:pStyle w:val="Tabulka"/>
              <w:keepNext/>
              <w:keepLines/>
              <w:rPr>
                <w:rFonts w:cs="Calibri"/>
              </w:rPr>
            </w:pPr>
            <w:r w:rsidRPr="00DD47DF">
              <w:rPr>
                <w:rFonts w:cs="Calibri"/>
              </w:rPr>
              <w:t>170</w:t>
            </w:r>
          </w:p>
        </w:tc>
        <w:tc>
          <w:tcPr>
            <w:tcW w:w="0" w:type="auto"/>
            <w:tcBorders>
              <w:top w:val="single" w:sz="4" w:space="0" w:color="000000"/>
              <w:left w:val="single" w:sz="4" w:space="0" w:color="000000"/>
              <w:bottom w:val="single" w:sz="4" w:space="0" w:color="000000"/>
              <w:right w:val="single" w:sz="4" w:space="0" w:color="000000"/>
            </w:tcBorders>
            <w:vAlign w:val="center"/>
          </w:tcPr>
          <w:p w14:paraId="519F702E" w14:textId="77777777" w:rsidR="002B3F69" w:rsidRPr="00DD47DF" w:rsidRDefault="00FC7054" w:rsidP="004126CC">
            <w:pPr>
              <w:pStyle w:val="Tabulka"/>
              <w:keepNext/>
              <w:keepLines/>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6C9F81E1" w14:textId="77777777" w:rsidR="002B3F69" w:rsidRPr="00DD47DF" w:rsidRDefault="00FC7054" w:rsidP="004126CC">
            <w:pPr>
              <w:pStyle w:val="Tabulka"/>
              <w:keepNext/>
              <w:keepLines/>
              <w:rPr>
                <w:rFonts w:cs="Calibri"/>
              </w:rPr>
            </w:pPr>
            <w:r>
              <w:rPr>
                <w:rFonts w:cs="Calibri"/>
              </w:rPr>
              <w:t>průběžně</w:t>
            </w:r>
          </w:p>
        </w:tc>
      </w:tr>
      <w:tr w:rsidR="002B3F69" w:rsidRPr="00DD47DF" w14:paraId="30720D20"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32CA2A60" w14:textId="61A403D9" w:rsidR="002B3F69" w:rsidRPr="00DD47DF" w:rsidRDefault="00C75691" w:rsidP="00F00D3E">
            <w:pPr>
              <w:pStyle w:val="Tabulka"/>
              <w:rPr>
                <w:rFonts w:cs="Calibri"/>
              </w:rPr>
            </w:pPr>
            <w:r w:rsidRPr="00DD47DF">
              <w:rPr>
                <w:rFonts w:cs="Calibri"/>
              </w:rPr>
              <w:t xml:space="preserve">CO </w:t>
            </w:r>
            <w:r w:rsidR="00981056" w:rsidRPr="00DD47DF">
              <w:rPr>
                <w:rFonts w:cs="Calibri"/>
              </w:rPr>
              <w:t>0</w:t>
            </w:r>
            <w:r w:rsidR="002B3F69" w:rsidRPr="00DD47DF">
              <w:rPr>
                <w:rFonts w:cs="Calibri"/>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10C860AC" w14:textId="77777777" w:rsidR="002B3F69" w:rsidRPr="00DD47DF" w:rsidRDefault="002B3F69" w:rsidP="00F00D3E">
            <w:pPr>
              <w:pStyle w:val="Tabulka"/>
              <w:jc w:val="left"/>
              <w:rPr>
                <w:rFonts w:cs="Calibri"/>
              </w:rPr>
            </w:pPr>
            <w:r w:rsidRPr="00DD47DF">
              <w:rPr>
                <w:rFonts w:cs="Calibri"/>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72315802" w14:textId="77777777" w:rsidR="002B3F69" w:rsidRPr="00DD47DF" w:rsidRDefault="002B3F69" w:rsidP="00F00D3E">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6A0A4766" w14:textId="77777777" w:rsidR="002B3F69" w:rsidRPr="00DD47DF" w:rsidRDefault="002B3F69" w:rsidP="00F00D3E">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27620BDE" w14:textId="77777777" w:rsidR="002B3F69" w:rsidRPr="00DD47DF" w:rsidRDefault="002B3F69" w:rsidP="00F00D3E">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776E0821" w14:textId="77777777" w:rsidR="002B3F69" w:rsidRPr="00DD47DF" w:rsidRDefault="00A06496" w:rsidP="00F00D3E">
            <w:pPr>
              <w:pStyle w:val="Tabulka"/>
              <w:rPr>
                <w:rFonts w:cs="Calibri"/>
              </w:rPr>
            </w:pPr>
            <w:r w:rsidRPr="00DD47DF">
              <w:rPr>
                <w:rFonts w:cs="Calibri"/>
              </w:rPr>
              <w:t>170</w:t>
            </w:r>
          </w:p>
        </w:tc>
        <w:tc>
          <w:tcPr>
            <w:tcW w:w="0" w:type="auto"/>
            <w:tcBorders>
              <w:top w:val="single" w:sz="4" w:space="0" w:color="000000"/>
              <w:left w:val="single" w:sz="4" w:space="0" w:color="000000"/>
              <w:bottom w:val="single" w:sz="4" w:space="0" w:color="000000"/>
              <w:right w:val="single" w:sz="4" w:space="0" w:color="000000"/>
            </w:tcBorders>
            <w:vAlign w:val="center"/>
          </w:tcPr>
          <w:p w14:paraId="533ADAF0" w14:textId="77777777" w:rsidR="002B3F69" w:rsidRPr="00DD47DF" w:rsidRDefault="00934A97" w:rsidP="00F00D3E">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13EE1A42" w14:textId="77777777" w:rsidR="002B3F69" w:rsidRPr="00DD47DF" w:rsidRDefault="00934A97" w:rsidP="00F00D3E">
            <w:pPr>
              <w:pStyle w:val="Tabulka"/>
              <w:rPr>
                <w:rFonts w:cs="Calibri"/>
              </w:rPr>
            </w:pPr>
            <w:r>
              <w:rPr>
                <w:rFonts w:cs="Calibri"/>
              </w:rPr>
              <w:t>průběžně</w:t>
            </w:r>
          </w:p>
        </w:tc>
      </w:tr>
      <w:tr w:rsidR="00B75479" w:rsidRPr="00DD47DF" w14:paraId="03DE3886"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226E527A" w14:textId="6C348B53" w:rsidR="00B75479" w:rsidRPr="00DD47DF" w:rsidRDefault="00C75691" w:rsidP="008F41A1">
            <w:pPr>
              <w:pStyle w:val="Tabulka"/>
              <w:rPr>
                <w:rFonts w:cs="Calibri"/>
              </w:rPr>
            </w:pPr>
            <w:r w:rsidRPr="00DD47DF">
              <w:rPr>
                <w:rFonts w:cs="Calibri"/>
              </w:rPr>
              <w:t xml:space="preserve">CO </w:t>
            </w:r>
            <w:r w:rsidR="00B75479" w:rsidRPr="00DD47DF">
              <w:rPr>
                <w:rFonts w:cs="Calibri"/>
              </w:rPr>
              <w:t>10</w:t>
            </w:r>
          </w:p>
        </w:tc>
        <w:tc>
          <w:tcPr>
            <w:tcW w:w="0" w:type="auto"/>
            <w:tcBorders>
              <w:top w:val="single" w:sz="4" w:space="0" w:color="000000"/>
              <w:left w:val="single" w:sz="4" w:space="0" w:color="000000"/>
              <w:bottom w:val="single" w:sz="4" w:space="0" w:color="000000"/>
              <w:right w:val="single" w:sz="4" w:space="0" w:color="000000"/>
            </w:tcBorders>
            <w:vAlign w:val="center"/>
          </w:tcPr>
          <w:p w14:paraId="7D5EE197" w14:textId="77777777" w:rsidR="00B75479" w:rsidRPr="00DD47DF" w:rsidRDefault="00B75479" w:rsidP="008F41A1">
            <w:pPr>
              <w:pStyle w:val="Tabulka"/>
              <w:jc w:val="left"/>
              <w:rPr>
                <w:rFonts w:cs="Calibri"/>
              </w:rPr>
            </w:pPr>
            <w:r w:rsidRPr="00DD47DF">
              <w:rPr>
                <w:rFonts w:cs="Calibri"/>
              </w:rPr>
              <w:t>Domácnosti, které mají nově přístup k širokopásmovým sítím s přenosovou rychlostí nejméně 30 Mb/s</w:t>
            </w:r>
          </w:p>
        </w:tc>
        <w:tc>
          <w:tcPr>
            <w:tcW w:w="0" w:type="auto"/>
            <w:tcBorders>
              <w:top w:val="single" w:sz="4" w:space="0" w:color="000000"/>
              <w:left w:val="single" w:sz="4" w:space="0" w:color="000000"/>
              <w:bottom w:val="single" w:sz="4" w:space="0" w:color="000000"/>
              <w:right w:val="single" w:sz="4" w:space="0" w:color="000000"/>
            </w:tcBorders>
            <w:vAlign w:val="center"/>
          </w:tcPr>
          <w:p w14:paraId="3C0164CD" w14:textId="77777777" w:rsidR="00B75479" w:rsidRPr="00DD47DF" w:rsidRDefault="00B75479" w:rsidP="008F41A1">
            <w:pPr>
              <w:pStyle w:val="Tabulka"/>
              <w:rPr>
                <w:rFonts w:cs="Calibri"/>
              </w:rPr>
            </w:pPr>
            <w:r w:rsidRPr="00DD47DF">
              <w:rPr>
                <w:rFonts w:cs="Calibri"/>
              </w:rPr>
              <w:t>domácnosti</w:t>
            </w:r>
          </w:p>
        </w:tc>
        <w:tc>
          <w:tcPr>
            <w:tcW w:w="0" w:type="auto"/>
            <w:tcBorders>
              <w:top w:val="single" w:sz="4" w:space="0" w:color="000000"/>
              <w:left w:val="single" w:sz="4" w:space="0" w:color="000000"/>
              <w:bottom w:val="single" w:sz="4" w:space="0" w:color="000000"/>
              <w:right w:val="single" w:sz="4" w:space="0" w:color="000000"/>
            </w:tcBorders>
            <w:vAlign w:val="center"/>
          </w:tcPr>
          <w:p w14:paraId="1C84EB8F" w14:textId="77777777" w:rsidR="00B75479" w:rsidRPr="00DD47DF" w:rsidRDefault="00B75479" w:rsidP="00F00D3E">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324D93AF" w14:textId="77777777" w:rsidR="00B75479" w:rsidRPr="00DD47DF" w:rsidRDefault="00B75479" w:rsidP="00F00D3E">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65276608" w14:textId="77777777" w:rsidR="00B75479" w:rsidRPr="00DD47DF" w:rsidRDefault="007034D8" w:rsidP="00BD0A09">
            <w:pPr>
              <w:pStyle w:val="Tabulka"/>
              <w:rPr>
                <w:rFonts w:cs="Calibri"/>
              </w:rPr>
            </w:pPr>
            <w:r w:rsidRPr="00DD47DF">
              <w:rPr>
                <w:rFonts w:cs="Calibri"/>
              </w:rPr>
              <w:t>500 000</w:t>
            </w:r>
          </w:p>
        </w:tc>
        <w:tc>
          <w:tcPr>
            <w:tcW w:w="0" w:type="auto"/>
            <w:tcBorders>
              <w:top w:val="single" w:sz="4" w:space="0" w:color="000000"/>
              <w:left w:val="single" w:sz="4" w:space="0" w:color="000000"/>
              <w:bottom w:val="single" w:sz="4" w:space="0" w:color="000000"/>
              <w:right w:val="single" w:sz="4" w:space="0" w:color="000000"/>
            </w:tcBorders>
            <w:vAlign w:val="center"/>
          </w:tcPr>
          <w:p w14:paraId="3382295B" w14:textId="77777777" w:rsidR="00B75479" w:rsidRPr="00DD47DF" w:rsidRDefault="00B75479" w:rsidP="00D33A09">
            <w:pPr>
              <w:pStyle w:val="Tabulka"/>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237969D8" w14:textId="77777777" w:rsidR="00B75479" w:rsidRPr="00DD47DF" w:rsidRDefault="00743EBF" w:rsidP="008F41A1">
            <w:pPr>
              <w:pStyle w:val="Tabulka"/>
              <w:rPr>
                <w:rFonts w:cs="Calibri"/>
              </w:rPr>
            </w:pPr>
            <w:r>
              <w:rPr>
                <w:rFonts w:cs="Calibri"/>
              </w:rPr>
              <w:t>průběžně</w:t>
            </w:r>
          </w:p>
        </w:tc>
      </w:tr>
    </w:tbl>
    <w:p w14:paraId="7F2B10DE" w14:textId="77777777" w:rsidR="00B53995" w:rsidRPr="00DD47DF" w:rsidRDefault="00B53995" w:rsidP="00DA3512">
      <w:pPr>
        <w:pStyle w:val="kapitola2A0"/>
        <w:numPr>
          <w:ilvl w:val="2"/>
          <w:numId w:val="69"/>
        </w:numPr>
      </w:pPr>
      <w:bookmarkStart w:id="97" w:name="_Toc520445305"/>
      <w:r w:rsidRPr="00DD47DF">
        <w:t>INVESTIČNÍ PRIORITA 2 prioritní osy 4: Vyvíjení produktů a služeb v oblasti IKT, elektronický obchod a zvyšování poptávky po IKT</w:t>
      </w:r>
      <w:bookmarkEnd w:id="97"/>
    </w:p>
    <w:p w14:paraId="32330A96" w14:textId="77777777" w:rsidR="002E1C78" w:rsidRPr="00DD47DF" w:rsidRDefault="008C7D72" w:rsidP="00DA3512">
      <w:pPr>
        <w:pStyle w:val="kapitola2A0"/>
        <w:numPr>
          <w:ilvl w:val="2"/>
          <w:numId w:val="69"/>
        </w:numPr>
      </w:pPr>
      <w:bookmarkStart w:id="98" w:name="_Toc520445306"/>
      <w:r w:rsidRPr="00DD47DF">
        <w:t>Specifické cíle odpovídající investiční prioritě a očekávané výsledky</w:t>
      </w:r>
      <w:bookmarkEnd w:id="98"/>
    </w:p>
    <w:p w14:paraId="6B29F2BB" w14:textId="77777777" w:rsidR="00BA3276" w:rsidRPr="00DD47DF" w:rsidRDefault="002E1C78" w:rsidP="00BA3276">
      <w:pPr>
        <w:pStyle w:val="Modrnadpis"/>
      </w:pPr>
      <w:r w:rsidRPr="00DD47DF">
        <w:t xml:space="preserve">SPECIFICKÝ CÍL </w:t>
      </w:r>
      <w:r w:rsidR="006F258E" w:rsidRPr="00DD47DF">
        <w:t>4.</w:t>
      </w:r>
      <w:r w:rsidRPr="00DD47DF">
        <w:t xml:space="preserve">2: </w:t>
      </w:r>
      <w:r w:rsidR="00CE3F25" w:rsidRPr="00DD47DF">
        <w:t>Zvýšit využití potenciálu ICT sektoru pro konkurenceschopnost ekonomiky</w:t>
      </w:r>
    </w:p>
    <w:p w14:paraId="4351F2C2" w14:textId="77777777" w:rsidR="00396DB9" w:rsidRPr="00DD47DF" w:rsidRDefault="00396DB9" w:rsidP="00116A3E">
      <w:pPr>
        <w:pStyle w:val="Standardntext"/>
      </w:pPr>
      <w:r w:rsidRPr="00DD47DF">
        <w:t>Sofistikované produkty v oblasti ICT a související služby jsou prvky základního významu, které horizontálně prostupují všechny obory lidské činnosti</w:t>
      </w:r>
      <w:r w:rsidR="00320CEA" w:rsidRPr="00DD47DF">
        <w:t>,</w:t>
      </w:r>
      <w:r w:rsidRPr="00DD47DF">
        <w:t xml:space="preserve"> a bez nich</w:t>
      </w:r>
      <w:r w:rsidR="00320CEA" w:rsidRPr="00DD47DF">
        <w:t>ž</w:t>
      </w:r>
      <w:r w:rsidRPr="00DD47DF">
        <w:t xml:space="preserve"> nelze efektivně realizovat podnikatelské záměry</w:t>
      </w:r>
      <w:r w:rsidR="00320CEA" w:rsidRPr="00DD47DF">
        <w:t>,</w:t>
      </w:r>
      <w:r w:rsidRPr="00DD47DF">
        <w:t xml:space="preserve"> ani zvyšovat kvalitu života společnosti. Český I</w:t>
      </w:r>
      <w:r w:rsidR="00320CEA" w:rsidRPr="00DD47DF">
        <w:t>C</w:t>
      </w:r>
      <w:r w:rsidRPr="00DD47DF">
        <w:t xml:space="preserve">T sektor má velký, dosud ne zcela využitý potenciál, který bude za pomoci tohoto specifického cíle přeměněn ve hmatatelné výsledky. Hlavním cílem je růst konkurenceschopnosti založený na vyvíjení a využívání vysoce inovativních </w:t>
      </w:r>
      <w:r w:rsidR="00320CEA" w:rsidRPr="00DD47DF">
        <w:t>ICT</w:t>
      </w:r>
      <w:r w:rsidRPr="00DD47DF">
        <w:t>.</w:t>
      </w:r>
    </w:p>
    <w:p w14:paraId="39DADC03" w14:textId="77777777" w:rsidR="003F4488" w:rsidRPr="00DD47DF" w:rsidRDefault="003508A9" w:rsidP="00396141">
      <w:pPr>
        <w:pStyle w:val="Modrnadpis"/>
      </w:pPr>
      <w:r w:rsidRPr="00DD47DF">
        <w:t>Výsledky, kterých chce ČR dosáhnout s podporou Unie</w:t>
      </w:r>
    </w:p>
    <w:p w14:paraId="1C372945" w14:textId="77777777" w:rsidR="0025663C" w:rsidRPr="00DD47DF" w:rsidRDefault="0006102D" w:rsidP="00FB3387">
      <w:pPr>
        <w:pStyle w:val="Standardntext"/>
        <w:numPr>
          <w:ilvl w:val="0"/>
          <w:numId w:val="37"/>
        </w:numPr>
      </w:pPr>
      <w:r w:rsidRPr="00DD47DF">
        <w:t xml:space="preserve">Rozšíření a zvýšení nabídky nových informačních systémů, ICT řešení a vysoce sofistikovaných ICT nástrojů, cloudových řešení a služeb a nových softwarových produktů a služeb, moderních a pokrokových digitálních služeb a aplikací např. v </w:t>
      </w:r>
      <w:r w:rsidRPr="00DD47DF">
        <w:lastRenderedPageBreak/>
        <w:t>oblasti komunikace, zábavy, obchodování, vzdělávání, zdravotnictví nebo přístupu k zaměstnání</w:t>
      </w:r>
      <w:r w:rsidR="00333BB8" w:rsidRPr="00DD47DF">
        <w:t>, a tím naplnění potenciálu, kterým ČR v tomto sektoru disponuje</w:t>
      </w:r>
      <w:r w:rsidRPr="00DD47DF">
        <w:t>.</w:t>
      </w:r>
      <w:r w:rsidR="0025663C" w:rsidRPr="00DD47DF">
        <w:t xml:space="preserve"> Očekávanou změnou je zvýšení nabídky ICT řešení, sdílených služeb a služeb datových center</w:t>
      </w:r>
      <w:r w:rsidR="00002278" w:rsidRPr="00DD47DF">
        <w:t xml:space="preserve">. Podpora </w:t>
      </w:r>
      <w:r w:rsidR="00936B63" w:rsidRPr="00DD47DF">
        <w:t xml:space="preserve">je </w:t>
      </w:r>
      <w:r w:rsidR="00002278" w:rsidRPr="00DD47DF">
        <w:t xml:space="preserve">tedy </w:t>
      </w:r>
      <w:r w:rsidR="00936B63" w:rsidRPr="00DD47DF">
        <w:t>orientována</w:t>
      </w:r>
      <w:r w:rsidR="00002278" w:rsidRPr="00DD47DF">
        <w:t xml:space="preserve"> na nabídkovou stranu</w:t>
      </w:r>
      <w:r w:rsidR="00936B63" w:rsidRPr="00DD47DF">
        <w:t xml:space="preserve"> tzn. na ICT firmy, které vytvářejí vlastní ICT řešení. Smyslem tohoto </w:t>
      </w:r>
      <w:r w:rsidR="0023153A" w:rsidRPr="00DD47DF">
        <w:t>specifického cíle</w:t>
      </w:r>
      <w:r w:rsidR="00936B63" w:rsidRPr="00DD47DF">
        <w:t xml:space="preserve"> není prosté vybavení podniků hardwarem či softwarem.</w:t>
      </w:r>
      <w:r w:rsidR="00002278" w:rsidRPr="00DD47DF">
        <w:t xml:space="preserve"> Zákazníci, tj. podnikatelské subjekty a obyvatelé využívající IT, budou tato řešení a služby poptávat, což v konečném důsledku povede ke snížení jejich nákladů a zvýšení konkurenceschopnosti.</w:t>
      </w:r>
    </w:p>
    <w:p w14:paraId="0B370F2A" w14:textId="77777777" w:rsidR="00396141" w:rsidRPr="00DD47DF" w:rsidRDefault="00396141" w:rsidP="00FB3387">
      <w:pPr>
        <w:pStyle w:val="Standardntext"/>
        <w:numPr>
          <w:ilvl w:val="0"/>
          <w:numId w:val="37"/>
        </w:numPr>
      </w:pPr>
      <w:r w:rsidRPr="00DD47DF">
        <w:t xml:space="preserve">Lepší uplatnění produktů českých IT </w:t>
      </w:r>
      <w:r w:rsidR="00594BD9" w:rsidRPr="00DD47DF">
        <w:t>podniků</w:t>
      </w:r>
      <w:r w:rsidRPr="00DD47DF">
        <w:t xml:space="preserve"> na globálním trhu. Specifický cíl pomůže českým </w:t>
      </w:r>
      <w:r w:rsidR="00594BD9" w:rsidRPr="00DD47DF">
        <w:t>podnikům</w:t>
      </w:r>
      <w:r w:rsidRPr="00DD47DF">
        <w:t xml:space="preserve"> dostat se do povědomí zahraničních zákazníků jako dodavatelé kvalitních ICT řešení</w:t>
      </w:r>
      <w:r w:rsidR="003F2CA2" w:rsidRPr="00DD47DF">
        <w:t xml:space="preserve"> například v oblastech vývoje aplikací pro mobilní zařízení, bezpečnosti dat, sociálních sítí a dalších</w:t>
      </w:r>
      <w:r w:rsidRPr="00DD47DF">
        <w:t>.</w:t>
      </w:r>
    </w:p>
    <w:p w14:paraId="5A4D8297" w14:textId="77777777" w:rsidR="00396141" w:rsidRPr="00DD47DF" w:rsidRDefault="001F7140" w:rsidP="00FB3387">
      <w:pPr>
        <w:pStyle w:val="Standardntext"/>
        <w:numPr>
          <w:ilvl w:val="0"/>
          <w:numId w:val="37"/>
        </w:numPr>
      </w:pPr>
      <w:r w:rsidRPr="00DD47DF">
        <w:t>Vývojem nových ICT řešení dojde sekundárně k r</w:t>
      </w:r>
      <w:r w:rsidR="00396141" w:rsidRPr="00DD47DF">
        <w:t>ozvoj</w:t>
      </w:r>
      <w:r w:rsidRPr="00DD47DF">
        <w:t>i</w:t>
      </w:r>
      <w:r w:rsidR="00396141" w:rsidRPr="00DD47DF">
        <w:t xml:space="preserve"> znalostí a dovedností IT odborníků</w:t>
      </w:r>
      <w:r w:rsidRPr="00DD47DF">
        <w:t>, kteří tak budou schopni pružně reagovat na velmi dynamicky se vyvíjející trendy v tomto odvětví</w:t>
      </w:r>
      <w:r w:rsidR="00396141" w:rsidRPr="00DD47DF">
        <w:t>.</w:t>
      </w:r>
      <w:r w:rsidR="00F719E9" w:rsidRPr="00DD47DF">
        <w:t xml:space="preserve"> Obecně potom </w:t>
      </w:r>
      <w:r w:rsidRPr="00DD47DF">
        <w:t xml:space="preserve">dojde k </w:t>
      </w:r>
      <w:r w:rsidR="00396DB9" w:rsidRPr="00DD47DF">
        <w:t>rozvoj</w:t>
      </w:r>
      <w:r w:rsidRPr="00DD47DF">
        <w:t>i</w:t>
      </w:r>
      <w:r w:rsidR="00396DB9" w:rsidRPr="00DD47DF">
        <w:t xml:space="preserve"> lidských zdrojů, zejména </w:t>
      </w:r>
      <w:r w:rsidRPr="00DD47DF">
        <w:t>s ohledem na jejich mobilitu, což přispěje ke</w:t>
      </w:r>
      <w:r w:rsidR="00F719E9" w:rsidRPr="00DD47DF">
        <w:t xml:space="preserve"> tvorb</w:t>
      </w:r>
      <w:r w:rsidRPr="00DD47DF">
        <w:t>ě</w:t>
      </w:r>
      <w:r w:rsidR="00F719E9" w:rsidRPr="00DD47DF">
        <w:t xml:space="preserve"> vysoce kvalifikovaných pracovních míst v sektoru služeb.</w:t>
      </w:r>
    </w:p>
    <w:p w14:paraId="6A97CDDE" w14:textId="77777777" w:rsidR="00F719E9" w:rsidRPr="00DD47DF" w:rsidRDefault="00F95834" w:rsidP="00FB3387">
      <w:pPr>
        <w:pStyle w:val="Standardntext"/>
        <w:numPr>
          <w:ilvl w:val="0"/>
          <w:numId w:val="37"/>
        </w:numPr>
      </w:pPr>
      <w:r w:rsidRPr="00DD47DF">
        <w:t>Prostřednictvím sdílených služeb přispět</w:t>
      </w:r>
      <w:r w:rsidR="00F719E9" w:rsidRPr="00DD47DF">
        <w:t xml:space="preserve"> ke snižování </w:t>
      </w:r>
      <w:r w:rsidR="00396DB9" w:rsidRPr="00DD47DF">
        <w:t xml:space="preserve">investičních nákladů a </w:t>
      </w:r>
      <w:r w:rsidR="00F719E9" w:rsidRPr="00DD47DF">
        <w:t>nákladovosti procesů a zvyšování efektivity činností v podnicích, a tím ke zvyšování jejich konkurenceschopnosti.</w:t>
      </w:r>
      <w:r w:rsidR="00396DB9" w:rsidRPr="00DD47DF">
        <w:t xml:space="preserve"> Dojde k úsporám z rozsahu, kdy sdílené služby mohou být nabízeny a poskytovány více uživatelům současně.</w:t>
      </w:r>
    </w:p>
    <w:p w14:paraId="5CC1B6E2" w14:textId="77777777" w:rsidR="00396141" w:rsidRPr="00DD47DF" w:rsidRDefault="00396141" w:rsidP="00FB3387">
      <w:pPr>
        <w:pStyle w:val="Standardntext"/>
        <w:numPr>
          <w:ilvl w:val="0"/>
          <w:numId w:val="37"/>
        </w:numPr>
      </w:pPr>
      <w:r w:rsidRPr="00DD47DF">
        <w:t xml:space="preserve">V oblasti sdílených služeb specifický cíl </w:t>
      </w:r>
      <w:r w:rsidR="00F719E9" w:rsidRPr="00DD47DF">
        <w:t xml:space="preserve">rovněž </w:t>
      </w:r>
      <w:r w:rsidRPr="00DD47DF">
        <w:t>přispěje k potvrzení pozice Č</w:t>
      </w:r>
      <w:r w:rsidR="0023153A" w:rsidRPr="00DD47DF">
        <w:t>R</w:t>
      </w:r>
      <w:r w:rsidRPr="00DD47DF">
        <w:t xml:space="preserve"> jako ideální lokace pro umístění velkých center sdílených služeb a budování datových center.</w:t>
      </w:r>
    </w:p>
    <w:p w14:paraId="0E91D1E6" w14:textId="77777777" w:rsidR="00116A3E" w:rsidRPr="00DD47DF" w:rsidRDefault="00116A3E" w:rsidP="00FB3387">
      <w:pPr>
        <w:pStyle w:val="Standardntext"/>
        <w:numPr>
          <w:ilvl w:val="0"/>
          <w:numId w:val="37"/>
        </w:numPr>
      </w:pPr>
      <w:r w:rsidRPr="00DD47DF">
        <w:t>Rozvoj informační a znalostní společnosti.</w:t>
      </w:r>
    </w:p>
    <w:p w14:paraId="0B2E1736" w14:textId="77777777" w:rsidR="002E1C78" w:rsidRPr="00DD47DF" w:rsidRDefault="002E1C78" w:rsidP="00B22DB8">
      <w:pPr>
        <w:pStyle w:val="Titulek"/>
        <w:keepNext/>
        <w:keepLines/>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0" w:type="auto"/>
        <w:tblCellMar>
          <w:left w:w="57" w:type="dxa"/>
          <w:right w:w="57" w:type="dxa"/>
        </w:tblCellMar>
        <w:tblLook w:val="01E0" w:firstRow="1" w:lastRow="1" w:firstColumn="1" w:lastColumn="1" w:noHBand="0" w:noVBand="0"/>
      </w:tblPr>
      <w:tblGrid>
        <w:gridCol w:w="664"/>
        <w:gridCol w:w="1257"/>
        <w:gridCol w:w="993"/>
        <w:gridCol w:w="1194"/>
        <w:gridCol w:w="1053"/>
        <w:gridCol w:w="952"/>
        <w:gridCol w:w="1156"/>
        <w:gridCol w:w="790"/>
        <w:gridCol w:w="1267"/>
      </w:tblGrid>
      <w:tr w:rsidR="00CF739D" w:rsidRPr="00DD47DF" w14:paraId="1343856A" w14:textId="77777777">
        <w:trPr>
          <w:trHeight w:hRule="exact" w:val="1483"/>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23D1E01" w14:textId="77777777" w:rsidR="00CF739D" w:rsidRPr="00DD47DF" w:rsidRDefault="00CF739D" w:rsidP="00B22DB8">
            <w:pPr>
              <w:pStyle w:val="Tabulka"/>
              <w:keepNext/>
              <w:keepLines/>
              <w:rPr>
                <w:rFonts w:cs="Calibri"/>
                <w:b/>
                <w:bCs/>
              </w:rPr>
            </w:pPr>
            <w:r w:rsidRPr="00DD47DF">
              <w:rPr>
                <w:rFonts w:cs="Calibri"/>
                <w:b/>
                <w:bCs/>
              </w:rPr>
              <w:t>ID</w:t>
            </w:r>
          </w:p>
        </w:tc>
        <w:tc>
          <w:tcPr>
            <w:tcW w:w="1257"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DB4C65B" w14:textId="77777777" w:rsidR="00CF739D" w:rsidRPr="00DD47DF" w:rsidRDefault="00CF739D" w:rsidP="00B22DB8">
            <w:pPr>
              <w:pStyle w:val="Tabulka"/>
              <w:keepNext/>
              <w:keepLines/>
              <w:rPr>
                <w:rFonts w:cs="Calibri"/>
                <w:b/>
                <w:bCs/>
              </w:rPr>
            </w:pPr>
            <w:r w:rsidRPr="00DD47DF">
              <w:rPr>
                <w:rFonts w:cs="Calibri"/>
                <w:b/>
                <w:bCs/>
              </w:rPr>
              <w:t>Ukazatel</w:t>
            </w:r>
          </w:p>
        </w:tc>
        <w:tc>
          <w:tcPr>
            <w:tcW w:w="993"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1B2A8188" w14:textId="77777777" w:rsidR="00CF739D" w:rsidRPr="00DD47DF" w:rsidRDefault="00CF739D" w:rsidP="00B22DB8">
            <w:pPr>
              <w:pStyle w:val="Tabulka"/>
              <w:keepNext/>
              <w:keepLines/>
              <w:rPr>
                <w:rFonts w:cs="Calibri"/>
                <w:b/>
                <w:bCs/>
              </w:rPr>
            </w:pPr>
            <w:r w:rsidRPr="00DD47DF">
              <w:rPr>
                <w:rFonts w:cs="Calibri"/>
                <w:b/>
                <w:bCs/>
              </w:rPr>
              <w:t>Měrná</w:t>
            </w:r>
          </w:p>
          <w:p w14:paraId="48B7FB2C" w14:textId="77777777" w:rsidR="00CF739D" w:rsidRPr="00DD47DF" w:rsidRDefault="00CF739D" w:rsidP="00B22DB8">
            <w:pPr>
              <w:pStyle w:val="Tabulka"/>
              <w:keepNext/>
              <w:keepLines/>
              <w:rPr>
                <w:rFonts w:cs="Calibri"/>
                <w:b/>
                <w:bCs/>
              </w:rPr>
            </w:pPr>
            <w:r w:rsidRPr="00DD47DF">
              <w:rPr>
                <w:rFonts w:cs="Calibri"/>
                <w:b/>
                <w:bCs/>
              </w:rPr>
              <w:t>jednotka</w:t>
            </w:r>
          </w:p>
        </w:tc>
        <w:tc>
          <w:tcPr>
            <w:tcW w:w="1194"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52BACBC" w14:textId="77777777" w:rsidR="00CF739D" w:rsidRPr="00DD47DF" w:rsidRDefault="00CF739D" w:rsidP="00B22DB8">
            <w:pPr>
              <w:pStyle w:val="Tabulka"/>
              <w:keepNext/>
              <w:keepLines/>
              <w:rPr>
                <w:rFonts w:cs="Calibri"/>
                <w:b/>
                <w:bCs/>
              </w:rPr>
            </w:pPr>
            <w:r w:rsidRPr="00DD47DF">
              <w:rPr>
                <w:rFonts w:cs="Calibri"/>
                <w:b/>
                <w:bCs/>
              </w:rPr>
              <w:t>Kategorie regionů (je-li relevantní)</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78E9BC4" w14:textId="77777777" w:rsidR="00CF739D" w:rsidRPr="00DD47DF" w:rsidRDefault="004B0854" w:rsidP="00B22DB8">
            <w:pPr>
              <w:pStyle w:val="Tabulka"/>
              <w:keepNext/>
              <w:keepLines/>
              <w:rPr>
                <w:rFonts w:cs="Calibri"/>
                <w:b/>
                <w:bCs/>
              </w:rPr>
            </w:pPr>
            <w:r w:rsidRPr="00DD47DF">
              <w:rPr>
                <w:rFonts w:cs="Calibri"/>
                <w:b/>
                <w:bCs/>
              </w:rPr>
              <w:t>Výchozí hodnota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4FA5E29" w14:textId="77777777" w:rsidR="00CF739D" w:rsidRPr="00DD47DF" w:rsidRDefault="004B0854" w:rsidP="004B0854">
            <w:pPr>
              <w:pStyle w:val="Tabulka"/>
              <w:keepNext/>
              <w:keepLines/>
              <w:rPr>
                <w:rFonts w:cs="Calibri"/>
                <w:b/>
                <w:bCs/>
              </w:rPr>
            </w:pPr>
            <w:r w:rsidRPr="00DD47DF">
              <w:rPr>
                <w:rFonts w:cs="Calibri"/>
                <w:b/>
                <w:bCs/>
              </w:rPr>
              <w:t xml:space="preserve">Výchozí </w:t>
            </w:r>
            <w:r w:rsidR="00CF739D" w:rsidRPr="00DD47DF">
              <w:rPr>
                <w:rFonts w:cs="Calibri"/>
                <w:b/>
                <w:bCs/>
              </w:rPr>
              <w:t>rok</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3FB07F7" w14:textId="77777777" w:rsidR="00CF739D" w:rsidRPr="00DD47DF" w:rsidRDefault="00CF739D" w:rsidP="00B22DB8">
            <w:pPr>
              <w:pStyle w:val="Tabulka"/>
              <w:keepNext/>
              <w:keepLines/>
              <w:rPr>
                <w:rFonts w:cs="Calibri"/>
                <w:b/>
                <w:bCs/>
              </w:rPr>
            </w:pPr>
            <w:r w:rsidRPr="00DD47DF">
              <w:rPr>
                <w:rFonts w:cs="Calibri"/>
                <w:b/>
                <w:bCs/>
              </w:rPr>
              <w:t>Cílová hodnota (2023)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06D43A2" w14:textId="77777777" w:rsidR="00CF739D" w:rsidRPr="00DD47DF" w:rsidRDefault="00CF739D" w:rsidP="00B22DB8">
            <w:pPr>
              <w:pStyle w:val="Tabulka"/>
              <w:keepNext/>
              <w:keepLines/>
              <w:rPr>
                <w:rFonts w:cs="Calibri"/>
                <w:b/>
                <w:bCs/>
              </w:rPr>
            </w:pPr>
            <w:r w:rsidRPr="00DD47DF">
              <w:rPr>
                <w:rFonts w:cs="Calibri"/>
                <w:b/>
                <w:bCs/>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AC85A79" w14:textId="77777777" w:rsidR="00CF739D" w:rsidRPr="00DD47DF" w:rsidRDefault="00CF739D" w:rsidP="00B22DB8">
            <w:pPr>
              <w:pStyle w:val="Tabulka"/>
              <w:keepNext/>
              <w:keepLines/>
              <w:rPr>
                <w:rFonts w:cs="Calibri"/>
                <w:b/>
                <w:bCs/>
              </w:rPr>
            </w:pPr>
            <w:r w:rsidRPr="00DD47DF">
              <w:rPr>
                <w:rFonts w:cs="Calibri"/>
                <w:b/>
                <w:bCs/>
              </w:rPr>
              <w:t>Četnost podávání zpráv</w:t>
            </w:r>
          </w:p>
        </w:tc>
      </w:tr>
      <w:tr w:rsidR="002E1C78" w:rsidRPr="00DD47DF" w14:paraId="7D61D145" w14:textId="77777777" w:rsidTr="00A556B6">
        <w:trPr>
          <w:trHeight w:hRule="exact" w:val="1400"/>
        </w:trPr>
        <w:tc>
          <w:tcPr>
            <w:tcW w:w="0" w:type="auto"/>
            <w:tcBorders>
              <w:top w:val="single" w:sz="4" w:space="0" w:color="000000"/>
              <w:left w:val="single" w:sz="4" w:space="0" w:color="000000"/>
              <w:bottom w:val="single" w:sz="4" w:space="0" w:color="000000"/>
              <w:right w:val="single" w:sz="4" w:space="0" w:color="000000"/>
            </w:tcBorders>
            <w:vAlign w:val="center"/>
          </w:tcPr>
          <w:p w14:paraId="2061E27D" w14:textId="77777777" w:rsidR="002E1C78" w:rsidRPr="00DD47DF" w:rsidRDefault="00FA2A8A" w:rsidP="006F258E">
            <w:pPr>
              <w:pStyle w:val="Tabulka"/>
              <w:keepLines/>
              <w:rPr>
                <w:rFonts w:cs="Calibri"/>
              </w:rPr>
            </w:pPr>
            <w:r w:rsidRPr="00DD47DF">
              <w:rPr>
                <w:rFonts w:cs="Calibri"/>
              </w:rPr>
              <w:t>30002</w:t>
            </w:r>
          </w:p>
        </w:tc>
        <w:tc>
          <w:tcPr>
            <w:tcW w:w="1257" w:type="dxa"/>
            <w:tcBorders>
              <w:top w:val="single" w:sz="4" w:space="0" w:color="000000"/>
              <w:left w:val="single" w:sz="4" w:space="0" w:color="000000"/>
              <w:bottom w:val="single" w:sz="4" w:space="0" w:color="000000"/>
              <w:right w:val="single" w:sz="4" w:space="0" w:color="000000"/>
            </w:tcBorders>
            <w:vAlign w:val="center"/>
          </w:tcPr>
          <w:p w14:paraId="663AAAFA" w14:textId="77777777" w:rsidR="002E1C78" w:rsidRPr="00DD47DF" w:rsidRDefault="001B36DC" w:rsidP="006F258E">
            <w:pPr>
              <w:pStyle w:val="Tabulka"/>
              <w:keepLines/>
              <w:jc w:val="left"/>
              <w:rPr>
                <w:rFonts w:cs="Calibri"/>
              </w:rPr>
            </w:pPr>
            <w:r w:rsidRPr="00DD47DF">
              <w:rPr>
                <w:rFonts w:cs="Calibri"/>
              </w:rPr>
              <w:t>Přidaná hodnota IT služeb jako podíl na HDP</w:t>
            </w:r>
          </w:p>
        </w:tc>
        <w:tc>
          <w:tcPr>
            <w:tcW w:w="993" w:type="dxa"/>
            <w:tcBorders>
              <w:top w:val="single" w:sz="4" w:space="0" w:color="000000"/>
              <w:left w:val="single" w:sz="4" w:space="0" w:color="000000"/>
              <w:bottom w:val="single" w:sz="4" w:space="0" w:color="000000"/>
              <w:right w:val="single" w:sz="4" w:space="0" w:color="000000"/>
            </w:tcBorders>
            <w:vAlign w:val="center"/>
          </w:tcPr>
          <w:p w14:paraId="73BE234A" w14:textId="77777777" w:rsidR="002E1C78" w:rsidRPr="00DD47DF" w:rsidRDefault="001B36DC" w:rsidP="006F258E">
            <w:pPr>
              <w:pStyle w:val="Tabulka"/>
              <w:keepLines/>
              <w:rPr>
                <w:rFonts w:cs="Calibri"/>
                <w:vertAlign w:val="superscript"/>
              </w:rPr>
            </w:pPr>
            <w:r w:rsidRPr="00DD47DF">
              <w:rPr>
                <w:rFonts w:cs="Calibri"/>
                <w:vertAlign w:val="superscript"/>
              </w:rPr>
              <w:t>%</w:t>
            </w:r>
          </w:p>
        </w:tc>
        <w:tc>
          <w:tcPr>
            <w:tcW w:w="1194" w:type="dxa"/>
            <w:tcBorders>
              <w:top w:val="single" w:sz="4" w:space="0" w:color="000000"/>
              <w:left w:val="single" w:sz="4" w:space="0" w:color="000000"/>
              <w:bottom w:val="single" w:sz="4" w:space="0" w:color="000000"/>
              <w:right w:val="single" w:sz="4" w:space="0" w:color="000000"/>
            </w:tcBorders>
            <w:vAlign w:val="center"/>
          </w:tcPr>
          <w:p w14:paraId="605CD25B" w14:textId="77777777" w:rsidR="002E1C78" w:rsidRPr="00DD47DF" w:rsidRDefault="002B3F69" w:rsidP="006F258E">
            <w:pPr>
              <w:pStyle w:val="Tabulka"/>
              <w:keepLines/>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63FECC4A" w14:textId="77777777" w:rsidR="002E1C78" w:rsidRPr="00DD47DF" w:rsidRDefault="001B36DC" w:rsidP="006F258E">
            <w:pPr>
              <w:pStyle w:val="Tabulka"/>
              <w:keepLines/>
              <w:rPr>
                <w:rFonts w:cs="Calibri"/>
              </w:rPr>
            </w:pPr>
            <w:r w:rsidRPr="00DD47DF">
              <w:rPr>
                <w:rFonts w:cs="Calibri"/>
              </w:rPr>
              <w:t>2,09</w:t>
            </w:r>
          </w:p>
        </w:tc>
        <w:tc>
          <w:tcPr>
            <w:tcW w:w="0" w:type="auto"/>
            <w:tcBorders>
              <w:top w:val="single" w:sz="4" w:space="0" w:color="000000"/>
              <w:left w:val="single" w:sz="4" w:space="0" w:color="000000"/>
              <w:bottom w:val="single" w:sz="4" w:space="0" w:color="000000"/>
              <w:right w:val="single" w:sz="4" w:space="0" w:color="000000"/>
            </w:tcBorders>
            <w:vAlign w:val="center"/>
          </w:tcPr>
          <w:p w14:paraId="40F02DEA" w14:textId="77777777" w:rsidR="002E1C78" w:rsidRPr="00DD47DF" w:rsidRDefault="001B36DC" w:rsidP="006F258E">
            <w:pPr>
              <w:pStyle w:val="Tabulka"/>
              <w:keepLines/>
              <w:rPr>
                <w:rFonts w:cs="Calibri"/>
              </w:rPr>
            </w:pPr>
            <w:r w:rsidRPr="00DD47DF">
              <w:rPr>
                <w:rFonts w:cs="Calibri"/>
              </w:rPr>
              <w:t>2012</w:t>
            </w:r>
          </w:p>
        </w:tc>
        <w:tc>
          <w:tcPr>
            <w:tcW w:w="0" w:type="auto"/>
            <w:tcBorders>
              <w:top w:val="single" w:sz="4" w:space="0" w:color="000000"/>
              <w:left w:val="single" w:sz="4" w:space="0" w:color="000000"/>
              <w:bottom w:val="single" w:sz="4" w:space="0" w:color="000000"/>
              <w:right w:val="single" w:sz="4" w:space="0" w:color="000000"/>
            </w:tcBorders>
            <w:vAlign w:val="center"/>
          </w:tcPr>
          <w:p w14:paraId="591E4D96" w14:textId="77777777" w:rsidR="002E1C78" w:rsidRPr="00DD47DF" w:rsidRDefault="004E3102" w:rsidP="006F258E">
            <w:pPr>
              <w:pStyle w:val="Tabulka"/>
              <w:keepLines/>
              <w:rPr>
                <w:rFonts w:cs="Calibri"/>
              </w:rPr>
            </w:pPr>
            <w:r w:rsidRPr="00DD47DF">
              <w:rPr>
                <w:rFonts w:cs="Calibri"/>
              </w:rPr>
              <w:t>2,3 – 2,5</w:t>
            </w:r>
            <w:r w:rsidR="00247F68" w:rsidRPr="00DD47DF">
              <w:rPr>
                <w:rStyle w:val="Znakapoznpodarou"/>
                <w:rFonts w:cs="Calibri"/>
              </w:rPr>
              <w:footnoteReference w:id="75"/>
            </w:r>
          </w:p>
        </w:tc>
        <w:tc>
          <w:tcPr>
            <w:tcW w:w="0" w:type="auto"/>
            <w:tcBorders>
              <w:top w:val="single" w:sz="4" w:space="0" w:color="000000"/>
              <w:left w:val="single" w:sz="4" w:space="0" w:color="000000"/>
              <w:bottom w:val="single" w:sz="4" w:space="0" w:color="000000"/>
              <w:right w:val="single" w:sz="4" w:space="0" w:color="000000"/>
            </w:tcBorders>
            <w:vAlign w:val="center"/>
          </w:tcPr>
          <w:p w14:paraId="7A935CB0" w14:textId="77777777" w:rsidR="002E1C78" w:rsidRPr="00DD47DF" w:rsidRDefault="001B36DC" w:rsidP="002B3F69">
            <w:pPr>
              <w:pStyle w:val="Tabulka"/>
              <w:keepLines/>
              <w:rPr>
                <w:rFonts w:cs="Calibri"/>
              </w:rPr>
            </w:pPr>
            <w:r w:rsidRPr="00DD47DF">
              <w:rPr>
                <w:rFonts w:cs="Calibri"/>
              </w:rPr>
              <w:t>ČSÚ</w:t>
            </w:r>
          </w:p>
        </w:tc>
        <w:tc>
          <w:tcPr>
            <w:tcW w:w="0" w:type="auto"/>
            <w:tcBorders>
              <w:top w:val="single" w:sz="4" w:space="0" w:color="000000"/>
              <w:left w:val="single" w:sz="4" w:space="0" w:color="000000"/>
              <w:bottom w:val="single" w:sz="4" w:space="0" w:color="000000"/>
              <w:right w:val="single" w:sz="4" w:space="0" w:color="000000"/>
            </w:tcBorders>
            <w:vAlign w:val="center"/>
          </w:tcPr>
          <w:p w14:paraId="0257CD0B" w14:textId="77777777" w:rsidR="002E1C78" w:rsidRPr="00DD47DF" w:rsidRDefault="001B36DC" w:rsidP="006F258E">
            <w:pPr>
              <w:pStyle w:val="Tabulka"/>
              <w:keepLines/>
              <w:rPr>
                <w:rFonts w:cs="Calibri"/>
              </w:rPr>
            </w:pPr>
            <w:r w:rsidRPr="00DD47DF">
              <w:rPr>
                <w:rFonts w:cs="Calibri"/>
              </w:rPr>
              <w:t>ročně</w:t>
            </w:r>
          </w:p>
        </w:tc>
      </w:tr>
    </w:tbl>
    <w:p w14:paraId="2CA63FB4" w14:textId="77777777" w:rsidR="002E1C78" w:rsidRPr="00DD47DF" w:rsidRDefault="001B2E5C" w:rsidP="00DA3512">
      <w:pPr>
        <w:pStyle w:val="kapitola2A0"/>
        <w:numPr>
          <w:ilvl w:val="2"/>
          <w:numId w:val="69"/>
        </w:numPr>
      </w:pPr>
      <w:bookmarkStart w:id="99" w:name="_Toc520445307"/>
      <w:r w:rsidRPr="00DD47DF">
        <w:lastRenderedPageBreak/>
        <w:t>Opatření, jež má být podpořeno v rámci investiční priority</w:t>
      </w:r>
      <w:bookmarkEnd w:id="99"/>
    </w:p>
    <w:p w14:paraId="00E69BB6" w14:textId="77777777" w:rsidR="002E1C78" w:rsidRPr="00DD47DF" w:rsidRDefault="00D479AF" w:rsidP="005F43DF">
      <w:pPr>
        <w:pStyle w:val="Nadpis5"/>
        <w:numPr>
          <w:ilvl w:val="4"/>
          <w:numId w:val="27"/>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29F034E3" w14:textId="77777777" w:rsidR="002E1C78" w:rsidRPr="00DD47DF" w:rsidRDefault="000A2EB4" w:rsidP="00DF4F92">
      <w:pPr>
        <w:pStyle w:val="Standardntext"/>
        <w:rPr>
          <w:b/>
        </w:rPr>
      </w:pPr>
      <w:r w:rsidRPr="00DD47DF">
        <w:rPr>
          <w:b/>
        </w:rPr>
        <w:t>Aktivity pro tento specifický cíl:</w:t>
      </w:r>
    </w:p>
    <w:p w14:paraId="7F29C2E7" w14:textId="77777777" w:rsidR="002E1C78" w:rsidRPr="00DD47DF" w:rsidRDefault="001E5FB8" w:rsidP="00FB3387">
      <w:pPr>
        <w:pStyle w:val="Standardntext"/>
        <w:numPr>
          <w:ilvl w:val="0"/>
          <w:numId w:val="42"/>
        </w:numPr>
      </w:pPr>
      <w:r w:rsidRPr="00DD47DF">
        <w:t>T</w:t>
      </w:r>
      <w:r w:rsidR="002E1C78" w:rsidRPr="00DD47DF">
        <w:t>vorba nových</w:t>
      </w:r>
      <w:r w:rsidR="005644D4" w:rsidRPr="00DD47DF">
        <w:t xml:space="preserve"> sofistikovaných</w:t>
      </w:r>
      <w:r w:rsidR="002E1C78" w:rsidRPr="00DD47DF">
        <w:t xml:space="preserve"> ICT řešení</w:t>
      </w:r>
      <w:r w:rsidR="0048615E" w:rsidRPr="00DD47DF">
        <w:t xml:space="preserve"> </w:t>
      </w:r>
      <w:r w:rsidR="0048615E" w:rsidRPr="00DD47DF">
        <w:rPr>
          <w:lang w:eastAsia="en-US"/>
        </w:rPr>
        <w:t>(zejména ERP systémy, CRM systémy, platební a karetní systémy, bezpečnost dat, personální systémy, B2B systémy, B2C systémy, IS pro neziskový a státní sektor, power management, procesně orientované webové aplikace, řešení pro mobilní zařízení, Business Intelligence řešení, softwarové simulace, cloud computing)</w:t>
      </w:r>
      <w:r w:rsidR="002E1C78" w:rsidRPr="00DD47DF">
        <w:t>,</w:t>
      </w:r>
      <w:r w:rsidR="0092409F" w:rsidRPr="00DD47DF">
        <w:t xml:space="preserve"> tzn. tvorba moderních a pokrokových digitálních služeb a aplikací např. v oblasti komunikace, zábavy, obchodování, vzdělávání, </w:t>
      </w:r>
      <w:r w:rsidR="0023153A" w:rsidRPr="00DD47DF">
        <w:t>zdravotnictví, přístupu k zaměstnání nebo i v oblasti kulturních a kreativních průmyslů</w:t>
      </w:r>
      <w:r w:rsidR="0092409F" w:rsidRPr="00DD47DF">
        <w:t>,</w:t>
      </w:r>
    </w:p>
    <w:p w14:paraId="0027067B" w14:textId="59B87EC6" w:rsidR="002E1C78" w:rsidRDefault="002E1C78" w:rsidP="00FB3387">
      <w:pPr>
        <w:pStyle w:val="Standardntext"/>
        <w:numPr>
          <w:ilvl w:val="0"/>
          <w:numId w:val="42"/>
        </w:numPr>
      </w:pPr>
      <w:r w:rsidRPr="00DD47DF">
        <w:t>poskytování sofistikovaných sdíle</w:t>
      </w:r>
      <w:r w:rsidR="00320CEA" w:rsidRPr="00DD47DF">
        <w:t>ných služeb</w:t>
      </w:r>
      <w:r w:rsidR="003F2CA2" w:rsidRPr="00DD47DF">
        <w:t xml:space="preserve"> (služeb s vysokou přidanou hodnotou)</w:t>
      </w:r>
      <w:r w:rsidR="00320CEA" w:rsidRPr="00DD47DF">
        <w:t xml:space="preserve">, včetně </w:t>
      </w:r>
      <w:r w:rsidRPr="00DD47DF">
        <w:t>budování a modernizace Datových center splňujících kritéria energetické účinnosti</w:t>
      </w:r>
      <w:r w:rsidR="00983FA3">
        <w:t>,</w:t>
      </w:r>
    </w:p>
    <w:p w14:paraId="2ECC0212" w14:textId="417B3BBC" w:rsidR="00983FA3" w:rsidRPr="00DD47DF" w:rsidRDefault="00983FA3" w:rsidP="00FB3387">
      <w:pPr>
        <w:pStyle w:val="Standardntext"/>
        <w:numPr>
          <w:ilvl w:val="0"/>
          <w:numId w:val="42"/>
        </w:numPr>
      </w:pPr>
      <w:r w:rsidRPr="00700E39">
        <w:t>Pořízení ICT produktů a služeb (např. investice do SW, HW a ostatních strojů a zařízení s ICT přímo souvisejících, anebo využívání ICT řešení poskytovaných formou služeb včetně služeb expertního poradenství pro návrh, implementaci a řízení ICT v organizaci včetně provázaných procesů)</w:t>
      </w:r>
      <w:r>
        <w:t>.</w:t>
      </w:r>
    </w:p>
    <w:p w14:paraId="74303D6D" w14:textId="77777777" w:rsidR="001648B3" w:rsidRPr="00DD47DF" w:rsidRDefault="001648B3" w:rsidP="00FA0BCA">
      <w:pPr>
        <w:pStyle w:val="Standardntext"/>
        <w:rPr>
          <w:bCs/>
        </w:rPr>
      </w:pPr>
      <w:r w:rsidRPr="00DD47DF">
        <w:rPr>
          <w:bCs/>
        </w:rPr>
        <w:t xml:space="preserve">Podporou těchto aktivit bude zachována kontinuita s programem podpory </w:t>
      </w:r>
      <w:r w:rsidR="00084401" w:rsidRPr="00DD47DF">
        <w:rPr>
          <w:bCs/>
        </w:rPr>
        <w:t xml:space="preserve">OPPI </w:t>
      </w:r>
      <w:r w:rsidRPr="00DD47DF">
        <w:rPr>
          <w:bCs/>
          <w:i/>
        </w:rPr>
        <w:t>ICT a strategické služby</w:t>
      </w:r>
      <w:r w:rsidRPr="00DD47DF">
        <w:rPr>
          <w:bCs/>
        </w:rPr>
        <w:t xml:space="preserve"> realizovaném v programovacím období 2007</w:t>
      </w:r>
      <w:r w:rsidR="00EF4894" w:rsidRPr="00DD47DF">
        <w:rPr>
          <w:bCs/>
        </w:rPr>
        <w:t xml:space="preserve"> </w:t>
      </w:r>
      <w:r w:rsidRPr="00DD47DF">
        <w:rPr>
          <w:bCs/>
        </w:rPr>
        <w:t>-</w:t>
      </w:r>
      <w:r w:rsidR="00EF4894" w:rsidRPr="00DD47DF">
        <w:rPr>
          <w:bCs/>
        </w:rPr>
        <w:t xml:space="preserve"> 20</w:t>
      </w:r>
      <w:r w:rsidRPr="00DD47DF">
        <w:rPr>
          <w:bCs/>
        </w:rPr>
        <w:t xml:space="preserve">13, ve kterém byla podporována jak tvorba ICT řešení, tak centra sdílených služeb. Byly realizovány projekty, které přinesly unikátní řešení a vytvořily velký počet vysoce kvalifikovaných pracovních míst. </w:t>
      </w:r>
      <w:r w:rsidR="00BA3276" w:rsidRPr="00DD47DF">
        <w:rPr>
          <w:bCs/>
        </w:rPr>
        <w:t>V návaznosti na zkušenosti z realizace OPPI</w:t>
      </w:r>
      <w:r w:rsidR="00084401" w:rsidRPr="00DD47DF">
        <w:rPr>
          <w:bCs/>
        </w:rPr>
        <w:t xml:space="preserve"> </w:t>
      </w:r>
      <w:r w:rsidRPr="00DD47DF">
        <w:rPr>
          <w:bCs/>
        </w:rPr>
        <w:t xml:space="preserve">bude právě tento specifický cíl </w:t>
      </w:r>
      <w:r w:rsidR="00084401" w:rsidRPr="00DD47DF">
        <w:rPr>
          <w:bCs/>
        </w:rPr>
        <w:t xml:space="preserve">OP PIK </w:t>
      </w:r>
      <w:r w:rsidRPr="00DD47DF">
        <w:rPr>
          <w:bCs/>
        </w:rPr>
        <w:t xml:space="preserve">zaměřen </w:t>
      </w:r>
      <w:r w:rsidR="00084401" w:rsidRPr="00DD47DF">
        <w:rPr>
          <w:bCs/>
        </w:rPr>
        <w:t xml:space="preserve">na </w:t>
      </w:r>
      <w:r w:rsidRPr="00DD47DF">
        <w:rPr>
          <w:bCs/>
        </w:rPr>
        <w:t xml:space="preserve">tvorbu ICT řešení a </w:t>
      </w:r>
      <w:r w:rsidR="003F2CA2" w:rsidRPr="00DD47DF">
        <w:rPr>
          <w:bCs/>
        </w:rPr>
        <w:t xml:space="preserve">center </w:t>
      </w:r>
      <w:r w:rsidRPr="00DD47DF">
        <w:rPr>
          <w:bCs/>
        </w:rPr>
        <w:t>sdílených služeb s velkým důrazem na současné trendy, mezi které patří mimo jiné cloudová řešení, prostřednictvím kterých bude rovněž stimulována poptávka po cloudových službách, jejichž využívání v</w:t>
      </w:r>
      <w:r w:rsidR="00BA4E72" w:rsidRPr="00DD47DF">
        <w:rPr>
          <w:bCs/>
        </w:rPr>
        <w:t xml:space="preserve"> </w:t>
      </w:r>
      <w:r w:rsidRPr="00DD47DF">
        <w:rPr>
          <w:bCs/>
        </w:rPr>
        <w:t>důsledku povede ke snižování nákladů konečných uživatelů.</w:t>
      </w:r>
    </w:p>
    <w:p w14:paraId="79B166E5" w14:textId="77777777" w:rsidR="009E6C87" w:rsidRPr="00DD47DF" w:rsidRDefault="00F975FD" w:rsidP="00FA0BCA">
      <w:pPr>
        <w:pStyle w:val="Standardntext"/>
      </w:pPr>
      <w:r w:rsidRPr="00DD47DF">
        <w:rPr>
          <w:bCs/>
        </w:rPr>
        <w:t>V případě tvorby</w:t>
      </w:r>
      <w:r w:rsidR="00504D07" w:rsidRPr="00DD47DF">
        <w:t xml:space="preserve"> nových sofistikovaných ICT ř</w:t>
      </w:r>
      <w:r w:rsidRPr="00DD47DF">
        <w:t>ešení jde</w:t>
      </w:r>
      <w:r w:rsidRPr="00DD47DF">
        <w:rPr>
          <w:szCs w:val="22"/>
        </w:rPr>
        <w:t xml:space="preserve"> o taková ICT řešení, která jsou svým zaměřením jedinečná a vyplňují mezeru na trhu, případně pokrývají určitou potřebu. Podporována budou taková řešení, která mají vysokou přidanou hodnotu. Například lze uvést typově zavádění </w:t>
      </w:r>
      <w:r w:rsidR="0076364D" w:rsidRPr="00DD47DF">
        <w:rPr>
          <w:szCs w:val="22"/>
        </w:rPr>
        <w:t xml:space="preserve">nových </w:t>
      </w:r>
      <w:r w:rsidRPr="00DD47DF">
        <w:rPr>
          <w:szCs w:val="22"/>
        </w:rPr>
        <w:t>ICT nástrojů</w:t>
      </w:r>
      <w:r w:rsidR="0076364D" w:rsidRPr="00DD47DF">
        <w:rPr>
          <w:szCs w:val="22"/>
        </w:rPr>
        <w:t xml:space="preserve"> či</w:t>
      </w:r>
      <w:r w:rsidRPr="00DD47DF">
        <w:rPr>
          <w:szCs w:val="22"/>
        </w:rPr>
        <w:t xml:space="preserve"> trendů zejména v návaznosti na sociální sítě, podpora bezpečnosti dat, vývoj pro mobilní zařízení, zavádění open standardů, podpora interoperability apod.</w:t>
      </w:r>
      <w:r w:rsidR="00411D73" w:rsidRPr="00DD47DF">
        <w:rPr>
          <w:szCs w:val="22"/>
        </w:rPr>
        <w:t xml:space="preserve"> </w:t>
      </w:r>
      <w:r w:rsidR="009E6C87" w:rsidRPr="00DD47DF">
        <w:rPr>
          <w:szCs w:val="22"/>
        </w:rPr>
        <w:t>Výstupe</w:t>
      </w:r>
      <w:r w:rsidR="009E6C87" w:rsidRPr="00DD47DF">
        <w:t>m projektu bude sofistikované ICT řešení definované v projektové žádosti, což přispěje k naplnění výsledku tohot</w:t>
      </w:r>
      <w:r w:rsidR="001F59E8" w:rsidRPr="00DD47DF">
        <w:t>o specifického cíle spočívající</w:t>
      </w:r>
      <w:r w:rsidR="009E6C87" w:rsidRPr="00DD47DF">
        <w:t xml:space="preserve">ho </w:t>
      </w:r>
      <w:r w:rsidR="005F74B6" w:rsidRPr="00DD47DF">
        <w:t>v</w:t>
      </w:r>
      <w:r w:rsidR="00FD3F3A" w:rsidRPr="00DD47DF">
        <w:t> růstu přidané hodnoty IT služeb</w:t>
      </w:r>
      <w:r w:rsidR="005F74B6" w:rsidRPr="00DD47DF">
        <w:t xml:space="preserve"> </w:t>
      </w:r>
      <w:r w:rsidR="00FD3F3A" w:rsidRPr="00DD47DF">
        <w:t xml:space="preserve">na HDP, což může dále ovlivňovat </w:t>
      </w:r>
      <w:r w:rsidR="009E6C87" w:rsidRPr="00DD47DF">
        <w:t>nabídk</w:t>
      </w:r>
      <w:r w:rsidR="00FD3F3A" w:rsidRPr="00DD47DF">
        <w:t>u</w:t>
      </w:r>
      <w:r w:rsidR="009E6C87" w:rsidRPr="00DD47DF">
        <w:t xml:space="preserve"> nových informačních systémů, ICT řešení a vysoce sofistikovaných ICT nástrojů, nových softwarových produktů a služeb.</w:t>
      </w:r>
      <w:r w:rsidR="00586901" w:rsidRPr="00DD47DF">
        <w:t xml:space="preserve"> V rámci tohoto specifického cíle budou podporovány i projekty na vývoj ICT řešení a softwaru pro zemědělské podniky </w:t>
      </w:r>
      <w:r w:rsidR="008A2746" w:rsidRPr="00DD47DF">
        <w:t xml:space="preserve">specializující se na výrobu položek obsažených </w:t>
      </w:r>
      <w:r w:rsidR="00DE2376" w:rsidRPr="00DD47DF">
        <w:t>(v</w:t>
      </w:r>
      <w:r w:rsidR="004038F0" w:rsidRPr="00DD47DF">
        <w:t xml:space="preserve"> dodatku Smlouvy (o EU)</w:t>
      </w:r>
      <w:r w:rsidR="00586901" w:rsidRPr="00DD47DF">
        <w:t>).</w:t>
      </w:r>
    </w:p>
    <w:p w14:paraId="25C567CA" w14:textId="77777777" w:rsidR="006F7785" w:rsidRPr="00DD47DF" w:rsidRDefault="00411D73" w:rsidP="00FA0BCA">
      <w:pPr>
        <w:pStyle w:val="Standardntext"/>
      </w:pPr>
      <w:r w:rsidRPr="00DD47DF">
        <w:t xml:space="preserve">Pokud jde o poskytování sofistikovaných sdílených služeb, jedná se o podporu center sdílených služeb poskytujících služby v oblasti IT, účetnictví, financí atp. Tyto činnosti centra sdílených služeb přebírají buď od mateřské společnosti, nebo od zákazníků. Za sdílenou službu je považováno i poskytování služeb datového centra. </w:t>
      </w:r>
      <w:r w:rsidR="009E6C87" w:rsidRPr="00DD47DF">
        <w:rPr>
          <w:bCs/>
        </w:rPr>
        <w:t>Oblast</w:t>
      </w:r>
      <w:r w:rsidR="004F45C9" w:rsidRPr="00DD47DF">
        <w:rPr>
          <w:bCs/>
        </w:rPr>
        <w:t xml:space="preserve"> poskytování sofistikovaných </w:t>
      </w:r>
      <w:r w:rsidR="00961FFB" w:rsidRPr="00DD47DF">
        <w:rPr>
          <w:bCs/>
        </w:rPr>
        <w:lastRenderedPageBreak/>
        <w:t xml:space="preserve">sdílených služeb </w:t>
      </w:r>
      <w:r w:rsidR="009E6C87" w:rsidRPr="00DD47DF">
        <w:rPr>
          <w:bCs/>
        </w:rPr>
        <w:t>bude pro účely implementace ro</w:t>
      </w:r>
      <w:r w:rsidR="001F59E8" w:rsidRPr="00DD47DF">
        <w:rPr>
          <w:bCs/>
        </w:rPr>
        <w:t>z</w:t>
      </w:r>
      <w:r w:rsidR="009E6C87" w:rsidRPr="00DD47DF">
        <w:rPr>
          <w:bCs/>
        </w:rPr>
        <w:t>členěna</w:t>
      </w:r>
      <w:r w:rsidR="00961FFB" w:rsidRPr="00DD47DF">
        <w:rPr>
          <w:bCs/>
        </w:rPr>
        <w:t xml:space="preserve"> na aktivity mířící do oblasti poskytování sdílených služeb a do obl</w:t>
      </w:r>
      <w:r w:rsidR="009E6C87" w:rsidRPr="00DD47DF">
        <w:rPr>
          <w:bCs/>
        </w:rPr>
        <w:t xml:space="preserve">asti budování datových center. </w:t>
      </w:r>
      <w:r w:rsidR="007954D2" w:rsidRPr="00DD47DF">
        <w:t>Výstupem projektu bude fungující centrum sdílených služeb</w:t>
      </w:r>
      <w:r w:rsidR="005F74B6" w:rsidRPr="00DD47DF">
        <w:t>, jehož výsledky se promítnou ve střednědobém horizontu ekonomickými přínosy a nově vytvořenými pracovními místy.</w:t>
      </w:r>
      <w:r w:rsidR="00F95834" w:rsidRPr="00DD47DF">
        <w:t xml:space="preserve"> Převážně budou podporována centra sdílených služeb s přeshraničním přesahem.</w:t>
      </w:r>
    </w:p>
    <w:p w14:paraId="212B68F5" w14:textId="77777777" w:rsidR="007F002C" w:rsidRPr="00DD47DF" w:rsidRDefault="007F002C" w:rsidP="00FA0BCA">
      <w:pPr>
        <w:pStyle w:val="Standardntext"/>
      </w:pPr>
      <w:r w:rsidRPr="00DD47DF">
        <w:t xml:space="preserve">V případě výstavby a rozšíření datových center </w:t>
      </w:r>
      <w:r w:rsidR="00AC4311" w:rsidRPr="00DD47DF">
        <w:t>bude v</w:t>
      </w:r>
      <w:r w:rsidRPr="00DD47DF">
        <w:t xml:space="preserve">ýstupem projektu datové centrum připravené poskytovat služby, což přispěje k naplňování výše </w:t>
      </w:r>
      <w:r w:rsidR="005F74B6" w:rsidRPr="00DD47DF">
        <w:t>stanoven</w:t>
      </w:r>
      <w:r w:rsidRPr="00DD47DF">
        <w:t>ých výsledků specifického cíle.</w:t>
      </w:r>
    </w:p>
    <w:p w14:paraId="196637CD" w14:textId="77777777" w:rsidR="00AF178F" w:rsidRPr="00DD47DF" w:rsidRDefault="00AF178F" w:rsidP="00FA0BCA">
      <w:pPr>
        <w:pStyle w:val="Standardntext"/>
      </w:pPr>
      <w:r w:rsidRPr="00DD47DF">
        <w:t xml:space="preserve">Aktivity SC 4.2 </w:t>
      </w:r>
      <w:r w:rsidR="00E46D4E" w:rsidRPr="00DD47DF">
        <w:t xml:space="preserve">vycházejí z potřeb zohledněných v Národní RIS3 strategii a </w:t>
      </w:r>
      <w:r w:rsidRPr="00DD47DF">
        <w:t xml:space="preserve">mají přímou vazbu na tento strategický cíl Národní </w:t>
      </w:r>
      <w:r w:rsidR="002B0AB0" w:rsidRPr="00DD47DF">
        <w:t>RI</w:t>
      </w:r>
      <w:r w:rsidRPr="00DD47DF">
        <w:t>S3 strategie: „</w:t>
      </w:r>
      <w:r w:rsidR="003D640D" w:rsidRPr="00DD47DF">
        <w:t>Rozvoj eBusinessu a ICT v podnikání</w:t>
      </w:r>
      <w:r w:rsidRPr="00DD47DF">
        <w:t>“.</w:t>
      </w:r>
      <w:r w:rsidR="004C7346" w:rsidRPr="00DD47DF">
        <w:t xml:space="preserve"> Jde především o vzájemnou provázanost s typovými aktivitami/projekty/operacemi specifického cíle E2.1 „Vyšší využívání ICT v podnikání“ Národní </w:t>
      </w:r>
      <w:r w:rsidR="002B0AB0" w:rsidRPr="00DD47DF">
        <w:t>RI</w:t>
      </w:r>
      <w:r w:rsidR="004C7346" w:rsidRPr="00DD47DF">
        <w:t>S3 strategie.</w:t>
      </w:r>
    </w:p>
    <w:p w14:paraId="0177812D" w14:textId="77777777" w:rsidR="002E1C78" w:rsidRPr="00DD47DF" w:rsidRDefault="002E1C78" w:rsidP="00FA0BCA">
      <w:pPr>
        <w:pStyle w:val="Standardntext"/>
      </w:pPr>
      <w:r w:rsidRPr="00DD47DF">
        <w:rPr>
          <w:b/>
          <w:bCs/>
        </w:rPr>
        <w:t xml:space="preserve">Hlavní cílová skupina: </w:t>
      </w:r>
      <w:r w:rsidRPr="00DD47DF">
        <w:t>Podnikatelské subjekty a obyvatelé využívající IT.</w:t>
      </w:r>
    </w:p>
    <w:p w14:paraId="60A35CAF" w14:textId="77777777" w:rsidR="002E1C78" w:rsidRPr="00DD47DF" w:rsidRDefault="002E1C78" w:rsidP="00FA0BCA">
      <w:pPr>
        <w:pStyle w:val="Standardntext"/>
      </w:pPr>
      <w:r w:rsidRPr="00DD47DF">
        <w:rPr>
          <w:b/>
          <w:bCs/>
        </w:rPr>
        <w:t xml:space="preserve">Cílové území: </w:t>
      </w:r>
      <w:r w:rsidRPr="00DD47DF">
        <w:t>Území České republiky, mimo území hl. m. Prahy.</w:t>
      </w:r>
      <w:r w:rsidR="00015039" w:rsidRPr="00DD47DF">
        <w:t xml:space="preserve"> Z hlediska územní dimenze </w:t>
      </w:r>
      <w:r w:rsidR="00A46CD6" w:rsidRPr="00DD47DF">
        <w:t>bude tento specifický cíl zaměřen na rozvojová území</w:t>
      </w:r>
      <w:r w:rsidR="00015039" w:rsidRPr="00DD47DF">
        <w:t>.</w:t>
      </w:r>
    </w:p>
    <w:p w14:paraId="76278E66" w14:textId="77777777" w:rsidR="002E1C78" w:rsidRPr="00DD47DF" w:rsidRDefault="002E1C78" w:rsidP="00FA0BCA">
      <w:pPr>
        <w:pStyle w:val="Standardntext"/>
        <w:rPr>
          <w:bCs/>
        </w:rPr>
      </w:pPr>
      <w:r w:rsidRPr="00DD47DF">
        <w:rPr>
          <w:b/>
          <w:bCs/>
        </w:rPr>
        <w:t xml:space="preserve">Typy příjemců: </w:t>
      </w:r>
      <w:r w:rsidRPr="00DD47DF">
        <w:t>Podnikatelské subjekty (malé, střední a velké podniky)</w:t>
      </w:r>
      <w:r w:rsidR="007B1F50" w:rsidRPr="00DD47DF">
        <w:t xml:space="preserve">, zemědělští podnikatelé s výstupem projektu mimo seznam uvedený v Příloze I. Smlouvy (o EU) v oblasti ICT. </w:t>
      </w:r>
      <w:r w:rsidR="00124401" w:rsidRPr="00DD47DF">
        <w:t>V případě velkých podniků budou podporovány projekty, jejichž realizace v konečném důsledku povede ke snižování nákladů MSP</w:t>
      </w:r>
      <w:r w:rsidR="00093576" w:rsidRPr="00DD47DF">
        <w:t xml:space="preserve"> (dle čl. 3 odst. 1 písm. b</w:t>
      </w:r>
      <w:r w:rsidR="0044254C" w:rsidRPr="00DD47DF">
        <w:t>)</w:t>
      </w:r>
      <w:r w:rsidR="00093576" w:rsidRPr="00DD47DF">
        <w:t xml:space="preserve"> nařízení o EFRR)</w:t>
      </w:r>
      <w:r w:rsidR="00124401" w:rsidRPr="00DD47DF">
        <w:t>. Realizace takovýchto projektů je společensky účelná bez ohledu na velikost příjemce dotace. Tyto projekty však budou tvořit minoritní část tohoto specifického cíle.</w:t>
      </w:r>
    </w:p>
    <w:p w14:paraId="668EC8C7" w14:textId="77777777" w:rsidR="002E1C78" w:rsidRPr="00DD47DF" w:rsidRDefault="00BA6461" w:rsidP="005F43DF">
      <w:pPr>
        <w:pStyle w:val="Nadpis5"/>
        <w:numPr>
          <w:ilvl w:val="4"/>
          <w:numId w:val="27"/>
        </w:numPr>
      </w:pPr>
      <w:r w:rsidRPr="00DD47DF">
        <w:t>Hlavní zásady pro výběr operací</w:t>
      </w:r>
    </w:p>
    <w:p w14:paraId="0EB95F86" w14:textId="77777777" w:rsidR="00B45C7F" w:rsidRPr="00DD47DF" w:rsidRDefault="00FE3385" w:rsidP="00963119">
      <w:pPr>
        <w:pStyle w:val="Standardntext"/>
      </w:pPr>
      <w:r w:rsidRPr="00DD47DF">
        <w:t>Společné obecné zásady pro výběr operací pro všechny investiční priority celého OP PIK jsou uvedeny v prioritní ose 1 v oddíle 2.A.6.2.</w:t>
      </w:r>
    </w:p>
    <w:p w14:paraId="78925A5D" w14:textId="77777777" w:rsidR="00D42004" w:rsidRPr="00DD47DF" w:rsidRDefault="00D42004" w:rsidP="00D42004">
      <w:pPr>
        <w:pStyle w:val="Standardntext"/>
      </w:pPr>
      <w:r w:rsidRPr="00DD47DF">
        <w:t>V rámci výběru a hodnocení projektů budou posuzována především následující kritéria:</w:t>
      </w:r>
    </w:p>
    <w:p w14:paraId="21A194F4" w14:textId="77777777" w:rsidR="00D42004" w:rsidRPr="00DD47DF" w:rsidRDefault="00D42004" w:rsidP="00FB3387">
      <w:pPr>
        <w:pStyle w:val="Standardntext"/>
        <w:numPr>
          <w:ilvl w:val="0"/>
          <w:numId w:val="43"/>
        </w:numPr>
      </w:pPr>
      <w:r w:rsidRPr="00DD47DF">
        <w:t xml:space="preserve">Kvalita a potřebnost projektu s ohledem </w:t>
      </w:r>
      <w:r w:rsidR="00B45C7F" w:rsidRPr="00DD47DF">
        <w:t>na rozvoj lidského kapitálu v této oblasti</w:t>
      </w:r>
      <w:r w:rsidRPr="00DD47DF">
        <w:t>.</w:t>
      </w:r>
    </w:p>
    <w:p w14:paraId="4EDC0F29" w14:textId="77777777" w:rsidR="00D42004" w:rsidRPr="00DD47DF" w:rsidRDefault="00D42004" w:rsidP="00FB3387">
      <w:pPr>
        <w:pStyle w:val="Standardntext"/>
        <w:numPr>
          <w:ilvl w:val="0"/>
          <w:numId w:val="43"/>
        </w:numPr>
      </w:pPr>
      <w:r w:rsidRPr="00DD47DF">
        <w:t>Soulad projektu s</w:t>
      </w:r>
      <w:r w:rsidR="00BA4E72" w:rsidRPr="00DD47DF">
        <w:t xml:space="preserve"> </w:t>
      </w:r>
      <w:r w:rsidRPr="00DD47DF">
        <w:t>územní dimenzí této investiční priority</w:t>
      </w:r>
      <w:r w:rsidR="00C63CF5" w:rsidRPr="00DD47DF">
        <w:t xml:space="preserve"> (viz </w:t>
      </w:r>
      <w:r w:rsidR="00C63CF5" w:rsidRPr="00DD47DF">
        <w:rPr>
          <w:i/>
        </w:rPr>
        <w:t>Cílové území</w:t>
      </w:r>
      <w:r w:rsidR="00C63CF5" w:rsidRPr="00DD47DF">
        <w:t xml:space="preserve"> v oddíle 2.A.6.1 a dále oddíl 4)</w:t>
      </w:r>
      <w:r w:rsidRPr="00DD47DF">
        <w:t>.</w:t>
      </w:r>
    </w:p>
    <w:p w14:paraId="6B3E6C69" w14:textId="77777777" w:rsidR="00AC3FC6" w:rsidRPr="00DD47DF" w:rsidRDefault="00AC3FC6" w:rsidP="00FB3387">
      <w:pPr>
        <w:pStyle w:val="Standardntext"/>
        <w:numPr>
          <w:ilvl w:val="0"/>
          <w:numId w:val="43"/>
        </w:numPr>
      </w:pPr>
      <w:r w:rsidRPr="00DD47DF">
        <w:t>Soulad projektu s prioritami RIS3.</w:t>
      </w:r>
    </w:p>
    <w:p w14:paraId="54D1F426" w14:textId="77777777" w:rsidR="00D42004" w:rsidRPr="00DD47DF" w:rsidRDefault="00D42004" w:rsidP="00FB3387">
      <w:pPr>
        <w:pStyle w:val="Standardntext"/>
        <w:numPr>
          <w:ilvl w:val="0"/>
          <w:numId w:val="43"/>
        </w:numPr>
      </w:pPr>
      <w:r w:rsidRPr="00DD47DF">
        <w:t xml:space="preserve">Soulad projektu s horizontálními principy, mezi něž patří udržitelný rozvoj, rovné příležitosti a ochrana před diskriminací. Projekt, který bude v rozporu s těmito principy, nebude v rámci OP PIK podpořen (blíže viz oddíl 11). </w:t>
      </w:r>
    </w:p>
    <w:p w14:paraId="15904753" w14:textId="77777777" w:rsidR="00192F36" w:rsidRPr="00DD47DF" w:rsidRDefault="00192F36" w:rsidP="00FB3387">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5B0CF5BF" w14:textId="77777777" w:rsidR="002E1C78" w:rsidRPr="00DD47DF" w:rsidRDefault="00BA6461" w:rsidP="005F43DF">
      <w:pPr>
        <w:pStyle w:val="Nadpis5"/>
        <w:numPr>
          <w:ilvl w:val="4"/>
          <w:numId w:val="27"/>
        </w:numPr>
        <w:rPr>
          <w:rFonts w:cs="Calibri"/>
        </w:rPr>
      </w:pPr>
      <w:r w:rsidRPr="00DD47DF">
        <w:lastRenderedPageBreak/>
        <w:t>Plánované využití finančních nástrojů (použije-li se)</w:t>
      </w:r>
    </w:p>
    <w:p w14:paraId="1B3C7BE0" w14:textId="77777777" w:rsidR="00896EDF" w:rsidRPr="00DD47DF" w:rsidRDefault="00C15D3F" w:rsidP="00896EDF">
      <w:pPr>
        <w:pStyle w:val="Standardntext"/>
      </w:pPr>
      <w:r w:rsidRPr="00DD47DF">
        <w:t xml:space="preserve">Řídící orgán </w:t>
      </w:r>
      <w:r w:rsidR="00782086" w:rsidRPr="00DD47DF">
        <w:t xml:space="preserve">posoudí možnosti </w:t>
      </w:r>
      <w:r w:rsidRPr="00DD47DF">
        <w:t>využití finančních nástrojů v této investiční prioritě</w:t>
      </w:r>
      <w:r w:rsidR="00782086" w:rsidRPr="00DD47DF">
        <w:t xml:space="preserve"> OP PIK na základě výsledků </w:t>
      </w:r>
      <w:r w:rsidRPr="00DD47DF">
        <w:t xml:space="preserve">předběžného </w:t>
      </w:r>
      <w:r w:rsidR="00782086" w:rsidRPr="00DD47DF">
        <w:t xml:space="preserve">vyhodnocení provedeného </w:t>
      </w:r>
      <w:r w:rsidRPr="00DD47DF">
        <w:t>dle čl. 37 odst. 2 obecného nařízení, případně jeho revize podle čl. 37 odst. 2 písm. g) obecného nařízení.</w:t>
      </w:r>
    </w:p>
    <w:p w14:paraId="7A6911E5" w14:textId="77777777" w:rsidR="002E1C78" w:rsidRPr="00DD47DF" w:rsidRDefault="00BA6461" w:rsidP="00A556B6">
      <w:pPr>
        <w:pStyle w:val="Nadpis5"/>
        <w:numPr>
          <w:ilvl w:val="4"/>
          <w:numId w:val="27"/>
        </w:numPr>
      </w:pPr>
      <w:r w:rsidRPr="00DD47DF">
        <w:t>Plánované využití velkých projektů (použije-li se)</w:t>
      </w:r>
    </w:p>
    <w:p w14:paraId="2BE07002" w14:textId="77777777" w:rsidR="002A4D1D" w:rsidRPr="00DD47DF" w:rsidRDefault="002A4D1D" w:rsidP="00A556B6">
      <w:pPr>
        <w:pStyle w:val="Standardntext"/>
        <w:keepNext/>
        <w:keepLines/>
      </w:pPr>
      <w:r w:rsidRPr="00DD47DF">
        <w:t xml:space="preserve">Velké projekty ve smyslu čl. </w:t>
      </w:r>
      <w:r w:rsidR="008F52F8" w:rsidRPr="00DD47DF">
        <w:t>10</w:t>
      </w:r>
      <w:r w:rsidRPr="00DD47DF">
        <w:t>0 obecného nařízení nejsou plánovány.</w:t>
      </w:r>
    </w:p>
    <w:p w14:paraId="5C35D344" w14:textId="77777777" w:rsidR="002E1C78" w:rsidRPr="00DD47DF" w:rsidRDefault="00BA6461" w:rsidP="00C56486">
      <w:pPr>
        <w:pStyle w:val="Nadpis5"/>
        <w:numPr>
          <w:ilvl w:val="4"/>
          <w:numId w:val="27"/>
        </w:numPr>
      </w:pPr>
      <w:r w:rsidRPr="00DD47DF">
        <w:t>Ukazatele výstupů podle investiční priority a případně podle kategorie regionů</w:t>
      </w:r>
    </w:p>
    <w:p w14:paraId="17F6D00A" w14:textId="77777777" w:rsidR="002E1C78" w:rsidRPr="00DD47DF" w:rsidRDefault="002E1C78" w:rsidP="00C56486">
      <w:pPr>
        <w:pStyle w:val="Titulek"/>
        <w:keepNext/>
        <w:keepLines/>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669"/>
        <w:gridCol w:w="2279"/>
        <w:gridCol w:w="1045"/>
        <w:gridCol w:w="665"/>
        <w:gridCol w:w="1073"/>
        <w:gridCol w:w="1418"/>
        <w:gridCol w:w="997"/>
        <w:gridCol w:w="1180"/>
      </w:tblGrid>
      <w:tr w:rsidR="001B2E5C" w:rsidRPr="00DD47DF" w14:paraId="7C2466B7" w14:textId="77777777">
        <w:trPr>
          <w:trHeight w:hRule="exact" w:val="1185"/>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297DE88" w14:textId="77777777" w:rsidR="001B2E5C" w:rsidRPr="00DD47DF" w:rsidRDefault="001B2E5C" w:rsidP="00B22DB8">
            <w:pPr>
              <w:pStyle w:val="Tabulka"/>
              <w:rPr>
                <w:rFonts w:cs="Calibri"/>
                <w:b/>
              </w:rPr>
            </w:pPr>
            <w:r w:rsidRPr="00DD47DF">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740EB83" w14:textId="77777777" w:rsidR="001B2E5C" w:rsidRPr="00DD47DF" w:rsidRDefault="001B2E5C" w:rsidP="00B22DB8">
            <w:pPr>
              <w:pStyle w:val="Tabulka"/>
              <w:rPr>
                <w:rFonts w:cs="Calibri"/>
                <w:b/>
              </w:rPr>
            </w:pPr>
            <w:r w:rsidRPr="00DD47DF">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097CDD8" w14:textId="77777777" w:rsidR="001B2E5C" w:rsidRPr="00DD47DF" w:rsidRDefault="001B2E5C" w:rsidP="00B22DB8">
            <w:pPr>
              <w:pStyle w:val="Tabulka"/>
              <w:rPr>
                <w:rFonts w:cs="Calibri"/>
                <w:b/>
              </w:rPr>
            </w:pPr>
            <w:r w:rsidRPr="00DD47DF">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AC0955B" w14:textId="77777777" w:rsidR="001B2E5C" w:rsidRPr="00DD47DF" w:rsidRDefault="001B2E5C" w:rsidP="00B22DB8">
            <w:pPr>
              <w:pStyle w:val="Tabulka"/>
              <w:rPr>
                <w:rFonts w:cs="Calibri"/>
                <w:b/>
              </w:rPr>
            </w:pPr>
            <w:r w:rsidRPr="00DD47DF">
              <w:rPr>
                <w:rFonts w:cs="Calibri"/>
                <w:b/>
              </w:rPr>
              <w:t>Fond</w:t>
            </w:r>
          </w:p>
        </w:tc>
        <w:tc>
          <w:tcPr>
            <w:tcW w:w="1073"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492EC59C" w14:textId="77777777" w:rsidR="001B2E5C" w:rsidRPr="00DD47DF" w:rsidRDefault="001B2E5C" w:rsidP="00B22DB8">
            <w:pPr>
              <w:pStyle w:val="Tabulka"/>
              <w:rPr>
                <w:rFonts w:cs="Calibri"/>
                <w:b/>
              </w:rPr>
            </w:pPr>
            <w:r w:rsidRPr="00DD47DF">
              <w:rPr>
                <w:rFonts w:cs="Calibri"/>
                <w:b/>
              </w:rPr>
              <w:t>Kategorie regionu</w:t>
            </w:r>
          </w:p>
        </w:tc>
        <w:tc>
          <w:tcPr>
            <w:tcW w:w="1418"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225FCDC3" w14:textId="77777777" w:rsidR="001B2E5C" w:rsidRPr="00DD47DF" w:rsidRDefault="001B2E5C" w:rsidP="00B22DB8">
            <w:pPr>
              <w:pStyle w:val="Tabulka"/>
              <w:rPr>
                <w:rFonts w:cs="Calibri"/>
                <w:b/>
              </w:rPr>
            </w:pPr>
            <w:r w:rsidRPr="00DD47DF">
              <w:rPr>
                <w:rFonts w:cs="Calibri"/>
                <w:b/>
              </w:rPr>
              <w:t>Cílová hodnota</w:t>
            </w:r>
          </w:p>
          <w:p w14:paraId="50656E62" w14:textId="77777777" w:rsidR="001B2E5C" w:rsidRPr="00DD47DF" w:rsidRDefault="001B2E5C" w:rsidP="00B22DB8">
            <w:pPr>
              <w:pStyle w:val="Tabulka"/>
              <w:rPr>
                <w:rFonts w:cs="Calibri"/>
                <w:b/>
              </w:rPr>
            </w:pPr>
            <w:r w:rsidRPr="00DD47DF">
              <w:rPr>
                <w:rFonts w:cs="Calibri"/>
                <w:b/>
              </w:rPr>
              <w:t>(2023)</w:t>
            </w:r>
          </w:p>
        </w:tc>
        <w:tc>
          <w:tcPr>
            <w:tcW w:w="715"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E487673" w14:textId="77777777" w:rsidR="001B2E5C" w:rsidRPr="00DD47DF" w:rsidRDefault="001B2E5C" w:rsidP="00B22DB8">
            <w:pPr>
              <w:pStyle w:val="Tabulka"/>
              <w:rPr>
                <w:rFonts w:cs="Calibri"/>
                <w:b/>
              </w:rPr>
            </w:pPr>
            <w:r w:rsidRPr="00DD47DF">
              <w:rPr>
                <w:rFonts w:cs="Calibri"/>
                <w:b/>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CF4F33F" w14:textId="77777777" w:rsidR="001B2E5C" w:rsidRPr="00DD47DF" w:rsidRDefault="001B2E5C" w:rsidP="00B22DB8">
            <w:pPr>
              <w:pStyle w:val="Tabulka"/>
              <w:rPr>
                <w:rFonts w:cs="Calibri"/>
                <w:b/>
              </w:rPr>
            </w:pPr>
            <w:r w:rsidRPr="00DD47DF">
              <w:rPr>
                <w:rFonts w:cs="Calibri"/>
                <w:b/>
              </w:rPr>
              <w:t>Četnost podávání zpráv</w:t>
            </w:r>
          </w:p>
        </w:tc>
      </w:tr>
      <w:tr w:rsidR="002B3F69" w:rsidRPr="00DD47DF" w14:paraId="142F335B"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1B85687A" w14:textId="75FD0D66" w:rsidR="002B3F69" w:rsidRPr="00DD47DF" w:rsidRDefault="00C75691" w:rsidP="00B22DB8">
            <w:pPr>
              <w:pStyle w:val="Tabulka"/>
              <w:rPr>
                <w:rFonts w:cs="Calibri"/>
              </w:rPr>
            </w:pPr>
            <w:r w:rsidRPr="00DD47DF">
              <w:rPr>
                <w:rFonts w:cs="Calibri"/>
              </w:rPr>
              <w:t xml:space="preserve">CO </w:t>
            </w:r>
            <w:r w:rsidR="001F250D" w:rsidRPr="00DD47DF">
              <w:rPr>
                <w:rFonts w:cs="Calibri"/>
              </w:rPr>
              <w:t>0</w:t>
            </w:r>
            <w:r w:rsidR="002B3F69" w:rsidRPr="00DD47DF">
              <w:rPr>
                <w:rFonts w:cs="Calibri"/>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6805DCAC" w14:textId="77777777" w:rsidR="002B3F69" w:rsidRPr="00DD47DF" w:rsidRDefault="007D6298" w:rsidP="00B22DB8">
            <w:pPr>
              <w:pStyle w:val="Tabulka"/>
              <w:jc w:val="left"/>
              <w:rPr>
                <w:rFonts w:cs="Calibri"/>
              </w:rPr>
            </w:pPr>
            <w:r w:rsidRPr="00DD47DF">
              <w:rPr>
                <w:rFonts w:cs="Calibri"/>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43EF8FD8" w14:textId="77777777" w:rsidR="002B3F69" w:rsidRPr="00DD47DF" w:rsidRDefault="002B3F69" w:rsidP="00B22DB8">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586E37BF" w14:textId="77777777" w:rsidR="002B3F69" w:rsidRPr="00DD47DF" w:rsidRDefault="002B3F69" w:rsidP="00B22DB8">
            <w:pPr>
              <w:pStyle w:val="Tabulka"/>
              <w:rPr>
                <w:rFonts w:cs="Calibri"/>
              </w:rPr>
            </w:pPr>
            <w:r w:rsidRPr="00DD47DF">
              <w:rPr>
                <w:rFonts w:cs="Calibri"/>
              </w:rPr>
              <w:t>EFRR</w:t>
            </w:r>
          </w:p>
        </w:tc>
        <w:tc>
          <w:tcPr>
            <w:tcW w:w="1073" w:type="dxa"/>
            <w:tcBorders>
              <w:top w:val="single" w:sz="4" w:space="0" w:color="000000"/>
              <w:left w:val="single" w:sz="4" w:space="0" w:color="000000"/>
              <w:bottom w:val="single" w:sz="4" w:space="0" w:color="000000"/>
              <w:right w:val="single" w:sz="4" w:space="0" w:color="000000"/>
            </w:tcBorders>
            <w:vAlign w:val="center"/>
          </w:tcPr>
          <w:p w14:paraId="175D71E8" w14:textId="77777777" w:rsidR="002B3F69" w:rsidRPr="00DD47DF" w:rsidRDefault="002B3F69" w:rsidP="00B22DB8">
            <w:pPr>
              <w:pStyle w:val="Tabulka"/>
              <w:rPr>
                <w:rFonts w:cs="Calibri"/>
              </w:rPr>
            </w:pPr>
            <w:r w:rsidRPr="00DD47DF">
              <w:rPr>
                <w:rFonts w:cs="Calibri"/>
              </w:rPr>
              <w:t>Méně rozvinuté regiony</w:t>
            </w:r>
          </w:p>
        </w:tc>
        <w:tc>
          <w:tcPr>
            <w:tcW w:w="1418" w:type="dxa"/>
            <w:tcBorders>
              <w:top w:val="single" w:sz="4" w:space="0" w:color="000000"/>
              <w:left w:val="single" w:sz="4" w:space="0" w:color="000000"/>
              <w:bottom w:val="single" w:sz="4" w:space="0" w:color="000000"/>
              <w:right w:val="single" w:sz="4" w:space="0" w:color="000000"/>
            </w:tcBorders>
            <w:vAlign w:val="center"/>
          </w:tcPr>
          <w:p w14:paraId="76E78AC0" w14:textId="77777777" w:rsidR="002B3F69" w:rsidRPr="00DD47DF" w:rsidRDefault="00FD71ED" w:rsidP="00B22DB8">
            <w:pPr>
              <w:pStyle w:val="Tabulka"/>
              <w:rPr>
                <w:rFonts w:cs="Calibri"/>
              </w:rPr>
            </w:pPr>
            <w:r w:rsidRPr="00DD47DF">
              <w:rPr>
                <w:rFonts w:cs="Calibri"/>
              </w:rPr>
              <w:t>425</w:t>
            </w:r>
          </w:p>
        </w:tc>
        <w:tc>
          <w:tcPr>
            <w:tcW w:w="715" w:type="dxa"/>
            <w:tcBorders>
              <w:top w:val="single" w:sz="4" w:space="0" w:color="000000"/>
              <w:left w:val="single" w:sz="4" w:space="0" w:color="000000"/>
              <w:bottom w:val="single" w:sz="4" w:space="0" w:color="000000"/>
              <w:right w:val="single" w:sz="4" w:space="0" w:color="000000"/>
            </w:tcBorders>
            <w:vAlign w:val="center"/>
          </w:tcPr>
          <w:p w14:paraId="2BC2CDCE" w14:textId="77777777" w:rsidR="002B3F69" w:rsidRPr="00DD47DF" w:rsidRDefault="00FC7054" w:rsidP="00B22DB8">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6B5E1A98" w14:textId="77777777" w:rsidR="002B3F69" w:rsidRPr="00DD47DF" w:rsidRDefault="00FC7054" w:rsidP="00B22DB8">
            <w:pPr>
              <w:pStyle w:val="Tabulka"/>
              <w:rPr>
                <w:rFonts w:cs="Calibri"/>
              </w:rPr>
            </w:pPr>
            <w:r>
              <w:rPr>
                <w:rFonts w:cs="Calibri"/>
              </w:rPr>
              <w:t>průběžně</w:t>
            </w:r>
          </w:p>
        </w:tc>
      </w:tr>
      <w:tr w:rsidR="002B3F69" w:rsidRPr="00DD47DF" w14:paraId="764117CE"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71D1E087" w14:textId="07F80A0E" w:rsidR="002B3F69" w:rsidRPr="00DD47DF" w:rsidRDefault="00C75691" w:rsidP="00B22DB8">
            <w:pPr>
              <w:pStyle w:val="Tabulka"/>
              <w:rPr>
                <w:rFonts w:cs="Calibri"/>
              </w:rPr>
            </w:pPr>
            <w:r w:rsidRPr="00DD47DF">
              <w:rPr>
                <w:rFonts w:cs="Calibri"/>
              </w:rPr>
              <w:t xml:space="preserve">CO </w:t>
            </w:r>
            <w:r w:rsidR="001F250D" w:rsidRPr="00DD47DF">
              <w:rPr>
                <w:rFonts w:cs="Calibri"/>
              </w:rPr>
              <w:t>0</w:t>
            </w:r>
            <w:r w:rsidR="002B3F69" w:rsidRPr="00DD47DF">
              <w:rPr>
                <w:rFonts w:cs="Calibri"/>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1B9F9D45" w14:textId="77777777" w:rsidR="002B3F69" w:rsidRPr="00DD47DF" w:rsidRDefault="002B3F69" w:rsidP="00B22DB8">
            <w:pPr>
              <w:pStyle w:val="Tabulka"/>
              <w:jc w:val="left"/>
              <w:rPr>
                <w:rFonts w:cs="Calibri"/>
              </w:rPr>
            </w:pPr>
            <w:r w:rsidRPr="00DD47DF">
              <w:rPr>
                <w:rFonts w:cs="Calibri"/>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55612E37" w14:textId="77777777" w:rsidR="002B3F69" w:rsidRPr="00DD47DF" w:rsidRDefault="002B3F69" w:rsidP="00B22DB8">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0C36DF22" w14:textId="77777777" w:rsidR="002B3F69" w:rsidRPr="00DD47DF" w:rsidRDefault="002B3F69" w:rsidP="00B22DB8">
            <w:pPr>
              <w:pStyle w:val="Tabulka"/>
              <w:rPr>
                <w:rFonts w:cs="Calibri"/>
              </w:rPr>
            </w:pPr>
            <w:r w:rsidRPr="00DD47DF">
              <w:rPr>
                <w:rFonts w:cs="Calibri"/>
              </w:rPr>
              <w:t>EFRR</w:t>
            </w:r>
          </w:p>
        </w:tc>
        <w:tc>
          <w:tcPr>
            <w:tcW w:w="1073" w:type="dxa"/>
            <w:tcBorders>
              <w:top w:val="single" w:sz="4" w:space="0" w:color="000000"/>
              <w:left w:val="single" w:sz="4" w:space="0" w:color="000000"/>
              <w:bottom w:val="single" w:sz="4" w:space="0" w:color="000000"/>
              <w:right w:val="single" w:sz="4" w:space="0" w:color="000000"/>
            </w:tcBorders>
            <w:vAlign w:val="center"/>
          </w:tcPr>
          <w:p w14:paraId="301AC517" w14:textId="77777777" w:rsidR="002B3F69" w:rsidRPr="00DD47DF" w:rsidRDefault="002B3F69" w:rsidP="00B22DB8">
            <w:pPr>
              <w:pStyle w:val="Tabulka"/>
              <w:rPr>
                <w:rFonts w:cs="Calibri"/>
              </w:rPr>
            </w:pPr>
            <w:r w:rsidRPr="00DD47DF">
              <w:rPr>
                <w:rFonts w:cs="Calibri"/>
              </w:rPr>
              <w:t>Méně rozvinuté regiony</w:t>
            </w:r>
          </w:p>
        </w:tc>
        <w:tc>
          <w:tcPr>
            <w:tcW w:w="1418" w:type="dxa"/>
            <w:tcBorders>
              <w:top w:val="single" w:sz="4" w:space="0" w:color="000000"/>
              <w:left w:val="single" w:sz="4" w:space="0" w:color="000000"/>
              <w:bottom w:val="single" w:sz="4" w:space="0" w:color="000000"/>
              <w:right w:val="single" w:sz="4" w:space="0" w:color="000000"/>
            </w:tcBorders>
            <w:vAlign w:val="center"/>
          </w:tcPr>
          <w:p w14:paraId="0E07BD81" w14:textId="77777777" w:rsidR="002B3F69" w:rsidRPr="00DD47DF" w:rsidRDefault="00FD71ED" w:rsidP="00B22DB8">
            <w:pPr>
              <w:pStyle w:val="Tabulka"/>
              <w:rPr>
                <w:rFonts w:cs="Calibri"/>
              </w:rPr>
            </w:pPr>
            <w:r w:rsidRPr="00DD47DF">
              <w:rPr>
                <w:rFonts w:cs="Calibri"/>
              </w:rPr>
              <w:t>425</w:t>
            </w:r>
          </w:p>
        </w:tc>
        <w:tc>
          <w:tcPr>
            <w:tcW w:w="715" w:type="dxa"/>
            <w:tcBorders>
              <w:top w:val="single" w:sz="4" w:space="0" w:color="000000"/>
              <w:left w:val="single" w:sz="4" w:space="0" w:color="000000"/>
              <w:bottom w:val="single" w:sz="4" w:space="0" w:color="000000"/>
              <w:right w:val="single" w:sz="4" w:space="0" w:color="000000"/>
            </w:tcBorders>
            <w:vAlign w:val="center"/>
          </w:tcPr>
          <w:p w14:paraId="59FDAF8A" w14:textId="77777777" w:rsidR="002B3F69" w:rsidRPr="00DD47DF" w:rsidRDefault="00934A97" w:rsidP="00B22DB8">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74442B61" w14:textId="77777777" w:rsidR="002B3F69" w:rsidRPr="00DD47DF" w:rsidRDefault="00934A97" w:rsidP="00B22DB8">
            <w:pPr>
              <w:pStyle w:val="Tabulka"/>
              <w:rPr>
                <w:rFonts w:cs="Calibri"/>
              </w:rPr>
            </w:pPr>
            <w:r>
              <w:rPr>
                <w:rFonts w:cs="Calibri"/>
              </w:rPr>
              <w:t>průběžně</w:t>
            </w:r>
          </w:p>
        </w:tc>
      </w:tr>
      <w:tr w:rsidR="002B3F69" w:rsidRPr="00DD47DF" w14:paraId="27F70D70"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3A3B2582" w14:textId="51A66246" w:rsidR="002B3F69" w:rsidRPr="00DD47DF" w:rsidRDefault="00C75691" w:rsidP="00B22DB8">
            <w:pPr>
              <w:pStyle w:val="Tabulka"/>
              <w:rPr>
                <w:rFonts w:cs="Calibri"/>
              </w:rPr>
            </w:pPr>
            <w:r w:rsidRPr="00DD47DF">
              <w:rPr>
                <w:rFonts w:cs="Calibri"/>
              </w:rPr>
              <w:t xml:space="preserve">CO </w:t>
            </w:r>
            <w:r w:rsidR="001F250D" w:rsidRPr="00DD47DF">
              <w:rPr>
                <w:rFonts w:cs="Calibri"/>
              </w:rPr>
              <w:t>0</w:t>
            </w:r>
            <w:r w:rsidR="002B3F69" w:rsidRPr="00DD47DF">
              <w:rPr>
                <w:rFonts w:cs="Calibri"/>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0A1AC6D2" w14:textId="77777777" w:rsidR="002B3F69" w:rsidRPr="00DD47DF" w:rsidRDefault="00892451" w:rsidP="00B22DB8">
            <w:pPr>
              <w:pStyle w:val="Tabulka"/>
              <w:jc w:val="left"/>
              <w:rPr>
                <w:rFonts w:cs="Calibri"/>
              </w:rPr>
            </w:pPr>
            <w:r w:rsidRPr="00892451">
              <w:rPr>
                <w:rFonts w:cs="Calibri"/>
              </w:rPr>
              <w:t>Soukromé investice odpovídající veřejné podpoře podniků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404A0A8E" w14:textId="77777777" w:rsidR="002B3F69" w:rsidRPr="00DD47DF" w:rsidRDefault="002B3F69" w:rsidP="00B22DB8">
            <w:pPr>
              <w:pStyle w:val="Tabulka"/>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7383C020" w14:textId="77777777" w:rsidR="002B3F69" w:rsidRPr="00DD47DF" w:rsidRDefault="002B3F69" w:rsidP="00B22DB8">
            <w:pPr>
              <w:pStyle w:val="Tabulka"/>
              <w:rPr>
                <w:rFonts w:cs="Calibri"/>
              </w:rPr>
            </w:pPr>
            <w:r w:rsidRPr="00DD47DF">
              <w:rPr>
                <w:rFonts w:cs="Calibri"/>
              </w:rPr>
              <w:t>EFRR</w:t>
            </w:r>
          </w:p>
        </w:tc>
        <w:tc>
          <w:tcPr>
            <w:tcW w:w="1073" w:type="dxa"/>
            <w:tcBorders>
              <w:top w:val="single" w:sz="4" w:space="0" w:color="000000"/>
              <w:left w:val="single" w:sz="4" w:space="0" w:color="000000"/>
              <w:bottom w:val="single" w:sz="4" w:space="0" w:color="000000"/>
              <w:right w:val="single" w:sz="4" w:space="0" w:color="000000"/>
            </w:tcBorders>
            <w:vAlign w:val="center"/>
          </w:tcPr>
          <w:p w14:paraId="206E83F6" w14:textId="77777777" w:rsidR="002B3F69" w:rsidRPr="00DD47DF" w:rsidRDefault="002B3F69" w:rsidP="00B22DB8">
            <w:pPr>
              <w:pStyle w:val="Tabulka"/>
              <w:rPr>
                <w:rFonts w:cs="Calibri"/>
              </w:rPr>
            </w:pPr>
            <w:r w:rsidRPr="00DD47DF">
              <w:rPr>
                <w:rFonts w:cs="Calibri"/>
              </w:rPr>
              <w:t>Méně rozvinuté regiony</w:t>
            </w:r>
          </w:p>
        </w:tc>
        <w:tc>
          <w:tcPr>
            <w:tcW w:w="1418" w:type="dxa"/>
            <w:tcBorders>
              <w:top w:val="single" w:sz="4" w:space="0" w:color="000000"/>
              <w:left w:val="single" w:sz="4" w:space="0" w:color="000000"/>
              <w:bottom w:val="single" w:sz="4" w:space="0" w:color="000000"/>
              <w:right w:val="single" w:sz="4" w:space="0" w:color="000000"/>
            </w:tcBorders>
            <w:vAlign w:val="center"/>
          </w:tcPr>
          <w:p w14:paraId="4AC9436B" w14:textId="77777777" w:rsidR="002B3F69" w:rsidRPr="00DD47DF" w:rsidRDefault="00FD71ED" w:rsidP="00B22DB8">
            <w:pPr>
              <w:pStyle w:val="Tabulka"/>
              <w:rPr>
                <w:rFonts w:cs="Calibri"/>
              </w:rPr>
            </w:pPr>
            <w:r w:rsidRPr="00DD47DF">
              <w:rPr>
                <w:rFonts w:cs="Calibri"/>
              </w:rPr>
              <w:t>330</w:t>
            </w:r>
            <w:r w:rsidR="00BC5A68" w:rsidRPr="00DD47DF">
              <w:rPr>
                <w:rFonts w:cs="Calibri"/>
              </w:rPr>
              <w:t> 000 000</w:t>
            </w:r>
          </w:p>
        </w:tc>
        <w:tc>
          <w:tcPr>
            <w:tcW w:w="715" w:type="dxa"/>
            <w:tcBorders>
              <w:top w:val="single" w:sz="4" w:space="0" w:color="000000"/>
              <w:left w:val="single" w:sz="4" w:space="0" w:color="000000"/>
              <w:bottom w:val="single" w:sz="4" w:space="0" w:color="000000"/>
              <w:right w:val="single" w:sz="4" w:space="0" w:color="000000"/>
            </w:tcBorders>
            <w:vAlign w:val="center"/>
          </w:tcPr>
          <w:p w14:paraId="262C2B8D" w14:textId="77777777" w:rsidR="002B3F69" w:rsidRPr="00DD47DF" w:rsidRDefault="00800418" w:rsidP="00B22DB8">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078F853C" w14:textId="77777777" w:rsidR="002B3F69" w:rsidRPr="00DD47DF" w:rsidRDefault="00934A97" w:rsidP="00B22DB8">
            <w:pPr>
              <w:pStyle w:val="Tabulka"/>
              <w:rPr>
                <w:rFonts w:cs="Calibri"/>
              </w:rPr>
            </w:pPr>
            <w:r>
              <w:rPr>
                <w:rFonts w:cs="Calibri"/>
              </w:rPr>
              <w:t>průběžně</w:t>
            </w:r>
          </w:p>
        </w:tc>
      </w:tr>
      <w:tr w:rsidR="001B36DC" w:rsidRPr="00DD47DF" w14:paraId="20D053E6"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4BCB55D5" w14:textId="7714F131" w:rsidR="001B36DC" w:rsidRPr="00DD47DF" w:rsidRDefault="00C75691" w:rsidP="008F41A1">
            <w:pPr>
              <w:pStyle w:val="Tabulka"/>
              <w:keepLines/>
              <w:rPr>
                <w:rFonts w:cs="Calibri"/>
              </w:rPr>
            </w:pPr>
            <w:r w:rsidRPr="00DD47DF">
              <w:rPr>
                <w:rFonts w:cs="Calibri"/>
              </w:rPr>
              <w:t xml:space="preserve">CO </w:t>
            </w:r>
            <w:r w:rsidR="001F250D" w:rsidRPr="00DD47DF">
              <w:rPr>
                <w:rFonts w:cs="Calibri"/>
              </w:rPr>
              <w:t>0</w:t>
            </w:r>
            <w:r w:rsidR="001B36DC" w:rsidRPr="00DD47DF">
              <w:rPr>
                <w:rFonts w:cs="Calibri"/>
              </w:rPr>
              <w:t>8</w:t>
            </w:r>
          </w:p>
        </w:tc>
        <w:tc>
          <w:tcPr>
            <w:tcW w:w="0" w:type="auto"/>
            <w:tcBorders>
              <w:top w:val="single" w:sz="4" w:space="0" w:color="000000"/>
              <w:left w:val="single" w:sz="4" w:space="0" w:color="000000"/>
              <w:bottom w:val="single" w:sz="4" w:space="0" w:color="000000"/>
              <w:right w:val="single" w:sz="4" w:space="0" w:color="000000"/>
            </w:tcBorders>
            <w:vAlign w:val="center"/>
          </w:tcPr>
          <w:p w14:paraId="52A8A58B" w14:textId="77777777" w:rsidR="001B36DC" w:rsidRPr="00DD47DF" w:rsidRDefault="001B36DC" w:rsidP="008F41A1">
            <w:pPr>
              <w:pStyle w:val="Tabulka"/>
              <w:keepLines/>
              <w:jc w:val="left"/>
              <w:rPr>
                <w:rFonts w:cs="Calibri"/>
              </w:rPr>
            </w:pPr>
            <w:r w:rsidRPr="00DD47DF">
              <w:rPr>
                <w:rFonts w:cs="Calibri"/>
              </w:rPr>
              <w:t>Zvýšení zaměstnanosti v podporovaných podnicích</w:t>
            </w:r>
          </w:p>
        </w:tc>
        <w:tc>
          <w:tcPr>
            <w:tcW w:w="0" w:type="auto"/>
            <w:tcBorders>
              <w:top w:val="single" w:sz="4" w:space="0" w:color="000000"/>
              <w:left w:val="single" w:sz="4" w:space="0" w:color="000000"/>
              <w:bottom w:val="single" w:sz="4" w:space="0" w:color="000000"/>
              <w:right w:val="single" w:sz="4" w:space="0" w:color="000000"/>
            </w:tcBorders>
            <w:vAlign w:val="center"/>
          </w:tcPr>
          <w:p w14:paraId="2AE3A52E" w14:textId="77777777" w:rsidR="001B36DC" w:rsidRPr="00DD47DF" w:rsidRDefault="001B36DC" w:rsidP="008F41A1">
            <w:pPr>
              <w:pStyle w:val="Tabulka"/>
              <w:keepLines/>
              <w:rPr>
                <w:rFonts w:cs="Calibri"/>
                <w:vertAlign w:val="superscript"/>
              </w:rPr>
            </w:pPr>
            <w:r w:rsidRPr="00DD47DF">
              <w:rPr>
                <w:rFonts w:cs="Calibri"/>
              </w:rPr>
              <w:t>FTE</w:t>
            </w:r>
          </w:p>
        </w:tc>
        <w:tc>
          <w:tcPr>
            <w:tcW w:w="0" w:type="auto"/>
            <w:tcBorders>
              <w:top w:val="single" w:sz="4" w:space="0" w:color="000000"/>
              <w:left w:val="single" w:sz="4" w:space="0" w:color="000000"/>
              <w:bottom w:val="single" w:sz="4" w:space="0" w:color="000000"/>
              <w:right w:val="single" w:sz="4" w:space="0" w:color="000000"/>
            </w:tcBorders>
            <w:vAlign w:val="center"/>
          </w:tcPr>
          <w:p w14:paraId="7A44ADD3" w14:textId="77777777" w:rsidR="001B36DC" w:rsidRPr="00DD47DF" w:rsidRDefault="001B36DC" w:rsidP="00B22DB8">
            <w:pPr>
              <w:pStyle w:val="Tabulka"/>
              <w:rPr>
                <w:rFonts w:cs="Calibri"/>
              </w:rPr>
            </w:pPr>
            <w:r w:rsidRPr="00DD47DF">
              <w:rPr>
                <w:rFonts w:cs="Calibri"/>
              </w:rPr>
              <w:t>EFRR</w:t>
            </w:r>
          </w:p>
        </w:tc>
        <w:tc>
          <w:tcPr>
            <w:tcW w:w="1073" w:type="dxa"/>
            <w:tcBorders>
              <w:top w:val="single" w:sz="4" w:space="0" w:color="000000"/>
              <w:left w:val="single" w:sz="4" w:space="0" w:color="000000"/>
              <w:bottom w:val="single" w:sz="4" w:space="0" w:color="000000"/>
              <w:right w:val="single" w:sz="4" w:space="0" w:color="000000"/>
            </w:tcBorders>
            <w:vAlign w:val="center"/>
          </w:tcPr>
          <w:p w14:paraId="37CD68DF" w14:textId="77777777" w:rsidR="001B36DC" w:rsidRPr="00DD47DF" w:rsidRDefault="001B36DC" w:rsidP="00B22DB8">
            <w:pPr>
              <w:pStyle w:val="Tabulka"/>
              <w:rPr>
                <w:rFonts w:cs="Calibri"/>
              </w:rPr>
            </w:pPr>
            <w:r w:rsidRPr="00DD47DF">
              <w:rPr>
                <w:rFonts w:cs="Calibri"/>
              </w:rPr>
              <w:t>Méně rozvinuté regiony</w:t>
            </w:r>
          </w:p>
        </w:tc>
        <w:tc>
          <w:tcPr>
            <w:tcW w:w="1418" w:type="dxa"/>
            <w:tcBorders>
              <w:top w:val="single" w:sz="4" w:space="0" w:color="000000"/>
              <w:left w:val="single" w:sz="4" w:space="0" w:color="000000"/>
              <w:bottom w:val="single" w:sz="4" w:space="0" w:color="000000"/>
              <w:right w:val="single" w:sz="4" w:space="0" w:color="000000"/>
            </w:tcBorders>
            <w:vAlign w:val="center"/>
          </w:tcPr>
          <w:p w14:paraId="5E3CF82B" w14:textId="77777777" w:rsidR="001B36DC" w:rsidRPr="00DD47DF" w:rsidRDefault="00FD71ED" w:rsidP="00B22DB8">
            <w:pPr>
              <w:pStyle w:val="Tabulka"/>
              <w:rPr>
                <w:rFonts w:cs="Calibri"/>
              </w:rPr>
            </w:pPr>
            <w:r w:rsidRPr="00DD47DF">
              <w:rPr>
                <w:rFonts w:cs="Calibri"/>
              </w:rPr>
              <w:t>6 0</w:t>
            </w:r>
            <w:r w:rsidR="004E3102" w:rsidRPr="00DD47DF">
              <w:rPr>
                <w:rFonts w:cs="Calibri"/>
              </w:rPr>
              <w:t>00</w:t>
            </w:r>
          </w:p>
        </w:tc>
        <w:tc>
          <w:tcPr>
            <w:tcW w:w="715" w:type="dxa"/>
            <w:tcBorders>
              <w:top w:val="single" w:sz="4" w:space="0" w:color="000000"/>
              <w:left w:val="single" w:sz="4" w:space="0" w:color="000000"/>
              <w:bottom w:val="single" w:sz="4" w:space="0" w:color="000000"/>
              <w:right w:val="single" w:sz="4" w:space="0" w:color="000000"/>
            </w:tcBorders>
            <w:vAlign w:val="center"/>
          </w:tcPr>
          <w:p w14:paraId="64097C8F" w14:textId="77777777" w:rsidR="001B36DC" w:rsidRPr="00DD47DF" w:rsidRDefault="001B36DC" w:rsidP="008F41A1">
            <w:pPr>
              <w:pStyle w:val="Tabulka"/>
              <w:keepLines/>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5AFC6C37" w14:textId="77777777" w:rsidR="001B36DC" w:rsidRPr="00DD47DF" w:rsidRDefault="00025DD4" w:rsidP="008F41A1">
            <w:pPr>
              <w:pStyle w:val="Tabulka"/>
              <w:keepLines/>
              <w:rPr>
                <w:rFonts w:cs="Calibri"/>
              </w:rPr>
            </w:pPr>
            <w:r>
              <w:rPr>
                <w:rFonts w:cs="Calibri"/>
              </w:rPr>
              <w:t>průběžně</w:t>
            </w:r>
          </w:p>
        </w:tc>
      </w:tr>
      <w:tr w:rsidR="00B30324" w:rsidRPr="00DD47DF" w14:paraId="018D81E9" w14:textId="77777777" w:rsidTr="00466CFC">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732F50D4" w14:textId="77777777" w:rsidR="00B30324" w:rsidRPr="00DD47DF" w:rsidDel="00C75691" w:rsidRDefault="00D4415B" w:rsidP="008F41A1">
            <w:pPr>
              <w:pStyle w:val="Tabulka"/>
              <w:keepLines/>
              <w:rPr>
                <w:rFonts w:cs="Calibri"/>
              </w:rPr>
            </w:pPr>
            <w:r w:rsidRPr="00DD47DF">
              <w:rPr>
                <w:rFonts w:cs="Calibri"/>
              </w:rPr>
              <w:t>30801</w:t>
            </w:r>
          </w:p>
        </w:tc>
        <w:tc>
          <w:tcPr>
            <w:tcW w:w="0" w:type="auto"/>
            <w:tcBorders>
              <w:top w:val="single" w:sz="4" w:space="0" w:color="000000"/>
              <w:left w:val="single" w:sz="4" w:space="0" w:color="000000"/>
              <w:bottom w:val="single" w:sz="4" w:space="0" w:color="000000"/>
              <w:right w:val="single" w:sz="4" w:space="0" w:color="000000"/>
            </w:tcBorders>
            <w:vAlign w:val="center"/>
          </w:tcPr>
          <w:p w14:paraId="793CD0A5" w14:textId="77777777" w:rsidR="00B30324" w:rsidRPr="00DD47DF" w:rsidRDefault="00B30324" w:rsidP="008F41A1">
            <w:pPr>
              <w:pStyle w:val="Tabulka"/>
              <w:keepLines/>
              <w:jc w:val="left"/>
              <w:rPr>
                <w:rFonts w:cs="Calibri"/>
              </w:rPr>
            </w:pPr>
            <w:r w:rsidRPr="00DD47DF">
              <w:rPr>
                <w:rFonts w:cs="Calibri"/>
              </w:rPr>
              <w:t>Nová a zmodernizovaná</w:t>
            </w:r>
            <w:r w:rsidR="00D4415B" w:rsidRPr="00DD47DF">
              <w:rPr>
                <w:rFonts w:cs="Calibri"/>
              </w:rPr>
              <w:t xml:space="preserve"> IT</w:t>
            </w:r>
            <w:r w:rsidRPr="00DD47DF">
              <w:rPr>
                <w:rFonts w:cs="Calibri"/>
              </w:rPr>
              <w:t xml:space="preserve"> centra</w:t>
            </w:r>
          </w:p>
        </w:tc>
        <w:tc>
          <w:tcPr>
            <w:tcW w:w="0" w:type="auto"/>
            <w:tcBorders>
              <w:top w:val="single" w:sz="4" w:space="0" w:color="000000"/>
              <w:left w:val="single" w:sz="4" w:space="0" w:color="000000"/>
              <w:bottom w:val="single" w:sz="4" w:space="0" w:color="000000"/>
              <w:right w:val="single" w:sz="4" w:space="0" w:color="000000"/>
            </w:tcBorders>
            <w:vAlign w:val="center"/>
          </w:tcPr>
          <w:p w14:paraId="2D1D3F0E" w14:textId="77777777" w:rsidR="00B30324" w:rsidRPr="00DD47DF" w:rsidRDefault="00B44F8D" w:rsidP="00B30324">
            <w:pPr>
              <w:pStyle w:val="Tabulka"/>
              <w:rPr>
                <w:rFonts w:cs="Calibri"/>
              </w:rPr>
            </w:pPr>
            <w:r w:rsidRPr="00DD47DF">
              <w:rPr>
                <w:rFonts w:cs="Calibri"/>
              </w:rPr>
              <w:t>centra</w:t>
            </w:r>
          </w:p>
        </w:tc>
        <w:tc>
          <w:tcPr>
            <w:tcW w:w="0" w:type="auto"/>
            <w:tcBorders>
              <w:top w:val="single" w:sz="4" w:space="0" w:color="000000"/>
              <w:left w:val="single" w:sz="4" w:space="0" w:color="000000"/>
              <w:bottom w:val="single" w:sz="4" w:space="0" w:color="000000"/>
              <w:right w:val="single" w:sz="4" w:space="0" w:color="000000"/>
            </w:tcBorders>
            <w:vAlign w:val="center"/>
          </w:tcPr>
          <w:p w14:paraId="5608D254" w14:textId="77777777" w:rsidR="00B30324" w:rsidRPr="00DD47DF" w:rsidRDefault="00B30324" w:rsidP="00B22DB8">
            <w:pPr>
              <w:pStyle w:val="Tabulka"/>
              <w:rPr>
                <w:rFonts w:cs="Calibri"/>
              </w:rPr>
            </w:pPr>
            <w:r w:rsidRPr="00DD47DF">
              <w:rPr>
                <w:rFonts w:cs="Calibri"/>
              </w:rPr>
              <w:t>EFRR</w:t>
            </w:r>
          </w:p>
        </w:tc>
        <w:tc>
          <w:tcPr>
            <w:tcW w:w="1073" w:type="dxa"/>
            <w:tcBorders>
              <w:top w:val="single" w:sz="4" w:space="0" w:color="000000"/>
              <w:left w:val="single" w:sz="4" w:space="0" w:color="000000"/>
              <w:bottom w:val="single" w:sz="4" w:space="0" w:color="000000"/>
              <w:right w:val="single" w:sz="4" w:space="0" w:color="000000"/>
            </w:tcBorders>
            <w:vAlign w:val="center"/>
          </w:tcPr>
          <w:p w14:paraId="2B79BCFB" w14:textId="77777777" w:rsidR="00B30324" w:rsidRPr="00DD47DF" w:rsidRDefault="00B30324" w:rsidP="00B22DB8">
            <w:pPr>
              <w:pStyle w:val="Tabulka"/>
              <w:rPr>
                <w:rFonts w:cs="Calibri"/>
              </w:rPr>
            </w:pPr>
            <w:r w:rsidRPr="00DD47DF">
              <w:rPr>
                <w:rFonts w:cs="Calibri"/>
              </w:rPr>
              <w:t>Méně rozvinuté regiony</w:t>
            </w:r>
          </w:p>
        </w:tc>
        <w:tc>
          <w:tcPr>
            <w:tcW w:w="1418" w:type="dxa"/>
            <w:tcBorders>
              <w:top w:val="single" w:sz="4" w:space="0" w:color="000000"/>
              <w:left w:val="single" w:sz="4" w:space="0" w:color="000000"/>
              <w:bottom w:val="single" w:sz="4" w:space="0" w:color="000000"/>
              <w:right w:val="single" w:sz="4" w:space="0" w:color="000000"/>
            </w:tcBorders>
            <w:vAlign w:val="center"/>
          </w:tcPr>
          <w:p w14:paraId="7853A233" w14:textId="77777777" w:rsidR="00B30324" w:rsidRPr="00DD47DF" w:rsidRDefault="001122AC" w:rsidP="00B22DB8">
            <w:pPr>
              <w:pStyle w:val="Tabulka"/>
              <w:rPr>
                <w:rFonts w:cs="Calibri"/>
              </w:rPr>
            </w:pPr>
            <w:r w:rsidRPr="00DD47DF">
              <w:rPr>
                <w:rFonts w:cs="Calibri"/>
              </w:rPr>
              <w:t>78</w:t>
            </w:r>
          </w:p>
        </w:tc>
        <w:tc>
          <w:tcPr>
            <w:tcW w:w="715" w:type="dxa"/>
            <w:tcBorders>
              <w:top w:val="single" w:sz="4" w:space="0" w:color="000000"/>
              <w:left w:val="single" w:sz="4" w:space="0" w:color="000000"/>
              <w:bottom w:val="single" w:sz="4" w:space="0" w:color="000000"/>
              <w:right w:val="single" w:sz="4" w:space="0" w:color="000000"/>
            </w:tcBorders>
            <w:vAlign w:val="center"/>
          </w:tcPr>
          <w:p w14:paraId="3B82877F" w14:textId="77777777" w:rsidR="00B30324" w:rsidRPr="00DD47DF" w:rsidRDefault="00931CEE" w:rsidP="008F41A1">
            <w:pPr>
              <w:pStyle w:val="Tabulka"/>
              <w:keepLines/>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1994EE7A" w14:textId="77777777" w:rsidR="00B30324" w:rsidRPr="00DD47DF" w:rsidRDefault="005739BE" w:rsidP="008F41A1">
            <w:pPr>
              <w:pStyle w:val="Tabulka"/>
              <w:keepLines/>
              <w:rPr>
                <w:rFonts w:cs="Calibri"/>
              </w:rPr>
            </w:pPr>
            <w:r>
              <w:rPr>
                <w:rFonts w:cs="Calibri"/>
              </w:rPr>
              <w:t>průběžně</w:t>
            </w:r>
          </w:p>
        </w:tc>
      </w:tr>
      <w:tr w:rsidR="00B30324" w:rsidRPr="00DD47DF" w14:paraId="724832EF" w14:textId="77777777" w:rsidTr="00466CFC">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2CBD74FA" w14:textId="77777777" w:rsidR="00B30324" w:rsidRPr="00DD47DF" w:rsidDel="00C75691" w:rsidRDefault="00D4415B" w:rsidP="008F41A1">
            <w:pPr>
              <w:pStyle w:val="Tabulka"/>
              <w:keepLines/>
              <w:rPr>
                <w:rFonts w:cs="Calibri"/>
              </w:rPr>
            </w:pPr>
            <w:r w:rsidRPr="00DD47DF">
              <w:rPr>
                <w:rFonts w:cs="Calibri"/>
              </w:rPr>
              <w:t>30500</w:t>
            </w:r>
          </w:p>
        </w:tc>
        <w:tc>
          <w:tcPr>
            <w:tcW w:w="0" w:type="auto"/>
            <w:tcBorders>
              <w:top w:val="single" w:sz="4" w:space="0" w:color="000000"/>
              <w:left w:val="single" w:sz="4" w:space="0" w:color="000000"/>
              <w:bottom w:val="single" w:sz="4" w:space="0" w:color="000000"/>
              <w:right w:val="single" w:sz="4" w:space="0" w:color="000000"/>
            </w:tcBorders>
            <w:vAlign w:val="center"/>
          </w:tcPr>
          <w:p w14:paraId="7B3D7089" w14:textId="77777777" w:rsidR="00B30324" w:rsidRPr="00DD47DF" w:rsidRDefault="00D4415B" w:rsidP="008F41A1">
            <w:pPr>
              <w:pStyle w:val="Tabulka"/>
              <w:keepLines/>
              <w:jc w:val="left"/>
              <w:rPr>
                <w:rFonts w:cs="Calibri"/>
              </w:rPr>
            </w:pPr>
            <w:r w:rsidRPr="00DD47DF">
              <w:rPr>
                <w:rFonts w:cs="Calibri"/>
              </w:rPr>
              <w:t>Počet pořízených informačních systémů</w:t>
            </w:r>
          </w:p>
        </w:tc>
        <w:tc>
          <w:tcPr>
            <w:tcW w:w="0" w:type="auto"/>
            <w:tcBorders>
              <w:top w:val="single" w:sz="4" w:space="0" w:color="000000"/>
              <w:left w:val="single" w:sz="4" w:space="0" w:color="000000"/>
              <w:bottom w:val="single" w:sz="4" w:space="0" w:color="000000"/>
              <w:right w:val="single" w:sz="4" w:space="0" w:color="000000"/>
            </w:tcBorders>
            <w:vAlign w:val="center"/>
          </w:tcPr>
          <w:p w14:paraId="7F133BAD" w14:textId="77777777" w:rsidR="00B30324" w:rsidRPr="00DD47DF" w:rsidRDefault="006E5BDD" w:rsidP="00B30324">
            <w:pPr>
              <w:pStyle w:val="Tabulka"/>
              <w:rPr>
                <w:rFonts w:cs="Calibri"/>
              </w:rPr>
            </w:pPr>
            <w:r w:rsidRPr="00DD47DF">
              <w:rPr>
                <w:rFonts w:cs="Calibri"/>
              </w:rPr>
              <w:t>Počet IS</w:t>
            </w:r>
          </w:p>
        </w:tc>
        <w:tc>
          <w:tcPr>
            <w:tcW w:w="0" w:type="auto"/>
            <w:tcBorders>
              <w:top w:val="single" w:sz="4" w:space="0" w:color="000000"/>
              <w:left w:val="single" w:sz="4" w:space="0" w:color="000000"/>
              <w:bottom w:val="single" w:sz="4" w:space="0" w:color="000000"/>
              <w:right w:val="single" w:sz="4" w:space="0" w:color="000000"/>
            </w:tcBorders>
            <w:vAlign w:val="center"/>
          </w:tcPr>
          <w:p w14:paraId="1FE566D8" w14:textId="77777777" w:rsidR="00B30324" w:rsidRPr="00DD47DF" w:rsidRDefault="00B30324" w:rsidP="00B22DB8">
            <w:pPr>
              <w:pStyle w:val="Tabulka"/>
              <w:rPr>
                <w:rFonts w:cs="Calibri"/>
              </w:rPr>
            </w:pPr>
            <w:r w:rsidRPr="00DD47DF">
              <w:rPr>
                <w:rFonts w:cs="Calibri"/>
              </w:rPr>
              <w:t>EFRR</w:t>
            </w:r>
          </w:p>
        </w:tc>
        <w:tc>
          <w:tcPr>
            <w:tcW w:w="1073" w:type="dxa"/>
            <w:tcBorders>
              <w:top w:val="single" w:sz="4" w:space="0" w:color="000000"/>
              <w:left w:val="single" w:sz="4" w:space="0" w:color="000000"/>
              <w:bottom w:val="single" w:sz="4" w:space="0" w:color="000000"/>
              <w:right w:val="single" w:sz="4" w:space="0" w:color="000000"/>
            </w:tcBorders>
            <w:vAlign w:val="center"/>
          </w:tcPr>
          <w:p w14:paraId="3EA71DD9" w14:textId="77777777" w:rsidR="00B30324" w:rsidRPr="00DD47DF" w:rsidRDefault="00B30324" w:rsidP="00B22DB8">
            <w:pPr>
              <w:pStyle w:val="Tabulka"/>
              <w:rPr>
                <w:rFonts w:cs="Calibri"/>
              </w:rPr>
            </w:pPr>
            <w:r w:rsidRPr="00DD47DF">
              <w:rPr>
                <w:rFonts w:cs="Calibri"/>
              </w:rPr>
              <w:t>Méně rozvinuté regiony</w:t>
            </w:r>
          </w:p>
        </w:tc>
        <w:tc>
          <w:tcPr>
            <w:tcW w:w="1418" w:type="dxa"/>
            <w:tcBorders>
              <w:top w:val="single" w:sz="4" w:space="0" w:color="000000"/>
              <w:left w:val="single" w:sz="4" w:space="0" w:color="000000"/>
              <w:bottom w:val="single" w:sz="4" w:space="0" w:color="000000"/>
              <w:right w:val="single" w:sz="4" w:space="0" w:color="000000"/>
            </w:tcBorders>
            <w:vAlign w:val="center"/>
          </w:tcPr>
          <w:p w14:paraId="2C30DC35" w14:textId="77777777" w:rsidR="00B30324" w:rsidRPr="00DD47DF" w:rsidRDefault="001122AC" w:rsidP="00B22DB8">
            <w:pPr>
              <w:pStyle w:val="Tabulka"/>
              <w:rPr>
                <w:rFonts w:cs="Calibri"/>
              </w:rPr>
            </w:pPr>
            <w:r w:rsidRPr="00DD47DF">
              <w:rPr>
                <w:rFonts w:cs="Calibri"/>
              </w:rPr>
              <w:t>572</w:t>
            </w:r>
          </w:p>
        </w:tc>
        <w:tc>
          <w:tcPr>
            <w:tcW w:w="715" w:type="dxa"/>
            <w:tcBorders>
              <w:top w:val="single" w:sz="4" w:space="0" w:color="000000"/>
              <w:left w:val="single" w:sz="4" w:space="0" w:color="000000"/>
              <w:bottom w:val="single" w:sz="4" w:space="0" w:color="000000"/>
              <w:right w:val="single" w:sz="4" w:space="0" w:color="000000"/>
            </w:tcBorders>
            <w:vAlign w:val="center"/>
          </w:tcPr>
          <w:p w14:paraId="697CB6F1" w14:textId="77777777" w:rsidR="00B30324" w:rsidRPr="00DD47DF" w:rsidRDefault="00931CEE" w:rsidP="008F41A1">
            <w:pPr>
              <w:pStyle w:val="Tabulka"/>
              <w:keepLines/>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708325A6" w14:textId="77777777" w:rsidR="00B30324" w:rsidRPr="00DD47DF" w:rsidRDefault="005739BE" w:rsidP="008F41A1">
            <w:pPr>
              <w:pStyle w:val="Tabulka"/>
              <w:keepLines/>
              <w:rPr>
                <w:rFonts w:cs="Calibri"/>
              </w:rPr>
            </w:pPr>
            <w:r>
              <w:rPr>
                <w:rFonts w:cs="Calibri"/>
              </w:rPr>
              <w:t>průběžně</w:t>
            </w:r>
          </w:p>
        </w:tc>
      </w:tr>
    </w:tbl>
    <w:p w14:paraId="56D6EEBD" w14:textId="77777777" w:rsidR="002E1C78" w:rsidRPr="00DD47DF" w:rsidRDefault="00AC6E26" w:rsidP="00DA3512">
      <w:pPr>
        <w:pStyle w:val="kapitola2A0"/>
        <w:numPr>
          <w:ilvl w:val="2"/>
          <w:numId w:val="69"/>
        </w:numPr>
      </w:pPr>
      <w:bookmarkStart w:id="100" w:name="_Toc520445308"/>
      <w:r w:rsidRPr="00DD47DF">
        <w:t>Sociální inovace, nadnárodní spolupráce a přínos k tematickým cílům 1 až 7</w:t>
      </w:r>
      <w:bookmarkEnd w:id="100"/>
      <w:r w:rsidR="002E1C78" w:rsidRPr="00DD47DF">
        <w:t xml:space="preserve"> </w:t>
      </w:r>
    </w:p>
    <w:p w14:paraId="0E91A281" w14:textId="77777777" w:rsidR="004126CC" w:rsidRPr="00DD47DF" w:rsidRDefault="006B6307" w:rsidP="008A5FCE">
      <w:pPr>
        <w:pStyle w:val="Standardntext"/>
        <w:sectPr w:rsidR="004126CC" w:rsidRPr="00DD47DF" w:rsidSect="004126CC">
          <w:headerReference w:type="default" r:id="rId41"/>
          <w:footerReference w:type="default" r:id="rId42"/>
          <w:pgSz w:w="11906" w:h="16838"/>
          <w:pgMar w:top="1418" w:right="1276" w:bottom="1276" w:left="1418" w:header="709" w:footer="709" w:gutter="0"/>
          <w:cols w:space="708"/>
          <w:docGrid w:linePitch="272"/>
        </w:sectPr>
      </w:pPr>
      <w:r w:rsidRPr="00DD47DF">
        <w:t>Není relevantní pro OP PIK.</w:t>
      </w:r>
    </w:p>
    <w:p w14:paraId="0413DA2D" w14:textId="77777777" w:rsidR="002E1C78" w:rsidRPr="00DD47DF" w:rsidRDefault="00AC6E26" w:rsidP="00DA3512">
      <w:pPr>
        <w:pStyle w:val="kapitola2A0"/>
        <w:numPr>
          <w:ilvl w:val="2"/>
          <w:numId w:val="69"/>
        </w:numPr>
      </w:pPr>
      <w:bookmarkStart w:id="101" w:name="_Toc520445309"/>
      <w:r w:rsidRPr="00DD47DF">
        <w:lastRenderedPageBreak/>
        <w:t>Výkonnostní rámec</w:t>
      </w:r>
      <w:bookmarkEnd w:id="101"/>
    </w:p>
    <w:p w14:paraId="08A5A361" w14:textId="77777777" w:rsidR="002E1C78" w:rsidRPr="00DD47DF" w:rsidRDefault="002E1C78" w:rsidP="006F258E">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6</w:t>
      </w:r>
      <w:r w:rsidR="002756E7" w:rsidRPr="00DD47DF">
        <w:rPr>
          <w:noProof/>
        </w:rPr>
        <w:fldChar w:fldCharType="end"/>
      </w:r>
      <w:r w:rsidRPr="00DD47DF">
        <w:t xml:space="preserve">: </w:t>
      </w:r>
      <w:r w:rsidR="00AC6E26" w:rsidRPr="00DD47DF">
        <w:t>Výkonnostní rámec prioritní osy</w:t>
      </w:r>
      <w:r w:rsidRPr="00DD47DF">
        <w:t xml:space="preserve"> </w:t>
      </w:r>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933"/>
        <w:gridCol w:w="1590"/>
        <w:gridCol w:w="799"/>
        <w:gridCol w:w="1420"/>
        <w:gridCol w:w="1409"/>
        <w:gridCol w:w="767"/>
        <w:gridCol w:w="1145"/>
        <w:gridCol w:w="1261"/>
        <w:gridCol w:w="1356"/>
        <w:gridCol w:w="997"/>
        <w:gridCol w:w="2632"/>
      </w:tblGrid>
      <w:tr w:rsidR="00E84B36" w:rsidRPr="00DD47DF" w14:paraId="6E630A11" w14:textId="77777777">
        <w:tc>
          <w:tcPr>
            <w:tcW w:w="0" w:type="auto"/>
            <w:shd w:val="clear" w:color="auto" w:fill="B8CCE4"/>
            <w:vAlign w:val="center"/>
          </w:tcPr>
          <w:p w14:paraId="55796819" w14:textId="77777777" w:rsidR="00AE32DE" w:rsidRPr="00DD47DF" w:rsidRDefault="00AE32DE" w:rsidP="00E84B36">
            <w:pPr>
              <w:pStyle w:val="Tabulka"/>
              <w:keepNext/>
              <w:keepLines/>
              <w:rPr>
                <w:rFonts w:cs="Calibri"/>
                <w:b/>
              </w:rPr>
            </w:pPr>
            <w:r w:rsidRPr="00DD47DF">
              <w:rPr>
                <w:rFonts w:cs="Calibri"/>
                <w:b/>
              </w:rPr>
              <w:t>Prioritní osa</w:t>
            </w:r>
          </w:p>
        </w:tc>
        <w:tc>
          <w:tcPr>
            <w:tcW w:w="1684" w:type="dxa"/>
            <w:shd w:val="clear" w:color="auto" w:fill="B8CCE4"/>
            <w:vAlign w:val="center"/>
          </w:tcPr>
          <w:p w14:paraId="2D9B7933" w14:textId="77777777" w:rsidR="00AE32DE" w:rsidRPr="00DD47DF" w:rsidRDefault="00AE32DE" w:rsidP="00E84B36">
            <w:pPr>
              <w:pStyle w:val="Tabulka"/>
              <w:keepNext/>
              <w:keepLines/>
              <w:rPr>
                <w:rFonts w:cs="Calibri"/>
                <w:b/>
              </w:rPr>
            </w:pPr>
            <w:r w:rsidRPr="00DD47DF">
              <w:rPr>
                <w:rFonts w:cs="Calibri"/>
                <w:b/>
              </w:rPr>
              <w:t>Typ ukazatele</w:t>
            </w:r>
          </w:p>
          <w:p w14:paraId="40856581" w14:textId="77777777" w:rsidR="00AE32DE" w:rsidRPr="00DD47DF" w:rsidRDefault="00AE32DE" w:rsidP="00E84B36">
            <w:pPr>
              <w:pStyle w:val="Tabulka"/>
              <w:keepNext/>
              <w:keepLines/>
              <w:rPr>
                <w:rFonts w:cs="Calibri"/>
                <w:b/>
              </w:rPr>
            </w:pPr>
            <w:r w:rsidRPr="00DD47DF">
              <w:rPr>
                <w:rFonts w:cs="Calibri"/>
                <w:b/>
              </w:rPr>
              <w:t>(klíčový krok provádění, finanční výstup nebo popřípadě ukazatel výsledků)</w:t>
            </w:r>
          </w:p>
        </w:tc>
        <w:tc>
          <w:tcPr>
            <w:tcW w:w="554" w:type="dxa"/>
            <w:shd w:val="clear" w:color="auto" w:fill="B8CCE4"/>
            <w:vAlign w:val="center"/>
          </w:tcPr>
          <w:p w14:paraId="5893E6BF" w14:textId="77777777" w:rsidR="00AE32DE" w:rsidRPr="00DD47DF" w:rsidRDefault="00AE32DE" w:rsidP="00E84B36">
            <w:pPr>
              <w:pStyle w:val="Tabulka"/>
              <w:keepNext/>
              <w:keepLines/>
              <w:rPr>
                <w:rFonts w:cs="Calibri"/>
                <w:b/>
              </w:rPr>
            </w:pPr>
            <w:r w:rsidRPr="00DD47DF">
              <w:rPr>
                <w:rFonts w:cs="Calibri"/>
                <w:b/>
              </w:rPr>
              <w:t>ID</w:t>
            </w:r>
          </w:p>
        </w:tc>
        <w:tc>
          <w:tcPr>
            <w:tcW w:w="1429" w:type="dxa"/>
            <w:shd w:val="clear" w:color="auto" w:fill="B8CCE4"/>
            <w:tcMar>
              <w:top w:w="0" w:type="dxa"/>
              <w:left w:w="108" w:type="dxa"/>
              <w:bottom w:w="0" w:type="dxa"/>
              <w:right w:w="108" w:type="dxa"/>
            </w:tcMar>
            <w:vAlign w:val="center"/>
          </w:tcPr>
          <w:p w14:paraId="3D0801E8" w14:textId="77777777" w:rsidR="00AE32DE" w:rsidRPr="00DD47DF" w:rsidRDefault="00AE32DE" w:rsidP="00E84B36">
            <w:pPr>
              <w:pStyle w:val="Tabulka"/>
              <w:keepNext/>
              <w:keepLines/>
              <w:rPr>
                <w:rFonts w:cs="Calibri"/>
                <w:b/>
              </w:rPr>
            </w:pPr>
            <w:r w:rsidRPr="00DD47DF">
              <w:rPr>
                <w:rFonts w:cs="Calibri"/>
                <w:b/>
              </w:rPr>
              <w:t>Ukazatel nebo klíčový krok provádění</w:t>
            </w:r>
          </w:p>
        </w:tc>
        <w:tc>
          <w:tcPr>
            <w:tcW w:w="1418" w:type="dxa"/>
            <w:shd w:val="clear" w:color="auto" w:fill="B8CCE4"/>
            <w:tcMar>
              <w:top w:w="0" w:type="dxa"/>
              <w:left w:w="108" w:type="dxa"/>
              <w:bottom w:w="0" w:type="dxa"/>
              <w:right w:w="108" w:type="dxa"/>
            </w:tcMar>
            <w:vAlign w:val="center"/>
          </w:tcPr>
          <w:p w14:paraId="773DF6EC" w14:textId="77777777" w:rsidR="00AE32DE" w:rsidRPr="00DD47DF" w:rsidRDefault="00AE32DE" w:rsidP="00E84B36">
            <w:pPr>
              <w:pStyle w:val="Tabulka"/>
              <w:keepNext/>
              <w:keepLines/>
              <w:rPr>
                <w:rFonts w:cs="Calibri"/>
                <w:b/>
              </w:rPr>
            </w:pPr>
            <w:r w:rsidRPr="00DD47DF">
              <w:rPr>
                <w:rFonts w:cs="Calibri"/>
                <w:b/>
              </w:rPr>
              <w:t>Měrná jednotka (použije-li se)</w:t>
            </w:r>
          </w:p>
        </w:tc>
        <w:tc>
          <w:tcPr>
            <w:tcW w:w="767" w:type="dxa"/>
            <w:shd w:val="clear" w:color="auto" w:fill="B8CCE4"/>
            <w:tcMar>
              <w:top w:w="0" w:type="dxa"/>
              <w:left w:w="108" w:type="dxa"/>
              <w:bottom w:w="0" w:type="dxa"/>
              <w:right w:w="108" w:type="dxa"/>
            </w:tcMar>
            <w:vAlign w:val="center"/>
          </w:tcPr>
          <w:p w14:paraId="1F36AD2E" w14:textId="77777777" w:rsidR="00AE32DE" w:rsidRPr="00DD47DF" w:rsidRDefault="00AE32DE" w:rsidP="00E84B36">
            <w:pPr>
              <w:pStyle w:val="Tabulka"/>
              <w:keepNext/>
              <w:keepLines/>
              <w:rPr>
                <w:rFonts w:cs="Calibri"/>
                <w:b/>
              </w:rPr>
            </w:pPr>
            <w:r w:rsidRPr="00DD47DF">
              <w:rPr>
                <w:rFonts w:cs="Calibri"/>
                <w:b/>
              </w:rPr>
              <w:t>Fond</w:t>
            </w:r>
          </w:p>
        </w:tc>
        <w:tc>
          <w:tcPr>
            <w:tcW w:w="1145" w:type="dxa"/>
            <w:shd w:val="clear" w:color="auto" w:fill="B8CCE4"/>
            <w:tcMar>
              <w:top w:w="0" w:type="dxa"/>
              <w:left w:w="108" w:type="dxa"/>
              <w:bottom w:w="0" w:type="dxa"/>
              <w:right w:w="108" w:type="dxa"/>
            </w:tcMar>
            <w:vAlign w:val="center"/>
          </w:tcPr>
          <w:p w14:paraId="0F9E717D" w14:textId="77777777" w:rsidR="00AE32DE" w:rsidRPr="00DD47DF" w:rsidRDefault="00AE32DE" w:rsidP="00E84B36">
            <w:pPr>
              <w:pStyle w:val="Tabulka"/>
              <w:keepNext/>
              <w:keepLines/>
              <w:rPr>
                <w:rFonts w:cs="Calibri"/>
                <w:b/>
              </w:rPr>
            </w:pPr>
            <w:r w:rsidRPr="00DD47DF">
              <w:rPr>
                <w:rFonts w:cs="Calibri"/>
                <w:b/>
              </w:rPr>
              <w:t>Kategorie regionů</w:t>
            </w:r>
          </w:p>
        </w:tc>
        <w:tc>
          <w:tcPr>
            <w:tcW w:w="1348" w:type="dxa"/>
            <w:shd w:val="clear" w:color="auto" w:fill="B8CCE4"/>
            <w:vAlign w:val="center"/>
          </w:tcPr>
          <w:p w14:paraId="4C748F97" w14:textId="77777777" w:rsidR="00AE32DE" w:rsidRPr="00DD47DF" w:rsidRDefault="00AE32DE" w:rsidP="00E84B36">
            <w:pPr>
              <w:pStyle w:val="Tabulka"/>
              <w:keepNext/>
              <w:keepLines/>
              <w:rPr>
                <w:rFonts w:cs="Calibri"/>
                <w:b/>
              </w:rPr>
            </w:pPr>
            <w:r w:rsidRPr="00DD47DF">
              <w:rPr>
                <w:rFonts w:cs="Calibri"/>
                <w:b/>
              </w:rPr>
              <w:t>Milník pro rok 2018</w:t>
            </w:r>
          </w:p>
        </w:tc>
        <w:tc>
          <w:tcPr>
            <w:tcW w:w="1418" w:type="dxa"/>
            <w:shd w:val="clear" w:color="auto" w:fill="B8CCE4"/>
            <w:tcMar>
              <w:top w:w="0" w:type="dxa"/>
              <w:left w:w="108" w:type="dxa"/>
              <w:bottom w:w="0" w:type="dxa"/>
              <w:right w:w="108" w:type="dxa"/>
            </w:tcMar>
            <w:vAlign w:val="center"/>
          </w:tcPr>
          <w:p w14:paraId="2EB58320" w14:textId="77777777" w:rsidR="00AE32DE" w:rsidRPr="00DD47DF" w:rsidRDefault="00AE32DE" w:rsidP="00E84B36">
            <w:pPr>
              <w:pStyle w:val="Tabulka"/>
              <w:keepNext/>
              <w:keepLines/>
              <w:rPr>
                <w:rFonts w:cs="Calibri"/>
                <w:b/>
              </w:rPr>
            </w:pPr>
            <w:r w:rsidRPr="00DD47DF">
              <w:rPr>
                <w:rFonts w:cs="Calibri"/>
                <w:b/>
              </w:rPr>
              <w:t>Konečný cíl (2023)</w:t>
            </w:r>
          </w:p>
        </w:tc>
        <w:tc>
          <w:tcPr>
            <w:tcW w:w="708" w:type="dxa"/>
            <w:shd w:val="clear" w:color="auto" w:fill="B8CCE4"/>
            <w:vAlign w:val="center"/>
          </w:tcPr>
          <w:p w14:paraId="0474325A" w14:textId="77777777" w:rsidR="00AE32DE" w:rsidRPr="00DD47DF" w:rsidRDefault="00AE32DE" w:rsidP="00E84B36">
            <w:pPr>
              <w:pStyle w:val="Tabulka"/>
              <w:keepNext/>
              <w:keepLines/>
              <w:rPr>
                <w:rFonts w:cs="Calibri"/>
                <w:b/>
              </w:rPr>
            </w:pPr>
            <w:r w:rsidRPr="00DD47DF">
              <w:rPr>
                <w:rFonts w:cs="Calibri"/>
                <w:b/>
              </w:rPr>
              <w:t>Zdroj dat</w:t>
            </w:r>
          </w:p>
        </w:tc>
        <w:tc>
          <w:tcPr>
            <w:tcW w:w="2861" w:type="dxa"/>
            <w:shd w:val="clear" w:color="auto" w:fill="B8CCE4"/>
            <w:vAlign w:val="center"/>
          </w:tcPr>
          <w:p w14:paraId="78BC645C" w14:textId="77777777" w:rsidR="00AE32DE" w:rsidRPr="00DD47DF" w:rsidRDefault="00AE32DE" w:rsidP="00E84B36">
            <w:pPr>
              <w:pStyle w:val="Tabulka"/>
              <w:keepNext/>
              <w:keepLines/>
              <w:rPr>
                <w:rFonts w:cs="Calibri"/>
                <w:b/>
              </w:rPr>
            </w:pPr>
            <w:r w:rsidRPr="00DD47DF">
              <w:rPr>
                <w:rFonts w:cs="Calibri"/>
                <w:b/>
              </w:rPr>
              <w:t>Popřípadě vysvětlení relevantnosti ukazatele</w:t>
            </w:r>
          </w:p>
        </w:tc>
      </w:tr>
      <w:tr w:rsidR="00E84B36" w:rsidRPr="00DD47DF" w14:paraId="25D74280" w14:textId="77777777">
        <w:trPr>
          <w:trHeight w:val="938"/>
        </w:trPr>
        <w:tc>
          <w:tcPr>
            <w:tcW w:w="0" w:type="auto"/>
            <w:vAlign w:val="center"/>
          </w:tcPr>
          <w:p w14:paraId="688616B3" w14:textId="77777777" w:rsidR="00AE32DE" w:rsidRPr="00DD47DF" w:rsidRDefault="00AE32DE" w:rsidP="00E84B36">
            <w:pPr>
              <w:pStyle w:val="Tabulka"/>
              <w:rPr>
                <w:rFonts w:cs="Calibri"/>
              </w:rPr>
            </w:pPr>
            <w:r w:rsidRPr="00DD47DF">
              <w:rPr>
                <w:rFonts w:cs="Calibri"/>
              </w:rPr>
              <w:t>PO 4</w:t>
            </w:r>
          </w:p>
        </w:tc>
        <w:tc>
          <w:tcPr>
            <w:tcW w:w="1684" w:type="dxa"/>
            <w:vAlign w:val="center"/>
          </w:tcPr>
          <w:p w14:paraId="7B21B9D9" w14:textId="77777777" w:rsidR="00AE32DE" w:rsidRPr="00DD47DF" w:rsidRDefault="00AE32DE" w:rsidP="00E84B36">
            <w:pPr>
              <w:pStyle w:val="Tabulka"/>
              <w:rPr>
                <w:rFonts w:cs="Calibri"/>
              </w:rPr>
            </w:pPr>
            <w:r w:rsidRPr="00DD47DF">
              <w:rPr>
                <w:rFonts w:cs="Calibri"/>
              </w:rPr>
              <w:t>finanční</w:t>
            </w:r>
          </w:p>
        </w:tc>
        <w:tc>
          <w:tcPr>
            <w:tcW w:w="554" w:type="dxa"/>
            <w:vAlign w:val="center"/>
          </w:tcPr>
          <w:p w14:paraId="57E3BE74" w14:textId="77777777" w:rsidR="00AE32DE" w:rsidRPr="00DD47DF" w:rsidRDefault="00A6082B" w:rsidP="00E84B36">
            <w:pPr>
              <w:pStyle w:val="Tabulka"/>
              <w:rPr>
                <w:rFonts w:cs="Calibri"/>
              </w:rPr>
            </w:pPr>
            <w:r w:rsidRPr="00DD47DF">
              <w:rPr>
                <w:rFonts w:cs="Calibri"/>
              </w:rPr>
              <w:t>FINMT</w:t>
            </w:r>
          </w:p>
        </w:tc>
        <w:tc>
          <w:tcPr>
            <w:tcW w:w="1429" w:type="dxa"/>
            <w:shd w:val="clear" w:color="auto" w:fill="auto"/>
            <w:tcMar>
              <w:top w:w="0" w:type="dxa"/>
              <w:left w:w="108" w:type="dxa"/>
              <w:bottom w:w="0" w:type="dxa"/>
              <w:right w:w="108" w:type="dxa"/>
            </w:tcMar>
            <w:vAlign w:val="center"/>
          </w:tcPr>
          <w:p w14:paraId="570E5576" w14:textId="77777777" w:rsidR="00AE32DE" w:rsidRPr="00DD47DF" w:rsidRDefault="003D1BB3" w:rsidP="00E84B36">
            <w:pPr>
              <w:pStyle w:val="Tabulka"/>
              <w:rPr>
                <w:rFonts w:cs="Calibri"/>
              </w:rPr>
            </w:pPr>
            <w:r w:rsidRPr="00DD47DF">
              <w:rPr>
                <w:rFonts w:cs="Calibri"/>
              </w:rPr>
              <w:t>Celkové způsobilé certifikované finanční prostředky</w:t>
            </w:r>
          </w:p>
        </w:tc>
        <w:tc>
          <w:tcPr>
            <w:tcW w:w="1418" w:type="dxa"/>
            <w:shd w:val="clear" w:color="auto" w:fill="auto"/>
            <w:tcMar>
              <w:top w:w="0" w:type="dxa"/>
              <w:left w:w="108" w:type="dxa"/>
              <w:bottom w:w="0" w:type="dxa"/>
              <w:right w:w="108" w:type="dxa"/>
            </w:tcMar>
            <w:vAlign w:val="center"/>
          </w:tcPr>
          <w:p w14:paraId="5BF16A3B" w14:textId="77777777" w:rsidR="00AE32DE" w:rsidRPr="00DD47DF" w:rsidRDefault="00AE32DE" w:rsidP="00E84B36">
            <w:pPr>
              <w:pStyle w:val="Tabulka"/>
              <w:rPr>
                <w:rFonts w:cs="Calibri"/>
              </w:rPr>
            </w:pPr>
            <w:r w:rsidRPr="00DD47DF">
              <w:rPr>
                <w:rFonts w:cs="Calibri"/>
              </w:rPr>
              <w:t>EUR</w:t>
            </w:r>
          </w:p>
        </w:tc>
        <w:tc>
          <w:tcPr>
            <w:tcW w:w="767" w:type="dxa"/>
            <w:shd w:val="clear" w:color="auto" w:fill="auto"/>
            <w:tcMar>
              <w:top w:w="0" w:type="dxa"/>
              <w:left w:w="108" w:type="dxa"/>
              <w:bottom w:w="0" w:type="dxa"/>
              <w:right w:w="108" w:type="dxa"/>
            </w:tcMar>
            <w:vAlign w:val="center"/>
          </w:tcPr>
          <w:p w14:paraId="57853585" w14:textId="77777777" w:rsidR="00AE32DE" w:rsidRPr="00DD47DF" w:rsidRDefault="00AE32DE" w:rsidP="00E84B36">
            <w:pPr>
              <w:pStyle w:val="Tabulka"/>
              <w:rPr>
                <w:rFonts w:cs="Calibri"/>
              </w:rPr>
            </w:pPr>
            <w:r w:rsidRPr="00DD47DF">
              <w:rPr>
                <w:rFonts w:cs="Calibri"/>
              </w:rPr>
              <w:t>EFRR</w:t>
            </w:r>
          </w:p>
        </w:tc>
        <w:tc>
          <w:tcPr>
            <w:tcW w:w="1145" w:type="dxa"/>
            <w:shd w:val="clear" w:color="auto" w:fill="auto"/>
            <w:tcMar>
              <w:top w:w="0" w:type="dxa"/>
              <w:left w:w="108" w:type="dxa"/>
              <w:bottom w:w="0" w:type="dxa"/>
              <w:right w:w="108" w:type="dxa"/>
            </w:tcMar>
            <w:vAlign w:val="center"/>
          </w:tcPr>
          <w:p w14:paraId="2C631239" w14:textId="77777777" w:rsidR="00AE32DE" w:rsidRPr="00DD47DF" w:rsidRDefault="00AE32DE" w:rsidP="00E84B36">
            <w:pPr>
              <w:pStyle w:val="Tabulka"/>
              <w:rPr>
                <w:rFonts w:cs="Calibri"/>
              </w:rPr>
            </w:pPr>
            <w:r w:rsidRPr="00DD47DF">
              <w:rPr>
                <w:rFonts w:cs="Calibri"/>
              </w:rPr>
              <w:t>Méně rozvinuté regiony</w:t>
            </w:r>
          </w:p>
        </w:tc>
        <w:tc>
          <w:tcPr>
            <w:tcW w:w="1348" w:type="dxa"/>
            <w:vAlign w:val="center"/>
          </w:tcPr>
          <w:p w14:paraId="6FBEE58D" w14:textId="77777777" w:rsidR="00AE32DE" w:rsidRPr="00DD47DF" w:rsidRDefault="00761352" w:rsidP="00E84B36">
            <w:pPr>
              <w:pStyle w:val="Tabulka"/>
              <w:rPr>
                <w:rFonts w:cs="Calibri"/>
              </w:rPr>
            </w:pPr>
            <w:r w:rsidRPr="00DD47DF">
              <w:rPr>
                <w:rFonts w:cs="Calibri"/>
              </w:rPr>
              <w:t>3</w:t>
            </w:r>
            <w:r w:rsidR="00CC653D" w:rsidRPr="00DD47DF">
              <w:rPr>
                <w:rFonts w:cs="Calibri"/>
              </w:rPr>
              <w:t>1</w:t>
            </w:r>
            <w:r w:rsidRPr="00DD47DF">
              <w:rPr>
                <w:rFonts w:cs="Calibri"/>
              </w:rPr>
              <w:t>0</w:t>
            </w:r>
            <w:r w:rsidR="007D7CAF" w:rsidRPr="00DD47DF">
              <w:rPr>
                <w:rFonts w:cs="Calibri"/>
              </w:rPr>
              <w:t> 000 000</w:t>
            </w:r>
          </w:p>
        </w:tc>
        <w:tc>
          <w:tcPr>
            <w:tcW w:w="1418" w:type="dxa"/>
            <w:shd w:val="clear" w:color="auto" w:fill="auto"/>
            <w:tcMar>
              <w:top w:w="0" w:type="dxa"/>
              <w:left w:w="108" w:type="dxa"/>
              <w:bottom w:w="0" w:type="dxa"/>
              <w:right w:w="108" w:type="dxa"/>
            </w:tcMar>
            <w:vAlign w:val="center"/>
          </w:tcPr>
          <w:p w14:paraId="0979520E" w14:textId="15E458BC" w:rsidR="00AE32DE" w:rsidRPr="00DD47DF" w:rsidRDefault="00A7041A" w:rsidP="00E84B36">
            <w:pPr>
              <w:pStyle w:val="Tabulka"/>
              <w:rPr>
                <w:rFonts w:cs="Calibri"/>
              </w:rPr>
            </w:pPr>
            <w:r w:rsidRPr="00700E39">
              <w:t>1 141 012 312</w:t>
            </w:r>
          </w:p>
        </w:tc>
        <w:tc>
          <w:tcPr>
            <w:tcW w:w="708" w:type="dxa"/>
            <w:vAlign w:val="center"/>
          </w:tcPr>
          <w:p w14:paraId="0E4D9212" w14:textId="77777777" w:rsidR="00AE32DE" w:rsidRPr="00DD47DF" w:rsidRDefault="00EC50F2" w:rsidP="00E84B36">
            <w:pPr>
              <w:pStyle w:val="Tabulka"/>
              <w:rPr>
                <w:rFonts w:cs="Calibri"/>
              </w:rPr>
            </w:pPr>
            <w:r w:rsidRPr="00DD47DF">
              <w:rPr>
                <w:rFonts w:cs="Calibri"/>
              </w:rPr>
              <w:t>ŘO</w:t>
            </w:r>
          </w:p>
        </w:tc>
        <w:tc>
          <w:tcPr>
            <w:tcW w:w="2861" w:type="dxa"/>
            <w:vAlign w:val="center"/>
          </w:tcPr>
          <w:p w14:paraId="50E96BBE" w14:textId="77777777" w:rsidR="00AE32DE" w:rsidRPr="00DD47DF" w:rsidRDefault="00336829" w:rsidP="00E84B36">
            <w:pPr>
              <w:pStyle w:val="Tabulka"/>
              <w:rPr>
                <w:rFonts w:cs="Calibri"/>
              </w:rPr>
            </w:pPr>
            <w:r w:rsidRPr="00DD47DF">
              <w:rPr>
                <w:rFonts w:cs="Calibri"/>
              </w:rPr>
              <w:t>Objem celkových způsobilých výdajů zaslaných do účetního systému certifikačního orgánu a certifikovaných</w:t>
            </w:r>
            <w:r w:rsidR="00C70BA9" w:rsidRPr="00DD47DF">
              <w:rPr>
                <w:rFonts w:cs="Calibri"/>
              </w:rPr>
              <w:t xml:space="preserve"> certifikačním orgánem</w:t>
            </w:r>
            <w:r w:rsidRPr="00DD47DF">
              <w:rPr>
                <w:rFonts w:cs="Calibri"/>
              </w:rPr>
              <w:t>.</w:t>
            </w:r>
          </w:p>
        </w:tc>
      </w:tr>
      <w:tr w:rsidR="00E84B36" w:rsidRPr="00DD47DF" w14:paraId="70EF964E" w14:textId="77777777">
        <w:tc>
          <w:tcPr>
            <w:tcW w:w="0" w:type="auto"/>
            <w:vAlign w:val="center"/>
          </w:tcPr>
          <w:p w14:paraId="4E1EE03F" w14:textId="77777777" w:rsidR="00AE32DE" w:rsidRPr="00DD47DF" w:rsidRDefault="00AE32DE" w:rsidP="00E84B36">
            <w:pPr>
              <w:pStyle w:val="Tabulka"/>
              <w:rPr>
                <w:rFonts w:cs="Calibri"/>
              </w:rPr>
            </w:pPr>
            <w:r w:rsidRPr="00DD47DF">
              <w:rPr>
                <w:rFonts w:cs="Calibri"/>
              </w:rPr>
              <w:t>PO 4</w:t>
            </w:r>
          </w:p>
        </w:tc>
        <w:tc>
          <w:tcPr>
            <w:tcW w:w="1684" w:type="dxa"/>
            <w:vAlign w:val="center"/>
          </w:tcPr>
          <w:p w14:paraId="118DB020" w14:textId="77777777" w:rsidR="00AE32DE" w:rsidRPr="00DD47DF" w:rsidRDefault="00AE32DE" w:rsidP="00E84B36">
            <w:pPr>
              <w:pStyle w:val="Tabulka"/>
              <w:rPr>
                <w:rFonts w:cs="Calibri"/>
              </w:rPr>
            </w:pPr>
            <w:r w:rsidRPr="00DD47DF">
              <w:rPr>
                <w:rFonts w:cs="Calibri"/>
              </w:rPr>
              <w:t>výstupový</w:t>
            </w:r>
          </w:p>
        </w:tc>
        <w:tc>
          <w:tcPr>
            <w:tcW w:w="554" w:type="dxa"/>
            <w:vAlign w:val="center"/>
          </w:tcPr>
          <w:p w14:paraId="03AA69EF" w14:textId="28007513" w:rsidR="00AE32DE" w:rsidRPr="00DD47DF" w:rsidRDefault="00C75691" w:rsidP="00E84B36">
            <w:pPr>
              <w:pStyle w:val="Tabulka"/>
              <w:rPr>
                <w:rFonts w:cs="Calibri"/>
              </w:rPr>
            </w:pPr>
            <w:r w:rsidRPr="00DD47DF">
              <w:rPr>
                <w:rFonts w:cs="Calibri"/>
              </w:rPr>
              <w:t xml:space="preserve">CO </w:t>
            </w:r>
            <w:r w:rsidR="001F250D" w:rsidRPr="00DD47DF">
              <w:rPr>
                <w:rFonts w:cs="Calibri"/>
              </w:rPr>
              <w:t>0</w:t>
            </w:r>
            <w:r w:rsidR="003E294F" w:rsidRPr="00DD47DF">
              <w:rPr>
                <w:rFonts w:cs="Calibri"/>
              </w:rPr>
              <w:t>1</w:t>
            </w:r>
          </w:p>
        </w:tc>
        <w:tc>
          <w:tcPr>
            <w:tcW w:w="1429" w:type="dxa"/>
            <w:shd w:val="clear" w:color="auto" w:fill="auto"/>
            <w:tcMar>
              <w:top w:w="0" w:type="dxa"/>
              <w:left w:w="108" w:type="dxa"/>
              <w:bottom w:w="0" w:type="dxa"/>
              <w:right w:w="108" w:type="dxa"/>
            </w:tcMar>
            <w:vAlign w:val="center"/>
          </w:tcPr>
          <w:p w14:paraId="3BAEB30B" w14:textId="77777777" w:rsidR="00AE32DE" w:rsidRPr="00DD47DF" w:rsidRDefault="003E294F" w:rsidP="00E84B36">
            <w:pPr>
              <w:pStyle w:val="Tabulka"/>
              <w:rPr>
                <w:rFonts w:cs="Calibri"/>
              </w:rPr>
            </w:pPr>
            <w:r w:rsidRPr="00DD47DF">
              <w:rPr>
                <w:rFonts w:cs="Calibri"/>
              </w:rPr>
              <w:t>Počet podniků pobírajících podporu</w:t>
            </w:r>
          </w:p>
        </w:tc>
        <w:tc>
          <w:tcPr>
            <w:tcW w:w="1418" w:type="dxa"/>
            <w:shd w:val="clear" w:color="auto" w:fill="auto"/>
            <w:tcMar>
              <w:top w:w="0" w:type="dxa"/>
              <w:left w:w="108" w:type="dxa"/>
              <w:bottom w:w="0" w:type="dxa"/>
              <w:right w:w="108" w:type="dxa"/>
            </w:tcMar>
            <w:vAlign w:val="center"/>
          </w:tcPr>
          <w:p w14:paraId="38176FD5" w14:textId="77777777" w:rsidR="00AE32DE" w:rsidRPr="00DD47DF" w:rsidRDefault="00AE32DE" w:rsidP="00E84B36">
            <w:pPr>
              <w:pStyle w:val="Tabulka"/>
              <w:rPr>
                <w:rFonts w:cs="Calibri"/>
              </w:rPr>
            </w:pPr>
            <w:r w:rsidRPr="00DD47DF">
              <w:rPr>
                <w:rFonts w:cs="Calibri"/>
              </w:rPr>
              <w:t>Počet podpořených firem dle IČO</w:t>
            </w:r>
          </w:p>
        </w:tc>
        <w:tc>
          <w:tcPr>
            <w:tcW w:w="767" w:type="dxa"/>
            <w:shd w:val="clear" w:color="auto" w:fill="auto"/>
            <w:tcMar>
              <w:top w:w="0" w:type="dxa"/>
              <w:left w:w="108" w:type="dxa"/>
              <w:bottom w:w="0" w:type="dxa"/>
              <w:right w:w="108" w:type="dxa"/>
            </w:tcMar>
            <w:vAlign w:val="center"/>
          </w:tcPr>
          <w:p w14:paraId="762A191D" w14:textId="77777777" w:rsidR="00AE32DE" w:rsidRPr="00DD47DF" w:rsidRDefault="00AE32DE" w:rsidP="00E84B36">
            <w:pPr>
              <w:pStyle w:val="Tabulka"/>
              <w:rPr>
                <w:rFonts w:cs="Calibri"/>
              </w:rPr>
            </w:pPr>
            <w:r w:rsidRPr="00DD47DF">
              <w:rPr>
                <w:rFonts w:cs="Calibri"/>
              </w:rPr>
              <w:t>EFRR</w:t>
            </w:r>
          </w:p>
        </w:tc>
        <w:tc>
          <w:tcPr>
            <w:tcW w:w="1145" w:type="dxa"/>
            <w:shd w:val="clear" w:color="auto" w:fill="auto"/>
            <w:tcMar>
              <w:top w:w="0" w:type="dxa"/>
              <w:left w:w="108" w:type="dxa"/>
              <w:bottom w:w="0" w:type="dxa"/>
              <w:right w:w="108" w:type="dxa"/>
            </w:tcMar>
            <w:vAlign w:val="center"/>
          </w:tcPr>
          <w:p w14:paraId="48126C77" w14:textId="77777777" w:rsidR="00AE32DE" w:rsidRPr="00DD47DF" w:rsidRDefault="00AE32DE" w:rsidP="00E84B36">
            <w:pPr>
              <w:pStyle w:val="Tabulka"/>
              <w:rPr>
                <w:rFonts w:cs="Calibri"/>
              </w:rPr>
            </w:pPr>
            <w:r w:rsidRPr="00DD47DF">
              <w:rPr>
                <w:rFonts w:cs="Calibri"/>
              </w:rPr>
              <w:t>Méně rozvinuté regiony</w:t>
            </w:r>
          </w:p>
        </w:tc>
        <w:tc>
          <w:tcPr>
            <w:tcW w:w="1348" w:type="dxa"/>
            <w:vAlign w:val="center"/>
          </w:tcPr>
          <w:p w14:paraId="05D7DFAF" w14:textId="77777777" w:rsidR="00AE32DE" w:rsidRPr="00DD47DF" w:rsidRDefault="00E26530" w:rsidP="00E84B36">
            <w:pPr>
              <w:pStyle w:val="Tabulka"/>
              <w:rPr>
                <w:rFonts w:cs="Calibri"/>
              </w:rPr>
            </w:pPr>
            <w:r w:rsidRPr="00DD47DF">
              <w:rPr>
                <w:rFonts w:cs="Calibri"/>
              </w:rPr>
              <w:t>20</w:t>
            </w:r>
            <w:r w:rsidR="002124D7" w:rsidRPr="00DD47DF">
              <w:rPr>
                <w:rFonts w:cs="Calibri"/>
              </w:rPr>
              <w:t>0</w:t>
            </w:r>
          </w:p>
        </w:tc>
        <w:tc>
          <w:tcPr>
            <w:tcW w:w="1418" w:type="dxa"/>
            <w:shd w:val="clear" w:color="auto" w:fill="auto"/>
            <w:tcMar>
              <w:top w:w="0" w:type="dxa"/>
              <w:left w:w="108" w:type="dxa"/>
              <w:bottom w:w="0" w:type="dxa"/>
              <w:right w:w="108" w:type="dxa"/>
            </w:tcMar>
            <w:vAlign w:val="center"/>
          </w:tcPr>
          <w:p w14:paraId="45ACF6DE" w14:textId="77777777" w:rsidR="00AE32DE" w:rsidRPr="00DD47DF" w:rsidRDefault="00E26530" w:rsidP="00DE2376">
            <w:pPr>
              <w:pStyle w:val="Tabulka"/>
              <w:rPr>
                <w:rFonts w:cs="Calibri"/>
              </w:rPr>
            </w:pPr>
            <w:r w:rsidRPr="00DD47DF">
              <w:rPr>
                <w:rFonts w:cs="Calibri"/>
              </w:rPr>
              <w:t>595</w:t>
            </w:r>
            <w:r w:rsidR="00DF1013" w:rsidRPr="00DD47DF">
              <w:rPr>
                <w:rStyle w:val="Znakapoznpodarou"/>
                <w:rFonts w:cs="Calibri"/>
              </w:rPr>
              <w:footnoteReference w:id="76"/>
            </w:r>
          </w:p>
        </w:tc>
        <w:tc>
          <w:tcPr>
            <w:tcW w:w="708" w:type="dxa"/>
            <w:vAlign w:val="center"/>
          </w:tcPr>
          <w:p w14:paraId="178788A1" w14:textId="77777777" w:rsidR="00AE32DE" w:rsidRPr="00DD47DF" w:rsidRDefault="00FC7054" w:rsidP="00E84B36">
            <w:pPr>
              <w:pStyle w:val="Tabulka"/>
              <w:rPr>
                <w:rFonts w:cs="Calibri"/>
              </w:rPr>
            </w:pPr>
            <w:r>
              <w:rPr>
                <w:rFonts w:cs="Calibri"/>
              </w:rPr>
              <w:t>MS2014+</w:t>
            </w:r>
          </w:p>
        </w:tc>
        <w:tc>
          <w:tcPr>
            <w:tcW w:w="2861" w:type="dxa"/>
            <w:vAlign w:val="center"/>
          </w:tcPr>
          <w:p w14:paraId="45914422" w14:textId="4587F9AB" w:rsidR="00AE32DE" w:rsidRPr="00DD47DF" w:rsidRDefault="006C401B" w:rsidP="00DE2376">
            <w:pPr>
              <w:pStyle w:val="Tabulka"/>
              <w:rPr>
                <w:rFonts w:cs="Calibri"/>
              </w:rPr>
            </w:pPr>
            <w:r w:rsidRPr="00DD47DF">
              <w:rPr>
                <w:rFonts w:cs="Calibri"/>
              </w:rPr>
              <w:t>Indikátor sleduje počet</w:t>
            </w:r>
            <w:r w:rsidR="00DE2376" w:rsidRPr="00DD47DF">
              <w:rPr>
                <w:rFonts w:cs="Calibri"/>
              </w:rPr>
              <w:t xml:space="preserve"> </w:t>
            </w:r>
            <w:r w:rsidRPr="00DD47DF">
              <w:rPr>
                <w:rFonts w:cs="Calibri"/>
              </w:rPr>
              <w:t>podpořených firem a pokrývá finančně</w:t>
            </w:r>
            <w:r w:rsidR="00DE2376" w:rsidRPr="00DD47DF">
              <w:rPr>
                <w:rFonts w:cs="Calibri"/>
              </w:rPr>
              <w:t xml:space="preserve"> </w:t>
            </w:r>
            <w:r w:rsidRPr="00DD47DF">
              <w:rPr>
                <w:rFonts w:cs="Calibri"/>
              </w:rPr>
              <w:t>nejobjemnější část intervence</w:t>
            </w:r>
            <w:r w:rsidR="00DE2376" w:rsidRPr="00DD47DF">
              <w:rPr>
                <w:rFonts w:cs="Calibri"/>
              </w:rPr>
              <w:t xml:space="preserve"> </w:t>
            </w:r>
            <w:r w:rsidRPr="00DD47DF">
              <w:rPr>
                <w:rFonts w:cs="Calibri"/>
              </w:rPr>
              <w:t xml:space="preserve">v rámci prioritní osy 4. </w:t>
            </w:r>
            <w:r w:rsidR="00FE762D" w:rsidRPr="00FE762D">
              <w:rPr>
                <w:rFonts w:cs="Calibri"/>
              </w:rPr>
              <w:t xml:space="preserve">Vykazování skutečně dosažených hodnot se provádí v souladu s prováděcím nařízením (EU) č. 215/2014, v platném </w:t>
            </w:r>
            <w:r w:rsidR="00FE762D" w:rsidRPr="00FE762D">
              <w:rPr>
                <w:rFonts w:cs="Calibri"/>
              </w:rPr>
              <w:lastRenderedPageBreak/>
              <w:t>znění.</w:t>
            </w:r>
          </w:p>
        </w:tc>
      </w:tr>
    </w:tbl>
    <w:p w14:paraId="326612E4" w14:textId="77777777" w:rsidR="00DF1013" w:rsidRPr="00DD47DF" w:rsidRDefault="00DF1013" w:rsidP="00DF1013">
      <w:pPr>
        <w:pStyle w:val="Titulek"/>
      </w:pPr>
      <w:r w:rsidRPr="00DD47DF">
        <w:lastRenderedPageBreak/>
        <w:t>Další kvalitativní informace o stanovení výkonnostního rámce</w:t>
      </w:r>
    </w:p>
    <w:p w14:paraId="10EF85AE" w14:textId="77777777" w:rsidR="00DF1013" w:rsidRPr="00DD47DF" w:rsidRDefault="00DF1013" w:rsidP="00DF1013">
      <w:pPr>
        <w:pStyle w:val="Standardntext"/>
      </w:pPr>
      <w:r w:rsidRPr="00DD47DF">
        <w:t>Pro OP PIK byly stanoveny hodnoty milníků pro rok 2018 a 2023 (finanční ukazatele a „certifikované finanční prostředky“, ukazatele výstupů).</w:t>
      </w:r>
    </w:p>
    <w:p w14:paraId="4FE81750" w14:textId="77777777" w:rsidR="00DF1013" w:rsidRPr="00DD47DF" w:rsidRDefault="00DF1013" w:rsidP="00DF1013">
      <w:pPr>
        <w:pStyle w:val="Standardntext"/>
      </w:pPr>
      <w:r w:rsidRPr="00DD47DF">
        <w:t xml:space="preserve">Při kvantifikaci milníků </w:t>
      </w:r>
      <w:r w:rsidRPr="00DD47DF">
        <w:rPr>
          <w:b/>
          <w:bCs/>
        </w:rPr>
        <w:t>pro rok 2018</w:t>
      </w:r>
      <w:r w:rsidRPr="00DD47DF">
        <w:t xml:space="preserve"> byly zohledněny dále uvedené klíčové předpoklady:</w:t>
      </w:r>
    </w:p>
    <w:p w14:paraId="15D32D42" w14:textId="77777777" w:rsidR="00DF1013" w:rsidRPr="00DD47DF" w:rsidRDefault="00DF1013" w:rsidP="00DA3512">
      <w:pPr>
        <w:pStyle w:val="Standardntext"/>
        <w:numPr>
          <w:ilvl w:val="0"/>
          <w:numId w:val="89"/>
        </w:numPr>
        <w:rPr>
          <w:strike/>
        </w:rPr>
      </w:pPr>
      <w:r w:rsidRPr="00DD47DF">
        <w:t>Zohledněn je aktuální finanční plán OP PIK;</w:t>
      </w:r>
    </w:p>
    <w:p w14:paraId="617C049B" w14:textId="77777777" w:rsidR="00DF1013" w:rsidRPr="00DD47DF" w:rsidRDefault="00DF1013" w:rsidP="00DA3512">
      <w:pPr>
        <w:pStyle w:val="Standardntext"/>
        <w:numPr>
          <w:ilvl w:val="0"/>
          <w:numId w:val="89"/>
        </w:numPr>
      </w:pPr>
      <w:r w:rsidRPr="00DD47DF">
        <w:t>Při stanovení milníku bylo v maximální možné míře vycházeno ze zkušeností s OPPI;</w:t>
      </w:r>
    </w:p>
    <w:p w14:paraId="6DC9A105" w14:textId="77777777" w:rsidR="00DF1013" w:rsidRPr="00DD47DF" w:rsidRDefault="00A271B0" w:rsidP="00DA3512">
      <w:pPr>
        <w:pStyle w:val="Standardntext"/>
        <w:numPr>
          <w:ilvl w:val="0"/>
          <w:numId w:val="89"/>
        </w:numPr>
      </w:pPr>
      <w:r w:rsidRPr="00DD47DF">
        <w:t>První výzvy budou vyhlášeny pravděpodobně nejdříve až ve 2. čtvrtletí 2015, není ovšem zřejmé (ve vazbě na připravovaný indikativní plán výzev), zda budou v tomto období vyhlášeny výzvy již ve všech prioritních osách a specifických cílech. Od nich se bude odvíjet příjem žádostí, hodnocení projektů a následně zahájení realizace prvních podpořených projektů, tj. pravděpodobně až ve 3. čtvrtletí 2015</w:t>
      </w:r>
      <w:r w:rsidR="00DF1013" w:rsidRPr="00DD47DF">
        <w:t>;</w:t>
      </w:r>
    </w:p>
    <w:p w14:paraId="6B33408A" w14:textId="77777777" w:rsidR="00DF1013" w:rsidRPr="00DD47DF" w:rsidRDefault="00A271B0" w:rsidP="00DA3512">
      <w:pPr>
        <w:pStyle w:val="Standardntext"/>
        <w:numPr>
          <w:ilvl w:val="0"/>
          <w:numId w:val="89"/>
        </w:numPr>
      </w:pPr>
      <w:r w:rsidRPr="00DD47DF">
        <w:t>Při možném předpokladu, že projekty budou dvouleté, to znamená, že první z nich ukončí realizaci nejdříve koncem roku 2017 a finanční prostředky tak budou předkládány k certifikaci až v průběhu roku 2018 (u delších projektů však až počátkem roku 2019)</w:t>
      </w:r>
      <w:r w:rsidR="00DF1013" w:rsidRPr="00DD47DF">
        <w:t xml:space="preserve">; </w:t>
      </w:r>
    </w:p>
    <w:p w14:paraId="283FD490" w14:textId="77777777" w:rsidR="00DF1013" w:rsidRPr="00DD47DF" w:rsidRDefault="00DF1013" w:rsidP="00DA3512">
      <w:pPr>
        <w:pStyle w:val="Standardntext"/>
        <w:numPr>
          <w:ilvl w:val="0"/>
          <w:numId w:val="89"/>
        </w:numPr>
      </w:pPr>
      <w:r w:rsidRPr="00DD47DF">
        <w:t>Ukazatelé výstupů stanovené ve výkonnostním rámci odpovídají více než 50 % finančního přídělu na prioritu (v souladu se čl. 5 Prováděcího nařízení komise (EU) č. 215/2014);</w:t>
      </w:r>
    </w:p>
    <w:p w14:paraId="33CA577A" w14:textId="77777777" w:rsidR="00DF1013" w:rsidRPr="00DD47DF" w:rsidRDefault="00A271B0" w:rsidP="00DA3512">
      <w:pPr>
        <w:pStyle w:val="Standardntext"/>
        <w:numPr>
          <w:ilvl w:val="0"/>
          <w:numId w:val="89"/>
        </w:numPr>
      </w:pPr>
      <w:r w:rsidRPr="00DD47DF">
        <w:t>Není započítána výkonnostní rezerva stanovená ŘO OP PIK na roky 2014 a 2015</w:t>
      </w:r>
      <w:r w:rsidR="00DF1013" w:rsidRPr="00DD47DF">
        <w:t>;</w:t>
      </w:r>
    </w:p>
    <w:p w14:paraId="748AC1E0" w14:textId="77777777" w:rsidR="00DF1013" w:rsidRPr="00DD47DF" w:rsidRDefault="00DF1013" w:rsidP="00DA3512">
      <w:pPr>
        <w:pStyle w:val="Standardntext"/>
        <w:numPr>
          <w:ilvl w:val="0"/>
          <w:numId w:val="89"/>
        </w:numPr>
      </w:pPr>
      <w:r w:rsidRPr="00DD47DF">
        <w:t>Pravidlo n+3, na základě kterého je nutné vzít v úvahu, že na konci roku 2018 by měla být vyčerpána alokace let 2014, 2015;</w:t>
      </w:r>
    </w:p>
    <w:p w14:paraId="0A3CB76C" w14:textId="77777777" w:rsidR="00DF1013" w:rsidRPr="00DD47DF" w:rsidRDefault="00DF1013" w:rsidP="00DA3512">
      <w:pPr>
        <w:pStyle w:val="Standardntext"/>
        <w:numPr>
          <w:ilvl w:val="0"/>
          <w:numId w:val="90"/>
        </w:numPr>
        <w:rPr>
          <w:strike/>
        </w:rPr>
      </w:pPr>
      <w:r w:rsidRPr="00DD47DF">
        <w:t>Nové typy aktivit (SC 4.1)</w:t>
      </w:r>
      <w:r w:rsidR="00A271B0" w:rsidRPr="00DD47DF">
        <w:t>;</w:t>
      </w:r>
    </w:p>
    <w:p w14:paraId="56556640" w14:textId="77777777" w:rsidR="00A271B0" w:rsidRPr="00DD47DF" w:rsidRDefault="00DF1013" w:rsidP="00DA3512">
      <w:pPr>
        <w:pStyle w:val="Standardntext"/>
        <w:numPr>
          <w:ilvl w:val="0"/>
          <w:numId w:val="90"/>
        </w:numPr>
      </w:pPr>
      <w:r w:rsidRPr="00DD47DF">
        <w:t>Administrativně a rozsahem náročné projekty v SC 4.1, časově náročná bude již samotná příprava projektů, lze tak předpokládat pomalejší rozjezd aktivit</w:t>
      </w:r>
      <w:r w:rsidR="00A271B0" w:rsidRPr="00DD47DF">
        <w:t>;</w:t>
      </w:r>
    </w:p>
    <w:p w14:paraId="2540920C" w14:textId="77777777" w:rsidR="00DF1013" w:rsidRPr="00DD47DF" w:rsidRDefault="00A271B0" w:rsidP="00DA3512">
      <w:pPr>
        <w:pStyle w:val="Standardntext"/>
        <w:numPr>
          <w:ilvl w:val="0"/>
          <w:numId w:val="90"/>
        </w:numPr>
      </w:pPr>
      <w:r w:rsidRPr="00DD47DF">
        <w:t>Výše alokace na jednotlivé aktivity SC včetně předpokládané výše veřejné podpory;</w:t>
      </w:r>
    </w:p>
    <w:p w14:paraId="392FA64F" w14:textId="77777777" w:rsidR="00A271B0" w:rsidRPr="00DD47DF" w:rsidRDefault="00A271B0" w:rsidP="00DA3512">
      <w:pPr>
        <w:pStyle w:val="Standardntext"/>
        <w:numPr>
          <w:ilvl w:val="0"/>
          <w:numId w:val="90"/>
        </w:numPr>
      </w:pPr>
      <w:r w:rsidRPr="00DD47DF">
        <w:t>Předpokládaná délka projektů v rámci jednotlivých aktivit.</w:t>
      </w:r>
    </w:p>
    <w:p w14:paraId="740BF744" w14:textId="77777777" w:rsidR="00A271B0" w:rsidRPr="00DD47DF" w:rsidRDefault="00A271B0" w:rsidP="00466CFC">
      <w:pPr>
        <w:pStyle w:val="Standardntext"/>
      </w:pPr>
    </w:p>
    <w:p w14:paraId="0A19F25A" w14:textId="77777777" w:rsidR="00A271B0" w:rsidRPr="00DD47DF" w:rsidRDefault="00A271B0" w:rsidP="00DA3512">
      <w:pPr>
        <w:pStyle w:val="Standardntext"/>
        <w:numPr>
          <w:ilvl w:val="0"/>
          <w:numId w:val="90"/>
        </w:numPr>
      </w:pPr>
      <w:r w:rsidRPr="00DD47DF">
        <w:rPr>
          <w:i/>
        </w:rPr>
        <w:lastRenderedPageBreak/>
        <w:t>Milník</w:t>
      </w:r>
      <w:r w:rsidRPr="00DD47DF">
        <w:rPr>
          <w:i/>
          <w:vertAlign w:val="superscript"/>
        </w:rPr>
        <w:t>2018 PO4</w:t>
      </w:r>
      <w:r w:rsidRPr="00DD47DF">
        <w:rPr>
          <w:i/>
        </w:rPr>
        <w:t>= (celkové způsobilé výdaje na PO 4 v roce 2014 + celkové způsobilé výdaje na PO 4 v roce 2015) – (10% finančních prostředků ERDF na PO 4 + podíl výkonnostní rezervy za roky 2014 a 2015 na PO 4)</w:t>
      </w:r>
    </w:p>
    <w:p w14:paraId="207329E9" w14:textId="77777777" w:rsidR="00DF1013" w:rsidRPr="00DD47DF" w:rsidRDefault="00DF1013" w:rsidP="00DF1013">
      <w:pPr>
        <w:pStyle w:val="Standardntext"/>
      </w:pPr>
      <w:r w:rsidRPr="00DD47DF">
        <w:t xml:space="preserve">Při kvantifikaci milníků </w:t>
      </w:r>
      <w:r w:rsidRPr="00DD47DF">
        <w:rPr>
          <w:b/>
          <w:bCs/>
        </w:rPr>
        <w:t>pro rok 2023</w:t>
      </w:r>
      <w:r w:rsidRPr="00DD47DF">
        <w:t xml:space="preserve"> byly zohledněny ještě dále uvedené klíčové předpoklady:</w:t>
      </w:r>
    </w:p>
    <w:p w14:paraId="7D1B807F" w14:textId="77777777" w:rsidR="00DF1013" w:rsidRPr="00DD47DF" w:rsidRDefault="00DF1013" w:rsidP="00DA3512">
      <w:pPr>
        <w:pStyle w:val="Standardntext"/>
        <w:numPr>
          <w:ilvl w:val="0"/>
          <w:numId w:val="91"/>
        </w:numPr>
      </w:pPr>
      <w:r w:rsidRPr="00DD47DF">
        <w:t>Klíčovým předpokladem je naplnění stanovených cílů programu v jednotlivých prioritních osách (finanční i věcné plnění);</w:t>
      </w:r>
    </w:p>
    <w:p w14:paraId="231D7276" w14:textId="77777777" w:rsidR="00DF1013" w:rsidRPr="00DD47DF" w:rsidRDefault="00DF1013" w:rsidP="00DA3512">
      <w:pPr>
        <w:pStyle w:val="Standardntext"/>
        <w:numPr>
          <w:ilvl w:val="0"/>
          <w:numId w:val="91"/>
        </w:numPr>
      </w:pPr>
      <w:r w:rsidRPr="00DD47DF">
        <w:t xml:space="preserve">Započítána je již i výkonnostní rezerva. </w:t>
      </w:r>
    </w:p>
    <w:p w14:paraId="3BBCE91E" w14:textId="77777777" w:rsidR="00DF1013" w:rsidRPr="00DD47DF" w:rsidRDefault="00DF1013" w:rsidP="002F282B">
      <w:pPr>
        <w:jc w:val="both"/>
      </w:pPr>
      <w:r w:rsidRPr="00DD47DF">
        <w:rPr>
          <w:sz w:val="24"/>
          <w:szCs w:val="24"/>
        </w:rPr>
        <w:t>Vzhledem k výše uvedenému lze proto reálně očekávat stále ještě relativně nízkou míru plnění jednotlivých milníků, a to i ke konci roku 2018. Právě z tohoto důvodu byl při kvantifikaci milníků zvolen ke konci roku 2018 spíše konzervativnější způsob výpočtu hodnoty dotčeného milníku. Naplňování milníků vzhledem k předpokládanému časovému skluzu v rozběhu implementace nového OP PIK, bude komplikovanější (zejména právě v první fázi), a bude si vyžadovat i speciální přístupy, jako např. urychlování prvních výzev a jejich naplňování, větší vysvětlovací seminární či jiné aktivity ze strany Řídícího orgánu vůči potenciálním příjemcům, atd. Téma výkonnostní rezervy a milníků je dále rozpracováno v</w:t>
      </w:r>
      <w:r w:rsidRPr="00DD47DF">
        <w:t xml:space="preserve"> </w:t>
      </w:r>
      <w:r w:rsidR="002F282B" w:rsidRPr="00DD47DF">
        <w:rPr>
          <w:sz w:val="24"/>
          <w:szCs w:val="24"/>
        </w:rPr>
        <w:t>Nepovinné příloze č. 3.</w:t>
      </w:r>
    </w:p>
    <w:p w14:paraId="5947EBFA" w14:textId="77777777" w:rsidR="004126CC" w:rsidRPr="00DD47DF" w:rsidRDefault="004126CC" w:rsidP="00DF1013">
      <w:pPr>
        <w:sectPr w:rsidR="004126CC" w:rsidRPr="00DD47DF" w:rsidSect="004126CC">
          <w:headerReference w:type="default" r:id="rId43"/>
          <w:footerReference w:type="default" r:id="rId44"/>
          <w:pgSz w:w="16838" w:h="11906" w:orient="landscape"/>
          <w:pgMar w:top="1418" w:right="1418" w:bottom="1276" w:left="1276" w:header="709" w:footer="709" w:gutter="0"/>
          <w:cols w:space="708"/>
          <w:docGrid w:linePitch="272"/>
        </w:sectPr>
      </w:pPr>
    </w:p>
    <w:p w14:paraId="3734CBFC" w14:textId="77777777" w:rsidR="002E1C78" w:rsidRPr="00DD47DF" w:rsidRDefault="002E1C78" w:rsidP="00DA3512">
      <w:pPr>
        <w:pStyle w:val="kapitola2A0"/>
        <w:numPr>
          <w:ilvl w:val="2"/>
          <w:numId w:val="69"/>
        </w:numPr>
      </w:pPr>
      <w:bookmarkStart w:id="102" w:name="_Toc520445310"/>
      <w:r w:rsidRPr="00DD47DF">
        <w:lastRenderedPageBreak/>
        <w:t xml:space="preserve">Kategorie </w:t>
      </w:r>
      <w:r w:rsidR="00F2469F" w:rsidRPr="00DD47DF">
        <w:t>zásahů</w:t>
      </w:r>
      <w:bookmarkEnd w:id="102"/>
    </w:p>
    <w:p w14:paraId="7F82472D" w14:textId="73CE70C3" w:rsidR="002E1C78" w:rsidRPr="00DD47DF" w:rsidRDefault="002E1C78" w:rsidP="006F258E">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7</w:t>
      </w:r>
      <w:r w:rsidR="002756E7" w:rsidRPr="00DD47DF">
        <w:rPr>
          <w:noProof/>
        </w:rPr>
        <w:fldChar w:fldCharType="end"/>
      </w:r>
      <w:r w:rsidRPr="00DD47DF">
        <w:t xml:space="preserve"> - </w:t>
      </w:r>
      <w:r w:rsidR="00AE6620">
        <w:t>10</w:t>
      </w:r>
      <w:r w:rsidRPr="00DD47DF">
        <w:t xml:space="preserve">: Kategorie </w:t>
      </w:r>
      <w:r w:rsidR="00F2469F" w:rsidRPr="00DD47DF">
        <w:t>zásahů</w:t>
      </w:r>
      <w:r w:rsidR="00724BEA" w:rsidRPr="00DD47DF">
        <w:rPr>
          <w:rStyle w:val="Znakapoznpodarou"/>
        </w:rPr>
        <w:footnoteReference w:id="7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4"/>
        <w:gridCol w:w="1707"/>
        <w:gridCol w:w="561"/>
        <w:gridCol w:w="1771"/>
        <w:gridCol w:w="639"/>
        <w:gridCol w:w="1692"/>
        <w:gridCol w:w="576"/>
        <w:gridCol w:w="1756"/>
      </w:tblGrid>
      <w:tr w:rsidR="000B2315" w:rsidRPr="00DD47DF" w14:paraId="50259805" w14:textId="77777777">
        <w:tc>
          <w:tcPr>
            <w:tcW w:w="9326" w:type="dxa"/>
            <w:gridSpan w:val="8"/>
            <w:shd w:val="clear" w:color="auto" w:fill="B8CCE4"/>
            <w:vAlign w:val="center"/>
          </w:tcPr>
          <w:p w14:paraId="43F1983C" w14:textId="77777777" w:rsidR="009F18F5" w:rsidRPr="00DD47DF" w:rsidRDefault="009F18F5" w:rsidP="009F18F5">
            <w:pPr>
              <w:pStyle w:val="Tabulka"/>
              <w:keepNext/>
              <w:keepLines/>
              <w:rPr>
                <w:rFonts w:cs="Calibri"/>
                <w:b/>
              </w:rPr>
            </w:pPr>
            <w:r w:rsidRPr="00DD47DF">
              <w:rPr>
                <w:rFonts w:cs="Calibri"/>
                <w:b/>
              </w:rPr>
              <w:t xml:space="preserve">Fond: </w:t>
            </w:r>
            <w:r w:rsidRPr="00DD47DF">
              <w:rPr>
                <w:rFonts w:cs="Calibri"/>
              </w:rPr>
              <w:t>EFRR</w:t>
            </w:r>
          </w:p>
          <w:p w14:paraId="266A1EA0" w14:textId="77777777" w:rsidR="000B2315" w:rsidRPr="00DD47DF" w:rsidRDefault="009F18F5" w:rsidP="009F18F5">
            <w:pPr>
              <w:pStyle w:val="Tabulka"/>
              <w:keepNext/>
              <w:keepLines/>
              <w:rPr>
                <w:rFonts w:cs="Calibri"/>
                <w:i/>
              </w:rPr>
            </w:pPr>
            <w:r w:rsidRPr="00DD47DF">
              <w:rPr>
                <w:rFonts w:cs="Calibri"/>
                <w:b/>
              </w:rPr>
              <w:t xml:space="preserve">Kategorie regionů: </w:t>
            </w:r>
            <w:r w:rsidRPr="00DD47DF">
              <w:rPr>
                <w:rFonts w:cs="Calibri"/>
              </w:rPr>
              <w:t>Méně rozvinuté regiony</w:t>
            </w:r>
          </w:p>
        </w:tc>
      </w:tr>
      <w:tr w:rsidR="000B2315" w:rsidRPr="00DD47DF" w14:paraId="50D1664F" w14:textId="77777777">
        <w:tc>
          <w:tcPr>
            <w:tcW w:w="2331" w:type="dxa"/>
            <w:gridSpan w:val="2"/>
            <w:shd w:val="clear" w:color="auto" w:fill="B8CCE4"/>
            <w:vAlign w:val="center"/>
          </w:tcPr>
          <w:p w14:paraId="4D45E4FD" w14:textId="77777777" w:rsidR="000B2315" w:rsidRPr="00DD47DF" w:rsidRDefault="000B2315" w:rsidP="00450475">
            <w:pPr>
              <w:pStyle w:val="Tabulka"/>
              <w:keepNext/>
              <w:keepLines/>
              <w:rPr>
                <w:rFonts w:cs="Calibri"/>
              </w:rPr>
            </w:pPr>
            <w:r w:rsidRPr="00DD47DF">
              <w:rPr>
                <w:rFonts w:cs="Calibri"/>
              </w:rPr>
              <w:t>Tabulka č. 7:</w:t>
            </w:r>
          </w:p>
          <w:p w14:paraId="0D6E8A57" w14:textId="77777777" w:rsidR="000B2315" w:rsidRPr="00DD47DF" w:rsidRDefault="000B2315" w:rsidP="00450475">
            <w:pPr>
              <w:pStyle w:val="Tabulka"/>
              <w:keepNext/>
              <w:keepLines/>
              <w:rPr>
                <w:rFonts w:cs="Calibri"/>
              </w:rPr>
            </w:pPr>
            <w:r w:rsidRPr="00DD47DF">
              <w:rPr>
                <w:rFonts w:cs="Calibri"/>
              </w:rPr>
              <w:t>Dimenze 1</w:t>
            </w:r>
          </w:p>
          <w:p w14:paraId="64BDE992" w14:textId="77777777" w:rsidR="000B2315" w:rsidRPr="00DD47DF" w:rsidRDefault="000B2315" w:rsidP="00450475">
            <w:pPr>
              <w:pStyle w:val="Tabulka"/>
              <w:keepNext/>
              <w:keepLines/>
              <w:rPr>
                <w:rFonts w:cs="Calibri"/>
              </w:rPr>
            </w:pPr>
            <w:r w:rsidRPr="00DD47DF">
              <w:rPr>
                <w:rFonts w:cs="Calibri"/>
              </w:rPr>
              <w:t>Oblast zásahu</w:t>
            </w:r>
          </w:p>
        </w:tc>
        <w:tc>
          <w:tcPr>
            <w:tcW w:w="2332" w:type="dxa"/>
            <w:gridSpan w:val="2"/>
            <w:shd w:val="clear" w:color="auto" w:fill="B8CCE4"/>
            <w:vAlign w:val="center"/>
          </w:tcPr>
          <w:p w14:paraId="64B66831" w14:textId="77777777" w:rsidR="000B2315" w:rsidRPr="00DD47DF" w:rsidRDefault="000B2315" w:rsidP="00450475">
            <w:pPr>
              <w:pStyle w:val="Tabulka"/>
              <w:keepNext/>
              <w:keepLines/>
              <w:rPr>
                <w:rFonts w:cs="Calibri"/>
              </w:rPr>
            </w:pPr>
            <w:r w:rsidRPr="00DD47DF">
              <w:rPr>
                <w:rFonts w:cs="Calibri"/>
              </w:rPr>
              <w:t>Tabulka č. 8:</w:t>
            </w:r>
          </w:p>
          <w:p w14:paraId="44C81E0E" w14:textId="77777777" w:rsidR="000B2315" w:rsidRPr="00DD47DF" w:rsidRDefault="000B2315" w:rsidP="00450475">
            <w:pPr>
              <w:pStyle w:val="Tabulka"/>
              <w:keepNext/>
              <w:keepLines/>
              <w:rPr>
                <w:rFonts w:cs="Calibri"/>
              </w:rPr>
            </w:pPr>
            <w:r w:rsidRPr="00DD47DF">
              <w:rPr>
                <w:rFonts w:cs="Calibri"/>
              </w:rPr>
              <w:t>Dimenze 2</w:t>
            </w:r>
          </w:p>
          <w:p w14:paraId="4C35DB66" w14:textId="77777777" w:rsidR="000B2315" w:rsidRPr="00DD47DF" w:rsidRDefault="000B2315" w:rsidP="00450475">
            <w:pPr>
              <w:pStyle w:val="Tabulka"/>
              <w:keepNext/>
              <w:keepLines/>
              <w:rPr>
                <w:rFonts w:cs="Calibri"/>
              </w:rPr>
            </w:pPr>
            <w:r w:rsidRPr="00DD47DF">
              <w:rPr>
                <w:rFonts w:cs="Calibri"/>
              </w:rPr>
              <w:t>Forma financování</w:t>
            </w:r>
          </w:p>
        </w:tc>
        <w:tc>
          <w:tcPr>
            <w:tcW w:w="2331" w:type="dxa"/>
            <w:gridSpan w:val="2"/>
            <w:shd w:val="clear" w:color="auto" w:fill="B8CCE4"/>
            <w:vAlign w:val="center"/>
          </w:tcPr>
          <w:p w14:paraId="492EA980" w14:textId="77777777" w:rsidR="000B2315" w:rsidRPr="00DD47DF" w:rsidRDefault="000B2315" w:rsidP="00450475">
            <w:pPr>
              <w:pStyle w:val="Tabulka"/>
              <w:keepNext/>
              <w:keepLines/>
              <w:rPr>
                <w:rFonts w:cs="Calibri"/>
              </w:rPr>
            </w:pPr>
            <w:r w:rsidRPr="00DD47DF">
              <w:rPr>
                <w:rFonts w:cs="Calibri"/>
              </w:rPr>
              <w:t>Tabulka č. 9:</w:t>
            </w:r>
          </w:p>
          <w:p w14:paraId="1E297E5A" w14:textId="77777777" w:rsidR="000B2315" w:rsidRPr="00DD47DF" w:rsidRDefault="000B2315" w:rsidP="00450475">
            <w:pPr>
              <w:pStyle w:val="Tabulka"/>
              <w:keepNext/>
              <w:keepLines/>
              <w:rPr>
                <w:rFonts w:cs="Calibri"/>
              </w:rPr>
            </w:pPr>
            <w:r w:rsidRPr="00DD47DF">
              <w:rPr>
                <w:rFonts w:cs="Calibri"/>
              </w:rPr>
              <w:t>Dimenze 3</w:t>
            </w:r>
          </w:p>
          <w:p w14:paraId="38E0F6EC" w14:textId="77777777" w:rsidR="000B2315" w:rsidRPr="00DD47DF" w:rsidRDefault="000B2315" w:rsidP="00450475">
            <w:pPr>
              <w:pStyle w:val="Tabulka"/>
              <w:keepNext/>
              <w:keepLines/>
              <w:rPr>
                <w:rFonts w:cs="Calibri"/>
              </w:rPr>
            </w:pPr>
            <w:r w:rsidRPr="00DD47DF">
              <w:rPr>
                <w:rFonts w:cs="Calibri"/>
              </w:rPr>
              <w:t>Typ území</w:t>
            </w:r>
          </w:p>
        </w:tc>
        <w:tc>
          <w:tcPr>
            <w:tcW w:w="2332" w:type="dxa"/>
            <w:gridSpan w:val="2"/>
            <w:shd w:val="clear" w:color="auto" w:fill="B8CCE4"/>
            <w:vAlign w:val="center"/>
          </w:tcPr>
          <w:p w14:paraId="296D865D" w14:textId="77777777" w:rsidR="000B2315" w:rsidRPr="00DD47DF" w:rsidRDefault="000B2315" w:rsidP="00450475">
            <w:pPr>
              <w:pStyle w:val="Tabulka"/>
              <w:keepNext/>
              <w:keepLines/>
              <w:rPr>
                <w:rFonts w:cs="Calibri"/>
              </w:rPr>
            </w:pPr>
            <w:r w:rsidRPr="00DD47DF">
              <w:rPr>
                <w:rFonts w:cs="Calibri"/>
              </w:rPr>
              <w:t>Tabulka č. 10:</w:t>
            </w:r>
          </w:p>
          <w:p w14:paraId="69C87453" w14:textId="77777777" w:rsidR="000B2315" w:rsidRPr="00DD47DF" w:rsidRDefault="000B2315" w:rsidP="00450475">
            <w:pPr>
              <w:pStyle w:val="Tabulka"/>
              <w:keepNext/>
              <w:keepLines/>
              <w:rPr>
                <w:rFonts w:cs="Calibri"/>
              </w:rPr>
            </w:pPr>
            <w:r w:rsidRPr="00DD47DF">
              <w:rPr>
                <w:rFonts w:cs="Calibri"/>
              </w:rPr>
              <w:t>Dimenze 4</w:t>
            </w:r>
          </w:p>
          <w:p w14:paraId="4A238C7D" w14:textId="77777777" w:rsidR="000B2315" w:rsidRPr="00DD47DF" w:rsidRDefault="000B2315" w:rsidP="00450475">
            <w:pPr>
              <w:pStyle w:val="Tabulka"/>
              <w:keepNext/>
              <w:keepLines/>
              <w:rPr>
                <w:rFonts w:cs="Calibri"/>
              </w:rPr>
            </w:pPr>
            <w:r w:rsidRPr="00DD47DF">
              <w:rPr>
                <w:rFonts w:cs="Calibri"/>
              </w:rPr>
              <w:t>Mechanismus územního plnění</w:t>
            </w:r>
          </w:p>
        </w:tc>
      </w:tr>
      <w:tr w:rsidR="000B2315" w:rsidRPr="00DD47DF" w14:paraId="12A1F28B" w14:textId="77777777">
        <w:tc>
          <w:tcPr>
            <w:tcW w:w="624" w:type="dxa"/>
            <w:shd w:val="clear" w:color="auto" w:fill="DBE5F1"/>
            <w:vAlign w:val="center"/>
          </w:tcPr>
          <w:p w14:paraId="0C4EC8CF" w14:textId="77777777" w:rsidR="000B2315" w:rsidRPr="00DD47DF" w:rsidRDefault="000B2315" w:rsidP="00450475">
            <w:pPr>
              <w:pStyle w:val="Tabulka"/>
              <w:keepNext/>
              <w:keepLines/>
              <w:rPr>
                <w:rFonts w:cs="Calibri"/>
              </w:rPr>
            </w:pPr>
            <w:r w:rsidRPr="00DD47DF">
              <w:rPr>
                <w:rFonts w:cs="Calibri"/>
              </w:rPr>
              <w:t>Kód</w:t>
            </w:r>
          </w:p>
        </w:tc>
        <w:tc>
          <w:tcPr>
            <w:tcW w:w="1707" w:type="dxa"/>
            <w:shd w:val="clear" w:color="auto" w:fill="DBE5F1"/>
            <w:vAlign w:val="center"/>
          </w:tcPr>
          <w:p w14:paraId="457A5416" w14:textId="77777777" w:rsidR="000B2315" w:rsidRPr="00DD47DF" w:rsidRDefault="00D16DE9" w:rsidP="00450475">
            <w:pPr>
              <w:pStyle w:val="Tabulka"/>
              <w:keepNext/>
              <w:keepLines/>
              <w:rPr>
                <w:rFonts w:cs="Calibri"/>
              </w:rPr>
            </w:pPr>
            <w:r w:rsidRPr="00DD47DF">
              <w:rPr>
                <w:rFonts w:cs="Calibri"/>
              </w:rPr>
              <w:t>Částka (v EUR)</w:t>
            </w:r>
          </w:p>
        </w:tc>
        <w:tc>
          <w:tcPr>
            <w:tcW w:w="561" w:type="dxa"/>
            <w:shd w:val="clear" w:color="auto" w:fill="DBE5F1"/>
            <w:vAlign w:val="center"/>
          </w:tcPr>
          <w:p w14:paraId="00F8B440" w14:textId="77777777" w:rsidR="000B2315" w:rsidRPr="00DD47DF" w:rsidRDefault="000B2315" w:rsidP="00450475">
            <w:pPr>
              <w:pStyle w:val="Tabulka"/>
              <w:keepNext/>
              <w:keepLines/>
              <w:rPr>
                <w:rFonts w:cs="Calibri"/>
              </w:rPr>
            </w:pPr>
            <w:r w:rsidRPr="00DD47DF">
              <w:rPr>
                <w:rFonts w:cs="Calibri"/>
              </w:rPr>
              <w:t>Kód</w:t>
            </w:r>
          </w:p>
        </w:tc>
        <w:tc>
          <w:tcPr>
            <w:tcW w:w="1771" w:type="dxa"/>
            <w:shd w:val="clear" w:color="auto" w:fill="DBE5F1"/>
            <w:vAlign w:val="center"/>
          </w:tcPr>
          <w:p w14:paraId="6027B013" w14:textId="77777777" w:rsidR="000B2315" w:rsidRPr="00DD47DF" w:rsidRDefault="00D16DE9" w:rsidP="00450475">
            <w:pPr>
              <w:pStyle w:val="Tabulka"/>
              <w:keepNext/>
              <w:keepLines/>
              <w:rPr>
                <w:rFonts w:cs="Calibri"/>
              </w:rPr>
            </w:pPr>
            <w:r w:rsidRPr="00DD47DF">
              <w:rPr>
                <w:rFonts w:cs="Calibri"/>
              </w:rPr>
              <w:t>Částka (v EUR)</w:t>
            </w:r>
          </w:p>
        </w:tc>
        <w:tc>
          <w:tcPr>
            <w:tcW w:w="639" w:type="dxa"/>
            <w:shd w:val="clear" w:color="auto" w:fill="DBE5F1"/>
            <w:vAlign w:val="center"/>
          </w:tcPr>
          <w:p w14:paraId="6D9AA4EA" w14:textId="77777777" w:rsidR="000B2315" w:rsidRPr="00DD47DF" w:rsidRDefault="000B2315" w:rsidP="00450475">
            <w:pPr>
              <w:pStyle w:val="Tabulka"/>
              <w:keepNext/>
              <w:keepLines/>
              <w:rPr>
                <w:rFonts w:cs="Calibri"/>
              </w:rPr>
            </w:pPr>
            <w:r w:rsidRPr="00DD47DF">
              <w:rPr>
                <w:rFonts w:cs="Calibri"/>
              </w:rPr>
              <w:t>Kód</w:t>
            </w:r>
          </w:p>
        </w:tc>
        <w:tc>
          <w:tcPr>
            <w:tcW w:w="1692" w:type="dxa"/>
            <w:shd w:val="clear" w:color="auto" w:fill="DBE5F1"/>
            <w:vAlign w:val="center"/>
          </w:tcPr>
          <w:p w14:paraId="60B58C68" w14:textId="77777777" w:rsidR="000B2315" w:rsidRPr="00DD47DF" w:rsidRDefault="00D16DE9" w:rsidP="00450475">
            <w:pPr>
              <w:pStyle w:val="Tabulka"/>
              <w:keepNext/>
              <w:keepLines/>
              <w:rPr>
                <w:rFonts w:cs="Calibri"/>
              </w:rPr>
            </w:pPr>
            <w:r w:rsidRPr="00DD47DF">
              <w:rPr>
                <w:rFonts w:cs="Calibri"/>
              </w:rPr>
              <w:t>Částka (v EUR)</w:t>
            </w:r>
          </w:p>
        </w:tc>
        <w:tc>
          <w:tcPr>
            <w:tcW w:w="576" w:type="dxa"/>
            <w:shd w:val="clear" w:color="auto" w:fill="DBE5F1"/>
            <w:vAlign w:val="center"/>
          </w:tcPr>
          <w:p w14:paraId="2FD86519" w14:textId="77777777" w:rsidR="000B2315" w:rsidRPr="00DD47DF" w:rsidRDefault="000B2315" w:rsidP="00450475">
            <w:pPr>
              <w:pStyle w:val="Tabulka"/>
              <w:keepNext/>
              <w:keepLines/>
              <w:rPr>
                <w:rFonts w:cs="Calibri"/>
              </w:rPr>
            </w:pPr>
            <w:r w:rsidRPr="00DD47DF">
              <w:rPr>
                <w:rFonts w:cs="Calibri"/>
              </w:rPr>
              <w:t>Kód</w:t>
            </w:r>
          </w:p>
        </w:tc>
        <w:tc>
          <w:tcPr>
            <w:tcW w:w="1756" w:type="dxa"/>
            <w:shd w:val="clear" w:color="auto" w:fill="DBE5F1"/>
            <w:vAlign w:val="center"/>
          </w:tcPr>
          <w:p w14:paraId="1BAB3877" w14:textId="77777777" w:rsidR="000B2315" w:rsidRPr="00DD47DF" w:rsidRDefault="00D16DE9" w:rsidP="00450475">
            <w:pPr>
              <w:pStyle w:val="Tabulka"/>
              <w:keepNext/>
              <w:keepLines/>
              <w:rPr>
                <w:rFonts w:cs="Calibri"/>
              </w:rPr>
            </w:pPr>
            <w:r w:rsidRPr="00DD47DF">
              <w:rPr>
                <w:rFonts w:cs="Calibri"/>
              </w:rPr>
              <w:t>Částka (v EUR)</w:t>
            </w:r>
          </w:p>
        </w:tc>
      </w:tr>
      <w:tr w:rsidR="006D3187" w:rsidRPr="00DD47DF" w14:paraId="3E175571" w14:textId="77777777">
        <w:tc>
          <w:tcPr>
            <w:tcW w:w="624" w:type="dxa"/>
            <w:shd w:val="clear" w:color="auto" w:fill="auto"/>
            <w:vAlign w:val="center"/>
          </w:tcPr>
          <w:p w14:paraId="69E272A5" w14:textId="77777777" w:rsidR="006D3187" w:rsidRPr="00DD47DF" w:rsidRDefault="006D3187" w:rsidP="00DD63AD">
            <w:pPr>
              <w:pStyle w:val="Tabulka"/>
              <w:rPr>
                <w:rFonts w:cs="Calibri"/>
              </w:rPr>
            </w:pPr>
            <w:r w:rsidRPr="00DD47DF">
              <w:rPr>
                <w:rFonts w:cs="Calibri"/>
              </w:rPr>
              <w:t>004</w:t>
            </w:r>
          </w:p>
        </w:tc>
        <w:tc>
          <w:tcPr>
            <w:tcW w:w="1707" w:type="dxa"/>
            <w:shd w:val="clear" w:color="auto" w:fill="auto"/>
            <w:vAlign w:val="center"/>
          </w:tcPr>
          <w:p w14:paraId="2F550DF7" w14:textId="77777777" w:rsidR="006D3187" w:rsidRPr="00DD47DF" w:rsidRDefault="00104C0C" w:rsidP="00E84B36">
            <w:pPr>
              <w:pStyle w:val="Tabulka"/>
              <w:jc w:val="right"/>
              <w:rPr>
                <w:rFonts w:cs="Calibri"/>
              </w:rPr>
            </w:pPr>
            <w:r w:rsidRPr="00DD47DF">
              <w:rPr>
                <w:rFonts w:cs="Calibri"/>
              </w:rPr>
              <w:t>44 400 000</w:t>
            </w:r>
          </w:p>
        </w:tc>
        <w:tc>
          <w:tcPr>
            <w:tcW w:w="561" w:type="dxa"/>
            <w:shd w:val="clear" w:color="auto" w:fill="auto"/>
            <w:vAlign w:val="center"/>
          </w:tcPr>
          <w:p w14:paraId="6D059764" w14:textId="77777777" w:rsidR="006D3187" w:rsidRPr="00DD47DF" w:rsidRDefault="006D3187" w:rsidP="00DD63AD">
            <w:pPr>
              <w:pStyle w:val="Tabulka"/>
              <w:rPr>
                <w:rFonts w:cs="Calibri"/>
              </w:rPr>
            </w:pPr>
            <w:r w:rsidRPr="00DD47DF">
              <w:rPr>
                <w:rFonts w:cs="Calibri"/>
              </w:rPr>
              <w:t>01</w:t>
            </w:r>
          </w:p>
        </w:tc>
        <w:tc>
          <w:tcPr>
            <w:tcW w:w="1771" w:type="dxa"/>
            <w:shd w:val="clear" w:color="auto" w:fill="auto"/>
            <w:vAlign w:val="center"/>
          </w:tcPr>
          <w:p w14:paraId="0A8DCF4B" w14:textId="77777777" w:rsidR="006D3187" w:rsidRPr="00DD47DF" w:rsidRDefault="006D3187" w:rsidP="00E84B36">
            <w:pPr>
              <w:pStyle w:val="Tabulka"/>
              <w:jc w:val="right"/>
              <w:rPr>
                <w:rFonts w:cs="Calibri"/>
              </w:rPr>
            </w:pPr>
            <w:r w:rsidRPr="00DD47DF">
              <w:rPr>
                <w:rFonts w:cs="Calibri"/>
              </w:rPr>
              <w:t>743 657 589</w:t>
            </w:r>
          </w:p>
        </w:tc>
        <w:tc>
          <w:tcPr>
            <w:tcW w:w="639" w:type="dxa"/>
            <w:shd w:val="clear" w:color="auto" w:fill="auto"/>
            <w:vAlign w:val="center"/>
          </w:tcPr>
          <w:p w14:paraId="7D561C60" w14:textId="77777777" w:rsidR="006D3187" w:rsidRPr="00DD47DF" w:rsidRDefault="006D3187" w:rsidP="00DD63AD">
            <w:pPr>
              <w:pStyle w:val="Tabulka"/>
              <w:rPr>
                <w:rFonts w:cs="Calibri"/>
              </w:rPr>
            </w:pPr>
            <w:r w:rsidRPr="00DD47DF">
              <w:rPr>
                <w:rFonts w:cs="Calibri"/>
              </w:rPr>
              <w:t>01</w:t>
            </w:r>
          </w:p>
        </w:tc>
        <w:tc>
          <w:tcPr>
            <w:tcW w:w="1692" w:type="dxa"/>
            <w:shd w:val="clear" w:color="auto" w:fill="auto"/>
            <w:vAlign w:val="center"/>
          </w:tcPr>
          <w:p w14:paraId="6B8B8E8D" w14:textId="77777777" w:rsidR="006D3187" w:rsidRPr="00DD47DF" w:rsidRDefault="006D3187" w:rsidP="00E84B36">
            <w:pPr>
              <w:pStyle w:val="Tabulka"/>
              <w:jc w:val="right"/>
              <w:rPr>
                <w:rFonts w:cs="Calibri"/>
              </w:rPr>
            </w:pPr>
            <w:r w:rsidRPr="00DD47DF">
              <w:rPr>
                <w:rFonts w:cs="Calibri"/>
              </w:rPr>
              <w:t>282 589 884</w:t>
            </w:r>
          </w:p>
        </w:tc>
        <w:tc>
          <w:tcPr>
            <w:tcW w:w="576" w:type="dxa"/>
            <w:shd w:val="clear" w:color="auto" w:fill="auto"/>
            <w:vAlign w:val="center"/>
          </w:tcPr>
          <w:p w14:paraId="63E8A4D7" w14:textId="77777777" w:rsidR="006D3187" w:rsidRPr="00DD47DF" w:rsidRDefault="006D3187" w:rsidP="00DD63AD">
            <w:pPr>
              <w:pStyle w:val="Tabulka"/>
              <w:rPr>
                <w:rFonts w:cs="Calibri"/>
              </w:rPr>
            </w:pPr>
            <w:r w:rsidRPr="00DD47DF">
              <w:rPr>
                <w:rFonts w:cs="Calibri"/>
              </w:rPr>
              <w:t>07</w:t>
            </w:r>
          </w:p>
        </w:tc>
        <w:tc>
          <w:tcPr>
            <w:tcW w:w="1756" w:type="dxa"/>
            <w:shd w:val="clear" w:color="auto" w:fill="auto"/>
            <w:vAlign w:val="center"/>
          </w:tcPr>
          <w:p w14:paraId="6F08C26A" w14:textId="77777777" w:rsidR="006D3187" w:rsidRPr="00DD47DF" w:rsidRDefault="006D3187" w:rsidP="00E84B36">
            <w:pPr>
              <w:pStyle w:val="Tabulka"/>
              <w:jc w:val="right"/>
              <w:rPr>
                <w:rFonts w:cs="Calibri"/>
              </w:rPr>
            </w:pPr>
            <w:r w:rsidRPr="00DD47DF">
              <w:rPr>
                <w:rFonts w:cs="Calibri"/>
              </w:rPr>
              <w:t>743 657 589</w:t>
            </w:r>
          </w:p>
        </w:tc>
      </w:tr>
      <w:tr w:rsidR="00382E89" w:rsidRPr="00DD47DF" w14:paraId="0355FB07" w14:textId="77777777">
        <w:tc>
          <w:tcPr>
            <w:tcW w:w="624" w:type="dxa"/>
            <w:shd w:val="clear" w:color="auto" w:fill="auto"/>
            <w:vAlign w:val="center"/>
          </w:tcPr>
          <w:p w14:paraId="2035B07C" w14:textId="77777777" w:rsidR="00382E89" w:rsidRPr="00DD47DF" w:rsidRDefault="00382E89" w:rsidP="00DD63AD">
            <w:pPr>
              <w:pStyle w:val="Tabulka"/>
              <w:rPr>
                <w:rFonts w:cs="Calibri"/>
              </w:rPr>
            </w:pPr>
            <w:r w:rsidRPr="00DD47DF">
              <w:rPr>
                <w:rFonts w:cs="Calibri"/>
              </w:rPr>
              <w:t>046</w:t>
            </w:r>
          </w:p>
        </w:tc>
        <w:tc>
          <w:tcPr>
            <w:tcW w:w="1707" w:type="dxa"/>
            <w:shd w:val="clear" w:color="auto" w:fill="auto"/>
            <w:vAlign w:val="center"/>
          </w:tcPr>
          <w:p w14:paraId="46C0561F" w14:textId="77777777" w:rsidR="00382E89" w:rsidRPr="00DD47DF" w:rsidRDefault="00382E89" w:rsidP="00E84B36">
            <w:pPr>
              <w:pStyle w:val="Tabulka"/>
              <w:jc w:val="right"/>
              <w:rPr>
                <w:rFonts w:cs="Calibri"/>
              </w:rPr>
            </w:pPr>
            <w:r w:rsidRPr="00DD47DF">
              <w:rPr>
                <w:rFonts w:cs="Calibri"/>
              </w:rPr>
              <w:t>521 380 364</w:t>
            </w:r>
          </w:p>
        </w:tc>
        <w:tc>
          <w:tcPr>
            <w:tcW w:w="561" w:type="dxa"/>
            <w:shd w:val="clear" w:color="auto" w:fill="auto"/>
            <w:vAlign w:val="center"/>
          </w:tcPr>
          <w:p w14:paraId="5BB4AB44" w14:textId="77777777" w:rsidR="00382E89" w:rsidRPr="00DD47DF" w:rsidRDefault="00382E89" w:rsidP="00DD63AD">
            <w:pPr>
              <w:pStyle w:val="Tabulka"/>
              <w:rPr>
                <w:rFonts w:cs="Calibri"/>
              </w:rPr>
            </w:pPr>
          </w:p>
        </w:tc>
        <w:tc>
          <w:tcPr>
            <w:tcW w:w="1771" w:type="dxa"/>
            <w:shd w:val="clear" w:color="auto" w:fill="auto"/>
            <w:vAlign w:val="center"/>
          </w:tcPr>
          <w:p w14:paraId="3D1B3EE6" w14:textId="77777777" w:rsidR="00382E89" w:rsidRPr="00DD47DF" w:rsidRDefault="00382E89" w:rsidP="00E84B36">
            <w:pPr>
              <w:pStyle w:val="Tabulka"/>
              <w:jc w:val="right"/>
              <w:rPr>
                <w:rFonts w:cs="Calibri"/>
              </w:rPr>
            </w:pPr>
          </w:p>
        </w:tc>
        <w:tc>
          <w:tcPr>
            <w:tcW w:w="639" w:type="dxa"/>
            <w:shd w:val="clear" w:color="auto" w:fill="auto"/>
            <w:vAlign w:val="center"/>
          </w:tcPr>
          <w:p w14:paraId="5948C64F" w14:textId="77777777" w:rsidR="00382E89" w:rsidRPr="00DD47DF" w:rsidRDefault="00382E89" w:rsidP="00DD63AD">
            <w:pPr>
              <w:pStyle w:val="Tabulka"/>
              <w:rPr>
                <w:rFonts w:cs="Calibri"/>
              </w:rPr>
            </w:pPr>
            <w:r w:rsidRPr="00DD47DF">
              <w:rPr>
                <w:rFonts w:cs="Calibri"/>
              </w:rPr>
              <w:t>02</w:t>
            </w:r>
          </w:p>
        </w:tc>
        <w:tc>
          <w:tcPr>
            <w:tcW w:w="1692" w:type="dxa"/>
            <w:shd w:val="clear" w:color="auto" w:fill="auto"/>
            <w:vAlign w:val="center"/>
          </w:tcPr>
          <w:p w14:paraId="57ECACD9" w14:textId="77777777" w:rsidR="00382E89" w:rsidRPr="00DD47DF" w:rsidRDefault="00382E89" w:rsidP="00E84B36">
            <w:pPr>
              <w:pStyle w:val="Tabulka"/>
              <w:jc w:val="right"/>
              <w:rPr>
                <w:rFonts w:cs="Calibri"/>
              </w:rPr>
            </w:pPr>
            <w:r w:rsidRPr="00DD47DF">
              <w:rPr>
                <w:rFonts w:cs="Calibri"/>
              </w:rPr>
              <w:t>275 153 308</w:t>
            </w:r>
          </w:p>
        </w:tc>
        <w:tc>
          <w:tcPr>
            <w:tcW w:w="576" w:type="dxa"/>
            <w:shd w:val="clear" w:color="auto" w:fill="auto"/>
            <w:vAlign w:val="center"/>
          </w:tcPr>
          <w:p w14:paraId="2DAFED1B" w14:textId="77777777" w:rsidR="00382E89" w:rsidRPr="00DD47DF" w:rsidRDefault="00382E89" w:rsidP="00DD63AD">
            <w:pPr>
              <w:pStyle w:val="Tabulka"/>
              <w:rPr>
                <w:rFonts w:cs="Calibri"/>
              </w:rPr>
            </w:pPr>
          </w:p>
        </w:tc>
        <w:tc>
          <w:tcPr>
            <w:tcW w:w="1756" w:type="dxa"/>
            <w:shd w:val="clear" w:color="auto" w:fill="auto"/>
            <w:vAlign w:val="center"/>
          </w:tcPr>
          <w:p w14:paraId="5127EA57" w14:textId="77777777" w:rsidR="00382E89" w:rsidRPr="00DD47DF" w:rsidRDefault="00382E89" w:rsidP="00E84B36">
            <w:pPr>
              <w:pStyle w:val="Tabulka"/>
              <w:jc w:val="right"/>
              <w:rPr>
                <w:rFonts w:cs="Calibri"/>
              </w:rPr>
            </w:pPr>
          </w:p>
        </w:tc>
      </w:tr>
      <w:tr w:rsidR="00382E89" w:rsidRPr="00DD47DF" w14:paraId="008FB6AB" w14:textId="77777777">
        <w:tc>
          <w:tcPr>
            <w:tcW w:w="624" w:type="dxa"/>
            <w:shd w:val="clear" w:color="auto" w:fill="auto"/>
            <w:vAlign w:val="center"/>
          </w:tcPr>
          <w:p w14:paraId="148BF2D8" w14:textId="77777777" w:rsidR="00382E89" w:rsidRPr="00DD47DF" w:rsidRDefault="00382E89" w:rsidP="00DD63AD">
            <w:pPr>
              <w:pStyle w:val="Tabulka"/>
              <w:rPr>
                <w:rFonts w:cs="Calibri"/>
              </w:rPr>
            </w:pPr>
            <w:r w:rsidRPr="00DD47DF">
              <w:rPr>
                <w:rFonts w:cs="Calibri"/>
              </w:rPr>
              <w:t>048</w:t>
            </w:r>
          </w:p>
        </w:tc>
        <w:tc>
          <w:tcPr>
            <w:tcW w:w="1707" w:type="dxa"/>
            <w:shd w:val="clear" w:color="auto" w:fill="auto"/>
            <w:vAlign w:val="center"/>
          </w:tcPr>
          <w:p w14:paraId="57EFFDE4" w14:textId="77777777" w:rsidR="00382E89" w:rsidRPr="00DD47DF" w:rsidRDefault="00104C0C" w:rsidP="00E84B36">
            <w:pPr>
              <w:pStyle w:val="Tabulka"/>
              <w:jc w:val="right"/>
              <w:rPr>
                <w:rFonts w:cs="Calibri"/>
              </w:rPr>
            </w:pPr>
            <w:r w:rsidRPr="00DD47DF">
              <w:rPr>
                <w:rFonts w:cs="Calibri"/>
              </w:rPr>
              <w:t>41 404 496</w:t>
            </w:r>
          </w:p>
        </w:tc>
        <w:tc>
          <w:tcPr>
            <w:tcW w:w="561" w:type="dxa"/>
            <w:shd w:val="clear" w:color="auto" w:fill="auto"/>
            <w:vAlign w:val="center"/>
          </w:tcPr>
          <w:p w14:paraId="2CEC013A" w14:textId="77777777" w:rsidR="00382E89" w:rsidRPr="00DD47DF" w:rsidRDefault="00382E89" w:rsidP="00DD63AD">
            <w:pPr>
              <w:pStyle w:val="Tabulka"/>
              <w:rPr>
                <w:rFonts w:cs="Calibri"/>
              </w:rPr>
            </w:pPr>
          </w:p>
        </w:tc>
        <w:tc>
          <w:tcPr>
            <w:tcW w:w="1771" w:type="dxa"/>
            <w:shd w:val="clear" w:color="auto" w:fill="auto"/>
            <w:vAlign w:val="center"/>
          </w:tcPr>
          <w:p w14:paraId="74F7C909" w14:textId="77777777" w:rsidR="00382E89" w:rsidRPr="00DD47DF" w:rsidRDefault="00382E89" w:rsidP="00E84B36">
            <w:pPr>
              <w:pStyle w:val="Tabulka"/>
              <w:jc w:val="right"/>
              <w:rPr>
                <w:rFonts w:cs="Calibri"/>
              </w:rPr>
            </w:pPr>
          </w:p>
        </w:tc>
        <w:tc>
          <w:tcPr>
            <w:tcW w:w="639" w:type="dxa"/>
            <w:shd w:val="clear" w:color="auto" w:fill="auto"/>
            <w:vAlign w:val="center"/>
          </w:tcPr>
          <w:p w14:paraId="60E85C99" w14:textId="77777777" w:rsidR="00382E89" w:rsidRPr="00DD47DF" w:rsidRDefault="00382E89" w:rsidP="00DD63AD">
            <w:pPr>
              <w:pStyle w:val="Tabulka"/>
              <w:rPr>
                <w:rFonts w:cs="Calibri"/>
              </w:rPr>
            </w:pPr>
            <w:r w:rsidRPr="00DD47DF">
              <w:rPr>
                <w:rFonts w:cs="Calibri"/>
              </w:rPr>
              <w:t>03</w:t>
            </w:r>
          </w:p>
        </w:tc>
        <w:tc>
          <w:tcPr>
            <w:tcW w:w="1692" w:type="dxa"/>
            <w:shd w:val="clear" w:color="auto" w:fill="auto"/>
            <w:vAlign w:val="center"/>
          </w:tcPr>
          <w:p w14:paraId="4D353D03" w14:textId="77777777" w:rsidR="00382E89" w:rsidRPr="00DD47DF" w:rsidRDefault="00382E89" w:rsidP="00E84B36">
            <w:pPr>
              <w:pStyle w:val="Tabulka"/>
              <w:jc w:val="right"/>
              <w:rPr>
                <w:rFonts w:cs="Calibri"/>
              </w:rPr>
            </w:pPr>
            <w:r w:rsidRPr="00DD47DF">
              <w:rPr>
                <w:rFonts w:cs="Calibri"/>
              </w:rPr>
              <w:t>185 914 397</w:t>
            </w:r>
          </w:p>
        </w:tc>
        <w:tc>
          <w:tcPr>
            <w:tcW w:w="576" w:type="dxa"/>
            <w:shd w:val="clear" w:color="auto" w:fill="auto"/>
            <w:vAlign w:val="center"/>
          </w:tcPr>
          <w:p w14:paraId="0E72775B" w14:textId="77777777" w:rsidR="00382E89" w:rsidRPr="00DD47DF" w:rsidRDefault="00382E89" w:rsidP="00DD63AD">
            <w:pPr>
              <w:pStyle w:val="Tabulka"/>
              <w:rPr>
                <w:rFonts w:cs="Calibri"/>
              </w:rPr>
            </w:pPr>
          </w:p>
        </w:tc>
        <w:tc>
          <w:tcPr>
            <w:tcW w:w="1756" w:type="dxa"/>
            <w:shd w:val="clear" w:color="auto" w:fill="auto"/>
            <w:vAlign w:val="center"/>
          </w:tcPr>
          <w:p w14:paraId="58599AAD" w14:textId="77777777" w:rsidR="00382E89" w:rsidRPr="00DD47DF" w:rsidRDefault="00382E89" w:rsidP="00E84B36">
            <w:pPr>
              <w:pStyle w:val="Tabulka"/>
              <w:jc w:val="right"/>
              <w:rPr>
                <w:rFonts w:cs="Calibri"/>
              </w:rPr>
            </w:pPr>
          </w:p>
        </w:tc>
      </w:tr>
      <w:tr w:rsidR="00382E89" w:rsidRPr="00DD47DF" w14:paraId="5EE00DD8" w14:textId="77777777">
        <w:tc>
          <w:tcPr>
            <w:tcW w:w="624" w:type="dxa"/>
            <w:shd w:val="clear" w:color="auto" w:fill="auto"/>
            <w:vAlign w:val="center"/>
          </w:tcPr>
          <w:p w14:paraId="245F6D1A" w14:textId="77777777" w:rsidR="00382E89" w:rsidRPr="00DD47DF" w:rsidRDefault="00382E89" w:rsidP="00DD63AD">
            <w:pPr>
              <w:pStyle w:val="Tabulka"/>
              <w:rPr>
                <w:rFonts w:cs="Calibri"/>
              </w:rPr>
            </w:pPr>
            <w:r w:rsidRPr="00DD47DF">
              <w:rPr>
                <w:rFonts w:cs="Calibri"/>
              </w:rPr>
              <w:t>082</w:t>
            </w:r>
          </w:p>
        </w:tc>
        <w:tc>
          <w:tcPr>
            <w:tcW w:w="1707" w:type="dxa"/>
            <w:shd w:val="clear" w:color="auto" w:fill="auto"/>
            <w:vAlign w:val="center"/>
          </w:tcPr>
          <w:p w14:paraId="7BE95403" w14:textId="77777777" w:rsidR="00382E89" w:rsidRPr="00DD47DF" w:rsidRDefault="00104C0C" w:rsidP="00E84B36">
            <w:pPr>
              <w:pStyle w:val="Tabulka"/>
              <w:jc w:val="right"/>
              <w:rPr>
                <w:rFonts w:cs="Calibri"/>
              </w:rPr>
            </w:pPr>
            <w:r w:rsidRPr="00DD47DF">
              <w:rPr>
                <w:rFonts w:cs="Calibri"/>
              </w:rPr>
              <w:t>136 472 729</w:t>
            </w:r>
          </w:p>
        </w:tc>
        <w:tc>
          <w:tcPr>
            <w:tcW w:w="561" w:type="dxa"/>
            <w:shd w:val="clear" w:color="auto" w:fill="auto"/>
            <w:vAlign w:val="center"/>
          </w:tcPr>
          <w:p w14:paraId="4148ED11" w14:textId="77777777" w:rsidR="00382E89" w:rsidRPr="00DD47DF" w:rsidRDefault="00382E89" w:rsidP="00DD63AD">
            <w:pPr>
              <w:pStyle w:val="Tabulka"/>
              <w:rPr>
                <w:rFonts w:cs="Calibri"/>
              </w:rPr>
            </w:pPr>
          </w:p>
        </w:tc>
        <w:tc>
          <w:tcPr>
            <w:tcW w:w="1771" w:type="dxa"/>
            <w:shd w:val="clear" w:color="auto" w:fill="auto"/>
            <w:vAlign w:val="center"/>
          </w:tcPr>
          <w:p w14:paraId="25BB6BAF" w14:textId="77777777" w:rsidR="00382E89" w:rsidRPr="00DD47DF" w:rsidRDefault="00382E89" w:rsidP="00E84B36">
            <w:pPr>
              <w:pStyle w:val="Tabulka"/>
              <w:jc w:val="right"/>
              <w:rPr>
                <w:rFonts w:cs="Calibri"/>
              </w:rPr>
            </w:pPr>
          </w:p>
        </w:tc>
        <w:tc>
          <w:tcPr>
            <w:tcW w:w="639" w:type="dxa"/>
            <w:shd w:val="clear" w:color="auto" w:fill="auto"/>
            <w:vAlign w:val="center"/>
          </w:tcPr>
          <w:p w14:paraId="221EEF7E" w14:textId="77777777" w:rsidR="00382E89" w:rsidRPr="00DD47DF" w:rsidRDefault="00382E89" w:rsidP="00DD63AD">
            <w:pPr>
              <w:pStyle w:val="Tabulka"/>
              <w:rPr>
                <w:rFonts w:cs="Calibri"/>
              </w:rPr>
            </w:pPr>
          </w:p>
        </w:tc>
        <w:tc>
          <w:tcPr>
            <w:tcW w:w="1692" w:type="dxa"/>
            <w:shd w:val="clear" w:color="auto" w:fill="auto"/>
            <w:vAlign w:val="center"/>
          </w:tcPr>
          <w:p w14:paraId="17D6833A" w14:textId="77777777" w:rsidR="00382E89" w:rsidRPr="00DD47DF" w:rsidRDefault="00382E89" w:rsidP="00E84B36">
            <w:pPr>
              <w:pStyle w:val="Tabulka"/>
              <w:jc w:val="right"/>
              <w:rPr>
                <w:rFonts w:cs="Calibri"/>
              </w:rPr>
            </w:pPr>
          </w:p>
        </w:tc>
        <w:tc>
          <w:tcPr>
            <w:tcW w:w="576" w:type="dxa"/>
            <w:shd w:val="clear" w:color="auto" w:fill="auto"/>
            <w:vAlign w:val="center"/>
          </w:tcPr>
          <w:p w14:paraId="1B75025E" w14:textId="77777777" w:rsidR="00382E89" w:rsidRPr="00DD47DF" w:rsidRDefault="00382E89" w:rsidP="00DD63AD">
            <w:pPr>
              <w:pStyle w:val="Tabulka"/>
              <w:rPr>
                <w:rFonts w:cs="Calibri"/>
              </w:rPr>
            </w:pPr>
          </w:p>
        </w:tc>
        <w:tc>
          <w:tcPr>
            <w:tcW w:w="1756" w:type="dxa"/>
            <w:shd w:val="clear" w:color="auto" w:fill="auto"/>
            <w:vAlign w:val="center"/>
          </w:tcPr>
          <w:p w14:paraId="72E88FC3" w14:textId="77777777" w:rsidR="00382E89" w:rsidRPr="00DD47DF" w:rsidRDefault="00382E89" w:rsidP="00E84B36">
            <w:pPr>
              <w:pStyle w:val="Tabulka"/>
              <w:jc w:val="right"/>
              <w:rPr>
                <w:rFonts w:cs="Calibri"/>
              </w:rPr>
            </w:pPr>
          </w:p>
        </w:tc>
      </w:tr>
    </w:tbl>
    <w:p w14:paraId="548007C9" w14:textId="77777777" w:rsidR="00F47390" w:rsidRPr="00DD47DF" w:rsidRDefault="00DF23DE" w:rsidP="00DA3512">
      <w:pPr>
        <w:pStyle w:val="kapitola2A0"/>
        <w:numPr>
          <w:ilvl w:val="2"/>
          <w:numId w:val="69"/>
        </w:numPr>
      </w:pPr>
      <w:bookmarkStart w:id="103" w:name="_Toc520445311"/>
      <w:r w:rsidRPr="00DD47DF">
        <w:t>Přehled plánovaného využití technické pomoci, je-li to nutné, včetně opatření na posílení správní kapacity orgánů zapojených do řízení a kontroly programů a příjemců (použije-li se)</w:t>
      </w:r>
      <w:bookmarkEnd w:id="103"/>
    </w:p>
    <w:p w14:paraId="4EB78E93" w14:textId="77777777" w:rsidR="00F47390" w:rsidRPr="00DD47DF" w:rsidRDefault="008F72F4" w:rsidP="009D7E8A">
      <w:pPr>
        <w:pStyle w:val="Standardntext"/>
        <w:rPr>
          <w:color w:val="FF0000"/>
        </w:rPr>
      </w:pPr>
      <w:r w:rsidRPr="00DD47DF">
        <w:t>Není relevantní pro OP PIK.</w:t>
      </w:r>
      <w:r w:rsidR="00F47390" w:rsidRPr="00DD47DF">
        <w:br w:type="page"/>
      </w:r>
    </w:p>
    <w:p w14:paraId="72E56E19" w14:textId="77777777" w:rsidR="00017D76" w:rsidRPr="00DD47DF" w:rsidRDefault="00E62B2C" w:rsidP="00E62B2C">
      <w:pPr>
        <w:pStyle w:val="kapitola2A"/>
      </w:pPr>
      <w:bookmarkStart w:id="104" w:name="_Toc351464413"/>
      <w:bookmarkStart w:id="105" w:name="_Toc520445312"/>
      <w:r w:rsidRPr="00DD47DF">
        <w:lastRenderedPageBreak/>
        <w:t>Popis prioritních os pro technickou pomoc</w:t>
      </w:r>
      <w:bookmarkEnd w:id="105"/>
      <w:r w:rsidR="00017D76" w:rsidRPr="00DD47DF">
        <w:t xml:space="preserve"> </w:t>
      </w:r>
    </w:p>
    <w:p w14:paraId="66BDA6F9" w14:textId="77777777" w:rsidR="00E62B2C" w:rsidRPr="00DD47DF" w:rsidRDefault="00E62B2C" w:rsidP="005F43DF">
      <w:pPr>
        <w:pStyle w:val="kapitola2B"/>
        <w:numPr>
          <w:ilvl w:val="2"/>
          <w:numId w:val="12"/>
        </w:numPr>
        <w:ind w:left="709"/>
      </w:pPr>
      <w:bookmarkStart w:id="106" w:name="_Toc520445313"/>
      <w:bookmarkEnd w:id="104"/>
      <w:r w:rsidRPr="00DD47DF">
        <w:t>PRIORITNÍ OSA 5: Technická pomoc</w:t>
      </w:r>
      <w:bookmarkEnd w:id="106"/>
    </w:p>
    <w:p w14:paraId="14BB7BE5" w14:textId="77777777" w:rsidR="00E62B2C" w:rsidRPr="00DD47DF" w:rsidRDefault="00E62B2C" w:rsidP="005F43DF">
      <w:pPr>
        <w:pStyle w:val="kapitola2B"/>
        <w:numPr>
          <w:ilvl w:val="2"/>
          <w:numId w:val="12"/>
        </w:numPr>
        <w:ind w:left="709"/>
      </w:pPr>
      <w:bookmarkStart w:id="107" w:name="_Toc520445314"/>
      <w:r w:rsidRPr="00DD47DF">
        <w:t>Odůvodnění stanovení prioritní osy, jež zahrnuje více než jednu kategorii regionů (použije-li se)</w:t>
      </w:r>
      <w:bookmarkEnd w:id="107"/>
    </w:p>
    <w:p w14:paraId="778CC712" w14:textId="77777777" w:rsidR="00E62B2C" w:rsidRPr="00DD47DF" w:rsidRDefault="00E62B2C" w:rsidP="00E62B2C">
      <w:pPr>
        <w:pStyle w:val="Standardntext"/>
      </w:pPr>
      <w:r w:rsidRPr="00DD47DF">
        <w:t>Není relevantní pro OP PIK.</w:t>
      </w:r>
    </w:p>
    <w:p w14:paraId="6EBDF74C" w14:textId="77777777" w:rsidR="00E62B2C" w:rsidRPr="00DD47DF" w:rsidRDefault="00E62B2C" w:rsidP="005F43DF">
      <w:pPr>
        <w:pStyle w:val="kapitola2B"/>
        <w:numPr>
          <w:ilvl w:val="2"/>
          <w:numId w:val="12"/>
        </w:numPr>
        <w:ind w:left="709"/>
      </w:pPr>
      <w:bookmarkStart w:id="108" w:name="_Toc520445315"/>
      <w:r w:rsidRPr="00DD47DF">
        <w:t>Fond a kategorie regionů</w:t>
      </w:r>
      <w:bookmarkEnd w:id="108"/>
    </w:p>
    <w:p w14:paraId="08C4FEE5" w14:textId="77777777" w:rsidR="00E62B2C" w:rsidRPr="00DD47DF" w:rsidRDefault="00E62B2C" w:rsidP="00E62B2C">
      <w:pPr>
        <w:pStyle w:val="Standardntext"/>
      </w:pPr>
      <w:r w:rsidRPr="00DD47DF">
        <w:t>Fond: Evropský fond pro regionální rozvoj</w:t>
      </w:r>
    </w:p>
    <w:p w14:paraId="08735A68" w14:textId="77777777" w:rsidR="00E62B2C" w:rsidRPr="00DD47DF" w:rsidRDefault="00E62B2C" w:rsidP="00E62B2C">
      <w:pPr>
        <w:pStyle w:val="Standardntext"/>
      </w:pPr>
      <w:r w:rsidRPr="00DD47DF">
        <w:t>Kategorie regionů: Méně rozvinuté regiony</w:t>
      </w:r>
    </w:p>
    <w:p w14:paraId="4C5FF8A2" w14:textId="77777777" w:rsidR="00E62B2C" w:rsidRPr="00DD47DF" w:rsidRDefault="008668C8" w:rsidP="00E62B2C">
      <w:pPr>
        <w:pStyle w:val="Standardntext"/>
      </w:pPr>
      <w:r w:rsidRPr="00DD47DF">
        <w:t xml:space="preserve">Základ pro výpočet: </w:t>
      </w:r>
      <w:r w:rsidR="009B6147" w:rsidRPr="00DD47DF">
        <w:t>celkové způsobilé výdaje</w:t>
      </w:r>
    </w:p>
    <w:p w14:paraId="18D2492D" w14:textId="77777777" w:rsidR="005444BD" w:rsidRPr="00DD47DF" w:rsidRDefault="005444BD" w:rsidP="005F43DF">
      <w:pPr>
        <w:pStyle w:val="kapitola2B"/>
        <w:numPr>
          <w:ilvl w:val="2"/>
          <w:numId w:val="12"/>
        </w:numPr>
        <w:ind w:left="709"/>
      </w:pPr>
      <w:bookmarkStart w:id="109" w:name="_Toc520445316"/>
      <w:r w:rsidRPr="00DD47DF">
        <w:t>Specifické cíle a očekávané výsledky</w:t>
      </w:r>
      <w:bookmarkEnd w:id="109"/>
    </w:p>
    <w:p w14:paraId="564E1385" w14:textId="77777777" w:rsidR="00111415" w:rsidRPr="00DD47DF" w:rsidRDefault="003218B1" w:rsidP="00396141">
      <w:pPr>
        <w:pStyle w:val="Modrnadpis"/>
      </w:pPr>
      <w:r w:rsidRPr="00DD47DF">
        <w:t>SPECIFICKÝ CÍL</w:t>
      </w:r>
      <w:r w:rsidR="0064012D" w:rsidRPr="00DD47DF">
        <w:t xml:space="preserve"> </w:t>
      </w:r>
      <w:r w:rsidR="00961515" w:rsidRPr="00DD47DF">
        <w:t>5.</w:t>
      </w:r>
      <w:r w:rsidR="0064012D" w:rsidRPr="00DD47DF">
        <w:t>1</w:t>
      </w:r>
      <w:r w:rsidRPr="00DD47DF">
        <w:t xml:space="preserve">: </w:t>
      </w:r>
      <w:r w:rsidR="00111415" w:rsidRPr="00DD47DF">
        <w:t>Zajištění efektivní</w:t>
      </w:r>
      <w:r w:rsidR="00346FC8" w:rsidRPr="00DD47DF">
        <w:t xml:space="preserve">ho řízení a </w:t>
      </w:r>
      <w:r w:rsidR="00111415" w:rsidRPr="00DD47DF">
        <w:t>administrace operačního programu</w:t>
      </w:r>
    </w:p>
    <w:p w14:paraId="0C4FBCCC" w14:textId="77777777" w:rsidR="00264514" w:rsidRPr="00DD47DF" w:rsidRDefault="00264514" w:rsidP="00264514">
      <w:pPr>
        <w:pStyle w:val="Standardntext"/>
        <w:rPr>
          <w:bCs/>
        </w:rPr>
      </w:pPr>
      <w:r w:rsidRPr="00DD47DF">
        <w:rPr>
          <w:bCs/>
        </w:rPr>
        <w:t xml:space="preserve">Předpokladem naplňování specifického cíle jsou především kvalitní lidské zdroje, </w:t>
      </w:r>
      <w:r w:rsidR="00C6562F" w:rsidRPr="00DD47DF">
        <w:rPr>
          <w:bCs/>
        </w:rPr>
        <w:t xml:space="preserve">jednotně a srozumitelně zpracované </w:t>
      </w:r>
      <w:r w:rsidRPr="00DD47DF">
        <w:rPr>
          <w:bCs/>
        </w:rPr>
        <w:t>manuály</w:t>
      </w:r>
      <w:r w:rsidR="00C6562F" w:rsidRPr="00DD47DF">
        <w:rPr>
          <w:bCs/>
        </w:rPr>
        <w:t>, příručky</w:t>
      </w:r>
      <w:r w:rsidRPr="00DD47DF">
        <w:rPr>
          <w:bCs/>
        </w:rPr>
        <w:t xml:space="preserve"> a metodiky pro postupy v implementaci a monitorování, pro provádění kontrol</w:t>
      </w:r>
      <w:r w:rsidR="00C6562F" w:rsidRPr="00DD47DF">
        <w:rPr>
          <w:bCs/>
        </w:rPr>
        <w:t>,</w:t>
      </w:r>
      <w:r w:rsidR="00DE2376" w:rsidRPr="00DD47DF">
        <w:rPr>
          <w:bCs/>
        </w:rPr>
        <w:t xml:space="preserve"> </w:t>
      </w:r>
      <w:r w:rsidRPr="00DD47DF">
        <w:rPr>
          <w:bCs/>
        </w:rPr>
        <w:t xml:space="preserve">informační a monitorovací systémy. </w:t>
      </w:r>
      <w:r w:rsidR="00C6562F" w:rsidRPr="00DD47DF">
        <w:rPr>
          <w:bCs/>
        </w:rPr>
        <w:t xml:space="preserve">Podstatou specifického cíle </w:t>
      </w:r>
      <w:r w:rsidRPr="00DD47DF">
        <w:rPr>
          <w:bCs/>
        </w:rPr>
        <w:t xml:space="preserve">je zajištění administrace </w:t>
      </w:r>
      <w:r w:rsidR="004B2EFF" w:rsidRPr="00DD47DF">
        <w:rPr>
          <w:bCs/>
        </w:rPr>
        <w:t xml:space="preserve">a monitorování </w:t>
      </w:r>
      <w:r w:rsidRPr="00DD47DF">
        <w:rPr>
          <w:bCs/>
        </w:rPr>
        <w:t xml:space="preserve">programu spojené s efektivní implementací za účelem řádného čerpání </w:t>
      </w:r>
      <w:r w:rsidR="00C6562F" w:rsidRPr="00DD47DF">
        <w:rPr>
          <w:bCs/>
        </w:rPr>
        <w:t xml:space="preserve">prostředků dle </w:t>
      </w:r>
      <w:r w:rsidRPr="00DD47DF">
        <w:rPr>
          <w:bCs/>
        </w:rPr>
        <w:t xml:space="preserve">pravidel stanovených v legislativě k </w:t>
      </w:r>
      <w:r w:rsidR="00C6562F" w:rsidRPr="00DD47DF">
        <w:rPr>
          <w:bCs/>
        </w:rPr>
        <w:t xml:space="preserve">ESI fondům, </w:t>
      </w:r>
      <w:r w:rsidRPr="00DD47DF">
        <w:rPr>
          <w:bCs/>
        </w:rPr>
        <w:t>za současného naplňování věcných cílů</w:t>
      </w:r>
      <w:r w:rsidR="00C6562F" w:rsidRPr="00DD47DF">
        <w:rPr>
          <w:bCs/>
        </w:rPr>
        <w:t xml:space="preserve"> programu</w:t>
      </w:r>
      <w:r w:rsidRPr="00DD47DF">
        <w:rPr>
          <w:bCs/>
        </w:rPr>
        <w:t>.</w:t>
      </w:r>
    </w:p>
    <w:p w14:paraId="6A0A8BAA" w14:textId="77777777" w:rsidR="00264514" w:rsidRPr="00DD47DF" w:rsidRDefault="003508A9" w:rsidP="00264514">
      <w:pPr>
        <w:pStyle w:val="Modrnadpis"/>
      </w:pPr>
      <w:r w:rsidRPr="00DD47DF">
        <w:t>Výsledky, kterých chce ČR dosáhnout s podporou Unie</w:t>
      </w:r>
    </w:p>
    <w:p w14:paraId="319CE362" w14:textId="77777777" w:rsidR="00264514" w:rsidRPr="00DD47DF" w:rsidRDefault="00264514" w:rsidP="00DA3512">
      <w:pPr>
        <w:pStyle w:val="Standardntext"/>
        <w:numPr>
          <w:ilvl w:val="0"/>
          <w:numId w:val="59"/>
        </w:numPr>
        <w:textAlignment w:val="auto"/>
      </w:pPr>
      <w:r w:rsidRPr="00DD47DF">
        <w:t>Optimální nastavení administrativní kapacity zajistí efektivní řízení programu (zaměstnanci implementační struktury, systém hodnocení projektů).</w:t>
      </w:r>
    </w:p>
    <w:p w14:paraId="6ACBEC48" w14:textId="77777777" w:rsidR="00264514" w:rsidRPr="00DD47DF" w:rsidRDefault="00264514" w:rsidP="00DA3512">
      <w:pPr>
        <w:pStyle w:val="Standardntext"/>
        <w:numPr>
          <w:ilvl w:val="0"/>
          <w:numId w:val="59"/>
        </w:numPr>
        <w:textAlignment w:val="auto"/>
      </w:pPr>
      <w:r w:rsidRPr="00DD47DF">
        <w:t>Optimální zajištění pracovních podmínek povede ke snížení fluktuace zaměstnanců implementační struktury.</w:t>
      </w:r>
    </w:p>
    <w:p w14:paraId="2C348383" w14:textId="77777777" w:rsidR="00264514" w:rsidRPr="00DD47DF" w:rsidRDefault="00264514" w:rsidP="00DA3512">
      <w:pPr>
        <w:pStyle w:val="Standardntext"/>
        <w:numPr>
          <w:ilvl w:val="0"/>
          <w:numId w:val="59"/>
        </w:numPr>
        <w:textAlignment w:val="auto"/>
      </w:pPr>
      <w:r w:rsidRPr="00DD47DF">
        <w:t>Vyšší úroveň vzdělávání a školení zajistí odpovídající kvalitu lidských zdrojů.</w:t>
      </w:r>
    </w:p>
    <w:p w14:paraId="75A60E14" w14:textId="77777777" w:rsidR="00264514" w:rsidRPr="00DD47DF" w:rsidRDefault="00264514" w:rsidP="00DA3512">
      <w:pPr>
        <w:pStyle w:val="Standardntext"/>
        <w:numPr>
          <w:ilvl w:val="0"/>
          <w:numId w:val="59"/>
        </w:numPr>
        <w:textAlignment w:val="auto"/>
      </w:pPr>
      <w:r w:rsidRPr="00DD47DF">
        <w:t>Zpracování jasných a přehledných metodik zajistí eliminaci častých změn, různých výkladů a z nich plynoucích pochybení.</w:t>
      </w:r>
    </w:p>
    <w:p w14:paraId="7E771F21" w14:textId="77777777" w:rsidR="000F6567" w:rsidRPr="00DD47DF" w:rsidRDefault="00264514" w:rsidP="00DA3512">
      <w:pPr>
        <w:pStyle w:val="Standardntext"/>
        <w:numPr>
          <w:ilvl w:val="0"/>
          <w:numId w:val="59"/>
        </w:numPr>
        <w:textAlignment w:val="auto"/>
      </w:pPr>
      <w:r w:rsidRPr="00DD47DF">
        <w:t>Efektivní využití a přenos informací pro řádnou administraci programu (ověřené postupy a příklady dobré praxe získané v průběhu implementace OP Podnikání a inovace 2007-2013</w:t>
      </w:r>
      <w:r w:rsidR="000F6567" w:rsidRPr="00DD47DF">
        <w:t>).</w:t>
      </w:r>
    </w:p>
    <w:p w14:paraId="3AF23D95" w14:textId="77777777" w:rsidR="00264514" w:rsidRPr="00DD47DF" w:rsidRDefault="000F6567" w:rsidP="00DA3512">
      <w:pPr>
        <w:pStyle w:val="Standardntext"/>
        <w:numPr>
          <w:ilvl w:val="0"/>
          <w:numId w:val="59"/>
        </w:numPr>
        <w:textAlignment w:val="auto"/>
      </w:pPr>
      <w:r w:rsidRPr="00DD47DF">
        <w:t>Činnost a jednání M</w:t>
      </w:r>
      <w:r w:rsidR="00264514" w:rsidRPr="00DD47DF">
        <w:t>onitorovacího výboru</w:t>
      </w:r>
      <w:r w:rsidRPr="00DD47DF">
        <w:t xml:space="preserve"> OP PIK, </w:t>
      </w:r>
      <w:r w:rsidR="00264514" w:rsidRPr="00DD47DF">
        <w:t>pracovní</w:t>
      </w:r>
      <w:r w:rsidRPr="00DD47DF">
        <w:t xml:space="preserve">ch </w:t>
      </w:r>
      <w:r w:rsidR="00264514" w:rsidRPr="00DD47DF">
        <w:t>skupin.</w:t>
      </w:r>
    </w:p>
    <w:p w14:paraId="7A315C0F" w14:textId="77777777" w:rsidR="00264514" w:rsidRPr="00DD47DF" w:rsidRDefault="00264514" w:rsidP="00DA3512">
      <w:pPr>
        <w:pStyle w:val="Standardntext"/>
        <w:numPr>
          <w:ilvl w:val="0"/>
          <w:numId w:val="59"/>
        </w:numPr>
        <w:textAlignment w:val="auto"/>
      </w:pPr>
      <w:r w:rsidRPr="00DD47DF">
        <w:t>Efektivní nastavení kontrolního a monitorovacího systému.</w:t>
      </w:r>
    </w:p>
    <w:p w14:paraId="52A5B0F8" w14:textId="77777777" w:rsidR="00111415" w:rsidRPr="00DD47DF" w:rsidRDefault="003218B1" w:rsidP="00396141">
      <w:pPr>
        <w:pStyle w:val="Modrnadpis"/>
      </w:pPr>
      <w:r w:rsidRPr="00DD47DF">
        <w:t>SPECIFICKÝ CÍL</w:t>
      </w:r>
      <w:r w:rsidR="0064012D" w:rsidRPr="00DD47DF">
        <w:t xml:space="preserve"> </w:t>
      </w:r>
      <w:r w:rsidR="00961515" w:rsidRPr="00DD47DF">
        <w:t>5.</w:t>
      </w:r>
      <w:r w:rsidR="0064012D" w:rsidRPr="00DD47DF">
        <w:t>2</w:t>
      </w:r>
      <w:r w:rsidRPr="00DD47DF">
        <w:t xml:space="preserve">: </w:t>
      </w:r>
      <w:r w:rsidR="00111415" w:rsidRPr="00DD47DF">
        <w:t>Zajištění informovanosti, publicity a absorpční kapacity operačního programu</w:t>
      </w:r>
    </w:p>
    <w:p w14:paraId="39830E4F" w14:textId="77777777" w:rsidR="00264514" w:rsidRPr="00DD47DF" w:rsidRDefault="00264514" w:rsidP="00264514">
      <w:pPr>
        <w:pStyle w:val="Standardntext"/>
      </w:pPr>
      <w:r w:rsidRPr="00DD47DF">
        <w:t xml:space="preserve">Předpokladem naplňování specifického cíle je stanovení přesně zacílené komunikační strategie programu, </w:t>
      </w:r>
      <w:r w:rsidR="00C05A7E" w:rsidRPr="00DD47DF">
        <w:t xml:space="preserve">nastavení </w:t>
      </w:r>
      <w:r w:rsidRPr="00DD47DF">
        <w:t xml:space="preserve">informačních vazeb a kanálů směrem k veřejnosti a cílovým skupinám. </w:t>
      </w:r>
      <w:r w:rsidR="00C6562F" w:rsidRPr="00DD47DF">
        <w:lastRenderedPageBreak/>
        <w:t xml:space="preserve">Podstatou specifického cíle </w:t>
      </w:r>
      <w:r w:rsidRPr="00DD47DF">
        <w:t xml:space="preserve">je tak zajistit efektivní fungování a naplňování komunikační strategie </w:t>
      </w:r>
      <w:r w:rsidR="00D54845" w:rsidRPr="00DD47DF">
        <w:t xml:space="preserve">operačního programu </w:t>
      </w:r>
      <w:r w:rsidRPr="00DD47DF">
        <w:t xml:space="preserve">vedoucí k posílení </w:t>
      </w:r>
      <w:r w:rsidR="00D54845" w:rsidRPr="00DD47DF">
        <w:t xml:space="preserve">jeho </w:t>
      </w:r>
      <w:r w:rsidRPr="00DD47DF">
        <w:t xml:space="preserve">absorpční kapacity </w:t>
      </w:r>
      <w:r w:rsidR="00D54845" w:rsidRPr="00DD47DF">
        <w:t xml:space="preserve">a </w:t>
      </w:r>
      <w:r w:rsidRPr="00DD47DF">
        <w:t>tedy řádnému a efektivnímu čerpání finanční alokace dle pravidel stanovených v legislativě k E</w:t>
      </w:r>
      <w:r w:rsidR="00C6562F" w:rsidRPr="00DD47DF">
        <w:t xml:space="preserve">SI fondům, </w:t>
      </w:r>
      <w:r w:rsidRPr="00DD47DF">
        <w:t>za současného naplňování věcných cílů</w:t>
      </w:r>
      <w:r w:rsidR="00C6562F" w:rsidRPr="00DD47DF">
        <w:t xml:space="preserve"> programu</w:t>
      </w:r>
      <w:r w:rsidRPr="00DD47DF">
        <w:t>.</w:t>
      </w:r>
    </w:p>
    <w:p w14:paraId="73C8BBF8" w14:textId="77777777" w:rsidR="00264514" w:rsidRPr="00DD47DF" w:rsidRDefault="003508A9" w:rsidP="00264514">
      <w:pPr>
        <w:pStyle w:val="Modrnadpis"/>
      </w:pPr>
      <w:r w:rsidRPr="00DD47DF">
        <w:t>Výsledky, kterých chce ČR dosáhnout s podporou Unie</w:t>
      </w:r>
    </w:p>
    <w:p w14:paraId="76E02009" w14:textId="77777777" w:rsidR="00D54845" w:rsidRPr="00DD47DF" w:rsidRDefault="002E176F" w:rsidP="00DA3512">
      <w:pPr>
        <w:pStyle w:val="Standardntext"/>
        <w:numPr>
          <w:ilvl w:val="0"/>
          <w:numId w:val="60"/>
        </w:numPr>
        <w:textAlignment w:val="auto"/>
      </w:pPr>
      <w:r w:rsidRPr="00DD47DF">
        <w:t>P</w:t>
      </w:r>
      <w:r w:rsidR="00D54845" w:rsidRPr="00DD47DF">
        <w:t>osílení a zajištění absorpční kapacity programu.</w:t>
      </w:r>
    </w:p>
    <w:p w14:paraId="0F39FEB8" w14:textId="77777777" w:rsidR="00264514" w:rsidRPr="00DD47DF" w:rsidRDefault="00264514" w:rsidP="00DA3512">
      <w:pPr>
        <w:pStyle w:val="Standardntext"/>
        <w:numPr>
          <w:ilvl w:val="0"/>
          <w:numId w:val="60"/>
        </w:numPr>
        <w:textAlignment w:val="auto"/>
      </w:pPr>
      <w:r w:rsidRPr="00DD47DF">
        <w:t>Vyšší míra povědomí široké veřejnosti o programu.</w:t>
      </w:r>
    </w:p>
    <w:p w14:paraId="3EED9FA7" w14:textId="77777777" w:rsidR="00264514" w:rsidRPr="00DD47DF" w:rsidRDefault="00264514" w:rsidP="00DA3512">
      <w:pPr>
        <w:pStyle w:val="Standardntext"/>
        <w:numPr>
          <w:ilvl w:val="0"/>
          <w:numId w:val="60"/>
        </w:numPr>
        <w:textAlignment w:val="auto"/>
      </w:pPr>
      <w:r w:rsidRPr="00DD47DF">
        <w:t>Vyšší míra úspěšnosti projektových žádostí.</w:t>
      </w:r>
    </w:p>
    <w:p w14:paraId="3D129618" w14:textId="77777777" w:rsidR="00264514" w:rsidRPr="00DD47DF" w:rsidRDefault="00264514" w:rsidP="00DA3512">
      <w:pPr>
        <w:pStyle w:val="Standardntext"/>
        <w:numPr>
          <w:ilvl w:val="0"/>
          <w:numId w:val="60"/>
        </w:numPr>
        <w:textAlignment w:val="auto"/>
      </w:pPr>
      <w:r w:rsidRPr="00DD47DF">
        <w:t>Zajištění optimálního čerpání finančních prostředků programu prostřednictvím kvalitních projektů a efektivního využití výsledků evaluačních studií (včetně opatření na snížení administrativní zátěže).</w:t>
      </w:r>
    </w:p>
    <w:p w14:paraId="0D14FB0D" w14:textId="77777777" w:rsidR="00264514" w:rsidRPr="00DD47DF" w:rsidRDefault="00264514" w:rsidP="00DA3512">
      <w:pPr>
        <w:pStyle w:val="Standardntext"/>
        <w:numPr>
          <w:ilvl w:val="0"/>
          <w:numId w:val="60"/>
        </w:numPr>
        <w:textAlignment w:val="auto"/>
      </w:pPr>
      <w:r w:rsidRPr="00DD47DF">
        <w:t>Zpracování jasných a přehledných manuálů, příruček a dalších informačních materiálů pro žadatele zajistí eliminaci častých změn, různých výkladů a z nich plynoucích pochybení.</w:t>
      </w:r>
    </w:p>
    <w:p w14:paraId="78EFDD83" w14:textId="77777777" w:rsidR="00CF5E63" w:rsidRPr="00DD47DF" w:rsidRDefault="00DD2263" w:rsidP="005F43DF">
      <w:pPr>
        <w:pStyle w:val="kapitola2B"/>
        <w:keepNext w:val="0"/>
        <w:keepLines w:val="0"/>
        <w:numPr>
          <w:ilvl w:val="2"/>
          <w:numId w:val="12"/>
        </w:numPr>
        <w:ind w:left="709"/>
      </w:pPr>
      <w:bookmarkStart w:id="110" w:name="_Toc520445317"/>
      <w:r w:rsidRPr="00DD47DF">
        <w:t>Ukazatele výsledků</w:t>
      </w:r>
      <w:bookmarkEnd w:id="110"/>
    </w:p>
    <w:p w14:paraId="2511E8D9" w14:textId="77777777" w:rsidR="004B6609" w:rsidRPr="00DD47DF" w:rsidRDefault="004B6609" w:rsidP="00EA2881">
      <w:pPr>
        <w:pStyle w:val="Modrnadpis"/>
        <w:keepNext w:val="0"/>
        <w:keepLines w:val="0"/>
      </w:pPr>
      <w:r w:rsidRPr="00DD47DF">
        <w:t>SPECIFICKÝ CÍL 5.1: Zajištění efektivního řízení a administrace operačního programu</w:t>
      </w:r>
    </w:p>
    <w:p w14:paraId="3B1E82DB" w14:textId="77777777" w:rsidR="00771C05" w:rsidRPr="00DD47DF" w:rsidRDefault="00771C05" w:rsidP="00EA2881">
      <w:pPr>
        <w:pStyle w:val="Titulek"/>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12</w:t>
      </w:r>
      <w:r w:rsidR="002756E7" w:rsidRPr="00DD47DF">
        <w:rPr>
          <w:noProof/>
        </w:rPr>
        <w:fldChar w:fldCharType="end"/>
      </w:r>
      <w:r w:rsidR="004B6609" w:rsidRPr="00DD47DF">
        <w:rPr>
          <w:noProof/>
        </w:rPr>
        <w:t>a</w:t>
      </w:r>
      <w:r w:rsidRPr="00DD47DF">
        <w:t xml:space="preserve">: </w:t>
      </w:r>
      <w:r w:rsidR="00DD2263" w:rsidRPr="00DD47DF">
        <w:t>Programově specifické ukazatele výsledků</w:t>
      </w:r>
    </w:p>
    <w:tbl>
      <w:tblPr>
        <w:tblW w:w="0" w:type="auto"/>
        <w:tblCellMar>
          <w:left w:w="57" w:type="dxa"/>
          <w:right w:w="57" w:type="dxa"/>
        </w:tblCellMar>
        <w:tblLook w:val="01E0" w:firstRow="1" w:lastRow="1" w:firstColumn="1" w:lastColumn="1" w:noHBand="0" w:noVBand="0"/>
      </w:tblPr>
      <w:tblGrid>
        <w:gridCol w:w="908"/>
        <w:gridCol w:w="2410"/>
        <w:gridCol w:w="992"/>
        <w:gridCol w:w="1112"/>
        <w:gridCol w:w="872"/>
        <w:gridCol w:w="993"/>
        <w:gridCol w:w="850"/>
        <w:gridCol w:w="1189"/>
      </w:tblGrid>
      <w:tr w:rsidR="00AF574A" w:rsidRPr="00DD47DF" w14:paraId="41080B6A" w14:textId="77777777">
        <w:trPr>
          <w:trHeight w:hRule="exact" w:val="1029"/>
        </w:trPr>
        <w:tc>
          <w:tcPr>
            <w:tcW w:w="908"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1C8EE3FA" w14:textId="77777777" w:rsidR="00AF574A" w:rsidRPr="00DD47DF" w:rsidRDefault="00AF574A" w:rsidP="00EA2881">
            <w:pPr>
              <w:pStyle w:val="Tabulka"/>
              <w:rPr>
                <w:rFonts w:cs="Calibri"/>
              </w:rPr>
            </w:pPr>
            <w:r w:rsidRPr="00DD47DF">
              <w:rPr>
                <w:rFonts w:cs="Calibri"/>
                <w:b/>
                <w:bCs/>
              </w:rPr>
              <w:t>ID</w:t>
            </w:r>
          </w:p>
        </w:tc>
        <w:tc>
          <w:tcPr>
            <w:tcW w:w="241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30CCAE2F" w14:textId="77777777" w:rsidR="00AF574A" w:rsidRPr="00DD47DF" w:rsidRDefault="00DD2263" w:rsidP="00EA2881">
            <w:pPr>
              <w:pStyle w:val="Tabulka"/>
              <w:rPr>
                <w:rFonts w:cs="Calibri"/>
              </w:rPr>
            </w:pPr>
            <w:r w:rsidRPr="00DD47DF">
              <w:rPr>
                <w:rFonts w:cs="Calibri"/>
                <w:b/>
                <w:bCs/>
              </w:rPr>
              <w:t>Ukazatel</w:t>
            </w:r>
          </w:p>
        </w:tc>
        <w:tc>
          <w:tcPr>
            <w:tcW w:w="99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37431C0A" w14:textId="77777777" w:rsidR="00AF574A" w:rsidRPr="00DD47DF" w:rsidRDefault="00AF574A" w:rsidP="00720FD1">
            <w:pPr>
              <w:pStyle w:val="Tabulka"/>
              <w:rPr>
                <w:rFonts w:cs="Calibri"/>
              </w:rPr>
            </w:pPr>
            <w:r w:rsidRPr="00DD47DF">
              <w:rPr>
                <w:rFonts w:cs="Calibri"/>
                <w:b/>
                <w:bCs/>
              </w:rPr>
              <w:t>Měrná</w:t>
            </w:r>
            <w:r w:rsidR="00720FD1" w:rsidRPr="00DD47DF">
              <w:rPr>
                <w:rFonts w:cs="Calibri"/>
                <w:b/>
                <w:bCs/>
              </w:rPr>
              <w:t xml:space="preserve"> </w:t>
            </w:r>
            <w:r w:rsidRPr="00DD47DF">
              <w:rPr>
                <w:rFonts w:cs="Calibri"/>
                <w:b/>
                <w:bCs/>
              </w:rPr>
              <w:t>jednotka</w:t>
            </w:r>
          </w:p>
        </w:tc>
        <w:tc>
          <w:tcPr>
            <w:tcW w:w="111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249772BE" w14:textId="77777777" w:rsidR="00AF574A" w:rsidRPr="00DD47DF" w:rsidRDefault="004B0854" w:rsidP="00EA2881">
            <w:pPr>
              <w:pStyle w:val="Tabulka"/>
              <w:rPr>
                <w:rFonts w:cs="Calibri"/>
              </w:rPr>
            </w:pPr>
            <w:r w:rsidRPr="00DD47DF">
              <w:rPr>
                <w:rFonts w:cs="Calibri"/>
                <w:b/>
                <w:bCs/>
              </w:rPr>
              <w:t>Výchozí hodnota</w:t>
            </w:r>
          </w:p>
        </w:tc>
        <w:tc>
          <w:tcPr>
            <w:tcW w:w="87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119A4F5" w14:textId="77777777" w:rsidR="00AF574A" w:rsidRPr="00DD47DF" w:rsidRDefault="004B0854" w:rsidP="004B0854">
            <w:pPr>
              <w:pStyle w:val="Tabulka"/>
              <w:rPr>
                <w:rFonts w:cs="Calibri"/>
              </w:rPr>
            </w:pPr>
            <w:r w:rsidRPr="00DD47DF">
              <w:rPr>
                <w:rFonts w:cs="Calibri"/>
                <w:b/>
                <w:bCs/>
              </w:rPr>
              <w:t xml:space="preserve">Výchozí </w:t>
            </w:r>
            <w:r w:rsidR="00AF574A" w:rsidRPr="00DD47DF">
              <w:rPr>
                <w:rFonts w:cs="Calibri"/>
                <w:b/>
                <w:bCs/>
              </w:rPr>
              <w:t>rok</w:t>
            </w:r>
          </w:p>
        </w:tc>
        <w:tc>
          <w:tcPr>
            <w:tcW w:w="993"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2FDA4537" w14:textId="77777777" w:rsidR="00AF574A" w:rsidRPr="00DD47DF" w:rsidRDefault="009E5CFE" w:rsidP="00EA2881">
            <w:pPr>
              <w:pStyle w:val="Tabulka"/>
              <w:rPr>
                <w:rFonts w:cs="Calibri"/>
              </w:rPr>
            </w:pPr>
            <w:r w:rsidRPr="00DD47DF">
              <w:rPr>
                <w:rFonts w:cs="Calibri"/>
                <w:b/>
                <w:bCs/>
              </w:rPr>
              <w:t>Cílová hodnota (2023)</w:t>
            </w:r>
          </w:p>
        </w:tc>
        <w:tc>
          <w:tcPr>
            <w:tcW w:w="85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39E0C45" w14:textId="77777777" w:rsidR="00AF574A" w:rsidRPr="00DD47DF" w:rsidRDefault="00AF574A" w:rsidP="00EA2881">
            <w:pPr>
              <w:pStyle w:val="Tabulka"/>
              <w:rPr>
                <w:rFonts w:cs="Calibri"/>
              </w:rPr>
            </w:pPr>
            <w:r w:rsidRPr="00DD47DF">
              <w:rPr>
                <w:rFonts w:cs="Calibri"/>
                <w:b/>
                <w:bCs/>
              </w:rPr>
              <w:t>Zdroj údajů</w:t>
            </w:r>
          </w:p>
        </w:tc>
        <w:tc>
          <w:tcPr>
            <w:tcW w:w="1189"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4149A33C" w14:textId="77777777" w:rsidR="00AF574A" w:rsidRPr="00DD47DF" w:rsidRDefault="00DD2263" w:rsidP="00EA2881">
            <w:pPr>
              <w:pStyle w:val="Tabulka"/>
              <w:rPr>
                <w:rFonts w:cs="Calibri"/>
              </w:rPr>
            </w:pPr>
            <w:r w:rsidRPr="00DD47DF">
              <w:rPr>
                <w:rFonts w:cs="Calibri"/>
                <w:b/>
                <w:bCs/>
              </w:rPr>
              <w:t>Četnost podávání zpráv</w:t>
            </w:r>
          </w:p>
        </w:tc>
      </w:tr>
      <w:tr w:rsidR="009F0C3A" w:rsidRPr="00DD47DF" w14:paraId="56A3AD0A" w14:textId="77777777">
        <w:trPr>
          <w:trHeight w:hRule="exact" w:val="884"/>
        </w:trPr>
        <w:tc>
          <w:tcPr>
            <w:tcW w:w="908" w:type="dxa"/>
            <w:tcBorders>
              <w:top w:val="single" w:sz="4" w:space="0" w:color="000000"/>
              <w:left w:val="single" w:sz="4" w:space="0" w:color="000000"/>
              <w:bottom w:val="single" w:sz="4" w:space="0" w:color="000000"/>
              <w:right w:val="single" w:sz="4" w:space="0" w:color="000000"/>
            </w:tcBorders>
            <w:vAlign w:val="center"/>
          </w:tcPr>
          <w:p w14:paraId="6CAABA72" w14:textId="77777777" w:rsidR="009F0C3A" w:rsidRPr="00DD47DF" w:rsidRDefault="00843120" w:rsidP="00EA2881">
            <w:pPr>
              <w:pStyle w:val="Tabulka"/>
              <w:rPr>
                <w:rFonts w:cs="Calibri"/>
              </w:rPr>
            </w:pPr>
            <w:r w:rsidRPr="00DD47DF">
              <w:rPr>
                <w:rFonts w:cs="Calibri"/>
              </w:rPr>
              <w:t>82510</w:t>
            </w:r>
          </w:p>
        </w:tc>
        <w:tc>
          <w:tcPr>
            <w:tcW w:w="2410" w:type="dxa"/>
            <w:tcBorders>
              <w:top w:val="single" w:sz="4" w:space="0" w:color="000000"/>
              <w:left w:val="single" w:sz="4" w:space="0" w:color="000000"/>
              <w:bottom w:val="single" w:sz="4" w:space="0" w:color="000000"/>
              <w:right w:val="single" w:sz="4" w:space="0" w:color="000000"/>
            </w:tcBorders>
            <w:vAlign w:val="center"/>
          </w:tcPr>
          <w:p w14:paraId="6CBF988E" w14:textId="77777777" w:rsidR="009F0C3A" w:rsidRPr="00DD47DF" w:rsidRDefault="005F561C" w:rsidP="00EA2881">
            <w:pPr>
              <w:pStyle w:val="Tabulka"/>
              <w:jc w:val="left"/>
              <w:rPr>
                <w:rFonts w:cs="Calibri"/>
              </w:rPr>
            </w:pPr>
            <w:r w:rsidRPr="00DD47DF">
              <w:rPr>
                <w:rFonts w:cs="Calibri"/>
              </w:rPr>
              <w:t>Míra stabilizace zaměstnanců implementační struktury</w:t>
            </w:r>
          </w:p>
        </w:tc>
        <w:tc>
          <w:tcPr>
            <w:tcW w:w="992" w:type="dxa"/>
            <w:tcBorders>
              <w:top w:val="single" w:sz="4" w:space="0" w:color="000000"/>
              <w:left w:val="single" w:sz="4" w:space="0" w:color="000000"/>
              <w:bottom w:val="single" w:sz="4" w:space="0" w:color="000000"/>
              <w:right w:val="single" w:sz="4" w:space="0" w:color="000000"/>
            </w:tcBorders>
            <w:vAlign w:val="center"/>
          </w:tcPr>
          <w:p w14:paraId="0D4C6438" w14:textId="77777777" w:rsidR="009F0C3A" w:rsidRPr="00DD47DF" w:rsidRDefault="009F0C3A" w:rsidP="00EA2881">
            <w:pPr>
              <w:pStyle w:val="Tabulka"/>
              <w:rPr>
                <w:rFonts w:cs="Calibri"/>
              </w:rPr>
            </w:pPr>
            <w:r w:rsidRPr="00DD47DF">
              <w:rPr>
                <w:rFonts w:cs="Calibri"/>
              </w:rPr>
              <w:t>%</w:t>
            </w:r>
          </w:p>
        </w:tc>
        <w:tc>
          <w:tcPr>
            <w:tcW w:w="1112" w:type="dxa"/>
            <w:tcBorders>
              <w:top w:val="single" w:sz="4" w:space="0" w:color="000000"/>
              <w:left w:val="single" w:sz="4" w:space="0" w:color="000000"/>
              <w:bottom w:val="single" w:sz="4" w:space="0" w:color="000000"/>
              <w:right w:val="single" w:sz="4" w:space="0" w:color="000000"/>
            </w:tcBorders>
            <w:vAlign w:val="center"/>
          </w:tcPr>
          <w:p w14:paraId="46AD69B9" w14:textId="77777777" w:rsidR="009F0C3A" w:rsidRPr="00DD47DF" w:rsidRDefault="00EF17A8" w:rsidP="00EA2881">
            <w:pPr>
              <w:pStyle w:val="Tabulka"/>
              <w:rPr>
                <w:rFonts w:cs="Calibri"/>
              </w:rPr>
            </w:pPr>
            <w:r w:rsidRPr="00DD47DF">
              <w:rPr>
                <w:rFonts w:cs="Calibri"/>
              </w:rPr>
              <w:t>53</w:t>
            </w:r>
          </w:p>
        </w:tc>
        <w:tc>
          <w:tcPr>
            <w:tcW w:w="872" w:type="dxa"/>
            <w:tcBorders>
              <w:top w:val="single" w:sz="4" w:space="0" w:color="000000"/>
              <w:left w:val="single" w:sz="4" w:space="0" w:color="000000"/>
              <w:bottom w:val="single" w:sz="4" w:space="0" w:color="000000"/>
              <w:right w:val="single" w:sz="4" w:space="0" w:color="000000"/>
            </w:tcBorders>
            <w:vAlign w:val="center"/>
          </w:tcPr>
          <w:p w14:paraId="05BDAC96" w14:textId="77777777" w:rsidR="009F0C3A" w:rsidRPr="00DD47DF" w:rsidRDefault="00EC7290" w:rsidP="00EA2881">
            <w:pPr>
              <w:pStyle w:val="Tabulka"/>
              <w:rPr>
                <w:rFonts w:cs="Calibri"/>
              </w:rPr>
            </w:pPr>
            <w:r w:rsidRPr="00DD47DF">
              <w:rPr>
                <w:rFonts w:cs="Calibri"/>
              </w:rPr>
              <w:t>2014</w:t>
            </w:r>
          </w:p>
        </w:tc>
        <w:tc>
          <w:tcPr>
            <w:tcW w:w="993" w:type="dxa"/>
            <w:tcBorders>
              <w:top w:val="single" w:sz="4" w:space="0" w:color="000000"/>
              <w:left w:val="single" w:sz="4" w:space="0" w:color="000000"/>
              <w:bottom w:val="single" w:sz="4" w:space="0" w:color="000000"/>
              <w:right w:val="single" w:sz="4" w:space="0" w:color="000000"/>
            </w:tcBorders>
            <w:vAlign w:val="center"/>
          </w:tcPr>
          <w:p w14:paraId="5892A9D1" w14:textId="77777777" w:rsidR="009F0C3A" w:rsidRPr="00DD47DF" w:rsidRDefault="00EF17A8" w:rsidP="00EA2881">
            <w:pPr>
              <w:pStyle w:val="Tabulka"/>
              <w:rPr>
                <w:rFonts w:cs="Calibri"/>
              </w:rPr>
            </w:pPr>
            <w:r w:rsidRPr="00DD47DF">
              <w:rPr>
                <w:rFonts w:cs="Calibri"/>
              </w:rPr>
              <w:t>65</w:t>
            </w:r>
          </w:p>
        </w:tc>
        <w:tc>
          <w:tcPr>
            <w:tcW w:w="850" w:type="dxa"/>
            <w:tcBorders>
              <w:top w:val="single" w:sz="4" w:space="0" w:color="000000"/>
              <w:left w:val="single" w:sz="4" w:space="0" w:color="000000"/>
              <w:bottom w:val="single" w:sz="4" w:space="0" w:color="000000"/>
              <w:right w:val="single" w:sz="4" w:space="0" w:color="000000"/>
            </w:tcBorders>
            <w:vAlign w:val="center"/>
          </w:tcPr>
          <w:p w14:paraId="0D89A107" w14:textId="77777777" w:rsidR="009F0C3A" w:rsidRPr="00DD47DF" w:rsidRDefault="005F561C" w:rsidP="00EA2881">
            <w:pPr>
              <w:pStyle w:val="Tabulka"/>
              <w:rPr>
                <w:rFonts w:cs="Calibri"/>
              </w:rPr>
            </w:pPr>
            <w:r w:rsidRPr="00DD47DF">
              <w:rPr>
                <w:rFonts w:cs="Calibri"/>
              </w:rPr>
              <w:t>ŘO</w:t>
            </w:r>
          </w:p>
        </w:tc>
        <w:tc>
          <w:tcPr>
            <w:tcW w:w="1189" w:type="dxa"/>
            <w:tcBorders>
              <w:top w:val="single" w:sz="4" w:space="0" w:color="000000"/>
              <w:left w:val="single" w:sz="4" w:space="0" w:color="000000"/>
              <w:bottom w:val="single" w:sz="4" w:space="0" w:color="000000"/>
              <w:right w:val="single" w:sz="4" w:space="0" w:color="000000"/>
            </w:tcBorders>
            <w:vAlign w:val="center"/>
          </w:tcPr>
          <w:p w14:paraId="73F344CF" w14:textId="77777777" w:rsidR="009F0C3A" w:rsidRPr="00DD47DF" w:rsidRDefault="00274100" w:rsidP="00EA2881">
            <w:pPr>
              <w:pStyle w:val="Tabulka"/>
              <w:rPr>
                <w:rFonts w:cs="Calibri"/>
              </w:rPr>
            </w:pPr>
            <w:r w:rsidRPr="00DD47DF">
              <w:rPr>
                <w:rFonts w:cs="Calibri"/>
              </w:rPr>
              <w:t>ročně</w:t>
            </w:r>
          </w:p>
        </w:tc>
      </w:tr>
    </w:tbl>
    <w:p w14:paraId="60322B94" w14:textId="77777777" w:rsidR="004B6609" w:rsidRPr="00DD47DF" w:rsidRDefault="004B6609" w:rsidP="00DD2263">
      <w:pPr>
        <w:pStyle w:val="Modrnadpis"/>
      </w:pPr>
      <w:r w:rsidRPr="00DD47DF">
        <w:t>SPECIFICKÝ CÍL 5.2: Zajištění informovanosti, publicity a absorpční kapacity operačního programu</w:t>
      </w:r>
    </w:p>
    <w:p w14:paraId="7FBEA986" w14:textId="77777777" w:rsidR="004B6609" w:rsidRPr="00DD47DF" w:rsidRDefault="004B6609" w:rsidP="00DD2263">
      <w:pPr>
        <w:pStyle w:val="Titulek"/>
        <w:keepNext/>
        <w:keepLines/>
      </w:pPr>
      <w:r w:rsidRPr="00DD47DF">
        <w:t xml:space="preserve">Tabulka </w:t>
      </w:r>
      <w:r w:rsidR="002756E7" w:rsidRPr="00DD47DF">
        <w:fldChar w:fldCharType="begin"/>
      </w:r>
      <w:r w:rsidR="000E35F2" w:rsidRPr="00DD47DF">
        <w:instrText xml:space="preserve"> SEQ Tabulka \* ARABIC \r 12 </w:instrText>
      </w:r>
      <w:r w:rsidR="002756E7" w:rsidRPr="00DD47DF">
        <w:fldChar w:fldCharType="separate"/>
      </w:r>
      <w:r w:rsidR="00117847">
        <w:rPr>
          <w:noProof/>
        </w:rPr>
        <w:t>12</w:t>
      </w:r>
      <w:r w:rsidR="002756E7" w:rsidRPr="00DD47DF">
        <w:rPr>
          <w:noProof/>
        </w:rPr>
        <w:fldChar w:fldCharType="end"/>
      </w:r>
      <w:r w:rsidRPr="00DD47DF">
        <w:rPr>
          <w:noProof/>
        </w:rPr>
        <w:t>b</w:t>
      </w:r>
      <w:r w:rsidRPr="00DD47DF">
        <w:t xml:space="preserve">: </w:t>
      </w:r>
      <w:r w:rsidR="00DD2263" w:rsidRPr="00DD47DF">
        <w:t>Programově specifické ukazatele výsledků</w:t>
      </w:r>
    </w:p>
    <w:tbl>
      <w:tblPr>
        <w:tblW w:w="0" w:type="auto"/>
        <w:tblCellMar>
          <w:left w:w="57" w:type="dxa"/>
          <w:right w:w="57" w:type="dxa"/>
        </w:tblCellMar>
        <w:tblLook w:val="01E0" w:firstRow="1" w:lastRow="1" w:firstColumn="1" w:lastColumn="1" w:noHBand="0" w:noVBand="0"/>
      </w:tblPr>
      <w:tblGrid>
        <w:gridCol w:w="908"/>
        <w:gridCol w:w="2268"/>
        <w:gridCol w:w="992"/>
        <w:gridCol w:w="971"/>
        <w:gridCol w:w="872"/>
        <w:gridCol w:w="992"/>
        <w:gridCol w:w="1276"/>
        <w:gridCol w:w="1047"/>
      </w:tblGrid>
      <w:tr w:rsidR="004B6609" w:rsidRPr="00DD47DF" w14:paraId="229689D4" w14:textId="77777777">
        <w:trPr>
          <w:trHeight w:hRule="exact" w:val="1029"/>
        </w:trPr>
        <w:tc>
          <w:tcPr>
            <w:tcW w:w="908"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07A74F0" w14:textId="77777777" w:rsidR="004B6609" w:rsidRPr="00DD47DF" w:rsidRDefault="004B6609" w:rsidP="00DD2263">
            <w:pPr>
              <w:pStyle w:val="Tabulka"/>
              <w:keepNext/>
              <w:keepLines/>
              <w:rPr>
                <w:rFonts w:cs="Calibri"/>
              </w:rPr>
            </w:pPr>
            <w:r w:rsidRPr="00DD47DF">
              <w:rPr>
                <w:rFonts w:cs="Calibri"/>
                <w:b/>
                <w:bCs/>
              </w:rPr>
              <w:t>ID</w:t>
            </w:r>
          </w:p>
        </w:tc>
        <w:tc>
          <w:tcPr>
            <w:tcW w:w="2268"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04E4ED63" w14:textId="77777777" w:rsidR="004B6609" w:rsidRPr="00DD47DF" w:rsidRDefault="00DD2263" w:rsidP="00DD2263">
            <w:pPr>
              <w:pStyle w:val="Tabulka"/>
              <w:keepNext/>
              <w:keepLines/>
              <w:rPr>
                <w:rFonts w:cs="Calibri"/>
              </w:rPr>
            </w:pPr>
            <w:r w:rsidRPr="00DD47DF">
              <w:rPr>
                <w:rFonts w:cs="Calibri"/>
                <w:b/>
                <w:bCs/>
              </w:rPr>
              <w:t>Ukazatel</w:t>
            </w:r>
          </w:p>
        </w:tc>
        <w:tc>
          <w:tcPr>
            <w:tcW w:w="99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D73AC68" w14:textId="77777777" w:rsidR="004B6609" w:rsidRPr="00DD47DF" w:rsidRDefault="004B6609" w:rsidP="00720FD1">
            <w:pPr>
              <w:pStyle w:val="Tabulka"/>
              <w:keepNext/>
              <w:keepLines/>
              <w:rPr>
                <w:rFonts w:cs="Calibri"/>
              </w:rPr>
            </w:pPr>
            <w:r w:rsidRPr="00DD47DF">
              <w:rPr>
                <w:rFonts w:cs="Calibri"/>
                <w:b/>
                <w:bCs/>
              </w:rPr>
              <w:t>Měrná</w:t>
            </w:r>
            <w:r w:rsidR="00720FD1" w:rsidRPr="00DD47DF">
              <w:rPr>
                <w:rFonts w:cs="Calibri"/>
                <w:b/>
                <w:bCs/>
              </w:rPr>
              <w:t xml:space="preserve"> </w:t>
            </w:r>
            <w:r w:rsidRPr="00DD47DF">
              <w:rPr>
                <w:rFonts w:cs="Calibri"/>
                <w:b/>
                <w:bCs/>
              </w:rPr>
              <w:t>jednotka</w:t>
            </w:r>
          </w:p>
        </w:tc>
        <w:tc>
          <w:tcPr>
            <w:tcW w:w="971"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39A9E986" w14:textId="77777777" w:rsidR="004B6609" w:rsidRPr="00DD47DF" w:rsidRDefault="004B0854" w:rsidP="00DD2263">
            <w:pPr>
              <w:pStyle w:val="Tabulka"/>
              <w:keepNext/>
              <w:keepLines/>
              <w:rPr>
                <w:rFonts w:cs="Calibri"/>
              </w:rPr>
            </w:pPr>
            <w:r w:rsidRPr="00DD47DF">
              <w:rPr>
                <w:rFonts w:cs="Calibri"/>
                <w:b/>
                <w:bCs/>
              </w:rPr>
              <w:t>Výchozí hodnota</w:t>
            </w:r>
          </w:p>
        </w:tc>
        <w:tc>
          <w:tcPr>
            <w:tcW w:w="87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4670880E" w14:textId="77777777" w:rsidR="004B6609" w:rsidRPr="00DD47DF" w:rsidRDefault="004B0854" w:rsidP="004B0854">
            <w:pPr>
              <w:pStyle w:val="Tabulka"/>
              <w:keepNext/>
              <w:keepLines/>
              <w:rPr>
                <w:rFonts w:cs="Calibri"/>
              </w:rPr>
            </w:pPr>
            <w:r w:rsidRPr="00DD47DF">
              <w:rPr>
                <w:rFonts w:cs="Calibri"/>
                <w:b/>
                <w:bCs/>
              </w:rPr>
              <w:t xml:space="preserve">Výchozí </w:t>
            </w:r>
            <w:r w:rsidR="004B6609" w:rsidRPr="00DD47DF">
              <w:rPr>
                <w:rFonts w:cs="Calibri"/>
                <w:b/>
                <w:bCs/>
              </w:rPr>
              <w:t>rok</w:t>
            </w:r>
          </w:p>
        </w:tc>
        <w:tc>
          <w:tcPr>
            <w:tcW w:w="99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6205AC6" w14:textId="77777777" w:rsidR="004B6609" w:rsidRPr="00DD47DF" w:rsidRDefault="004B6609" w:rsidP="00DD2263">
            <w:pPr>
              <w:pStyle w:val="Tabulka"/>
              <w:keepNext/>
              <w:keepLines/>
              <w:rPr>
                <w:rFonts w:cs="Calibri"/>
              </w:rPr>
            </w:pPr>
            <w:r w:rsidRPr="00DD47DF">
              <w:rPr>
                <w:rFonts w:cs="Calibri"/>
                <w:b/>
                <w:bCs/>
              </w:rPr>
              <w:t>Cílová hodnota (2023)</w:t>
            </w:r>
          </w:p>
        </w:tc>
        <w:tc>
          <w:tcPr>
            <w:tcW w:w="1276"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02474808" w14:textId="77777777" w:rsidR="004B6609" w:rsidRPr="00DD47DF" w:rsidRDefault="004B6609" w:rsidP="00DD2263">
            <w:pPr>
              <w:pStyle w:val="Tabulka"/>
              <w:keepNext/>
              <w:keepLines/>
              <w:rPr>
                <w:rFonts w:cs="Calibri"/>
              </w:rPr>
            </w:pPr>
            <w:r w:rsidRPr="00DD47DF">
              <w:rPr>
                <w:rFonts w:cs="Calibri"/>
                <w:b/>
                <w:bCs/>
              </w:rPr>
              <w:t>Zdroj údajů</w:t>
            </w:r>
          </w:p>
        </w:tc>
        <w:tc>
          <w:tcPr>
            <w:tcW w:w="1047"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03A3162E" w14:textId="77777777" w:rsidR="004B6609" w:rsidRPr="00DD47DF" w:rsidRDefault="00DD2263" w:rsidP="00DD2263">
            <w:pPr>
              <w:pStyle w:val="Tabulka"/>
              <w:keepNext/>
              <w:keepLines/>
              <w:rPr>
                <w:rFonts w:cs="Calibri"/>
              </w:rPr>
            </w:pPr>
            <w:r w:rsidRPr="00DD47DF">
              <w:rPr>
                <w:rFonts w:cs="Calibri"/>
                <w:b/>
                <w:bCs/>
              </w:rPr>
              <w:t>Četnost podávání zpráv</w:t>
            </w:r>
          </w:p>
        </w:tc>
      </w:tr>
      <w:tr w:rsidR="006A5D3E" w:rsidRPr="00DD47DF" w14:paraId="1EEB4AB4" w14:textId="77777777">
        <w:trPr>
          <w:trHeight w:hRule="exact" w:val="756"/>
        </w:trPr>
        <w:tc>
          <w:tcPr>
            <w:tcW w:w="908" w:type="dxa"/>
            <w:tcBorders>
              <w:top w:val="single" w:sz="4" w:space="0" w:color="000000"/>
              <w:left w:val="single" w:sz="4" w:space="0" w:color="000000"/>
              <w:bottom w:val="single" w:sz="4" w:space="0" w:color="000000"/>
              <w:right w:val="single" w:sz="4" w:space="0" w:color="000000"/>
            </w:tcBorders>
            <w:vAlign w:val="center"/>
          </w:tcPr>
          <w:p w14:paraId="04324D72" w14:textId="77777777" w:rsidR="006A5D3E" w:rsidRPr="00DD47DF" w:rsidDel="006A5D3E" w:rsidRDefault="002900B4" w:rsidP="00EA2881">
            <w:pPr>
              <w:pStyle w:val="Tabulka"/>
              <w:rPr>
                <w:rFonts w:cs="Calibri"/>
              </w:rPr>
            </w:pPr>
            <w:r w:rsidRPr="00DD47DF">
              <w:rPr>
                <w:rFonts w:cs="Calibri"/>
              </w:rPr>
              <w:t>80210</w:t>
            </w:r>
          </w:p>
        </w:tc>
        <w:tc>
          <w:tcPr>
            <w:tcW w:w="2268" w:type="dxa"/>
            <w:tcBorders>
              <w:top w:val="single" w:sz="4" w:space="0" w:color="000000"/>
              <w:left w:val="single" w:sz="4" w:space="0" w:color="000000"/>
              <w:bottom w:val="single" w:sz="4" w:space="0" w:color="000000"/>
              <w:right w:val="single" w:sz="4" w:space="0" w:color="000000"/>
            </w:tcBorders>
            <w:vAlign w:val="center"/>
          </w:tcPr>
          <w:p w14:paraId="18D1C4ED" w14:textId="77777777" w:rsidR="006A5D3E" w:rsidRPr="00DD47DF" w:rsidDel="006A5D3E" w:rsidRDefault="002900B4" w:rsidP="00EA2881">
            <w:pPr>
              <w:pStyle w:val="Tabulka"/>
              <w:jc w:val="left"/>
              <w:rPr>
                <w:rFonts w:cs="Calibri"/>
              </w:rPr>
            </w:pPr>
            <w:r w:rsidRPr="00DD47DF">
              <w:rPr>
                <w:rFonts w:cs="Calibri"/>
              </w:rPr>
              <w:t>Míra úspěšnosti projektových žádostí</w:t>
            </w:r>
          </w:p>
        </w:tc>
        <w:tc>
          <w:tcPr>
            <w:tcW w:w="992" w:type="dxa"/>
            <w:tcBorders>
              <w:top w:val="single" w:sz="4" w:space="0" w:color="000000"/>
              <w:left w:val="single" w:sz="4" w:space="0" w:color="000000"/>
              <w:bottom w:val="single" w:sz="4" w:space="0" w:color="000000"/>
              <w:right w:val="single" w:sz="4" w:space="0" w:color="000000"/>
            </w:tcBorders>
            <w:vAlign w:val="center"/>
          </w:tcPr>
          <w:p w14:paraId="427C8443" w14:textId="77777777" w:rsidR="006A5D3E" w:rsidRPr="00DD47DF" w:rsidDel="006A5D3E" w:rsidRDefault="002900B4" w:rsidP="00EA2881">
            <w:pPr>
              <w:pStyle w:val="Tabulka"/>
              <w:rPr>
                <w:rFonts w:cs="Calibri"/>
              </w:rPr>
            </w:pPr>
            <w:r w:rsidRPr="00DD47DF">
              <w:rPr>
                <w:rFonts w:cs="Calibri"/>
              </w:rPr>
              <w:t>%</w:t>
            </w:r>
          </w:p>
        </w:tc>
        <w:tc>
          <w:tcPr>
            <w:tcW w:w="971" w:type="dxa"/>
            <w:tcBorders>
              <w:top w:val="single" w:sz="4" w:space="0" w:color="000000"/>
              <w:left w:val="single" w:sz="4" w:space="0" w:color="000000"/>
              <w:bottom w:val="single" w:sz="4" w:space="0" w:color="000000"/>
              <w:right w:val="single" w:sz="4" w:space="0" w:color="000000"/>
            </w:tcBorders>
            <w:vAlign w:val="center"/>
          </w:tcPr>
          <w:p w14:paraId="3DEADD76" w14:textId="77777777" w:rsidR="006A5D3E" w:rsidRPr="00DD47DF" w:rsidDel="006A5D3E" w:rsidRDefault="00BC18A3" w:rsidP="00EA2881">
            <w:pPr>
              <w:pStyle w:val="Tabulka"/>
              <w:rPr>
                <w:rFonts w:cs="Calibri"/>
              </w:rPr>
            </w:pPr>
            <w:r w:rsidRPr="00DD47DF">
              <w:rPr>
                <w:rFonts w:cs="Calibri"/>
              </w:rPr>
              <w:t>94,37</w:t>
            </w:r>
          </w:p>
        </w:tc>
        <w:tc>
          <w:tcPr>
            <w:tcW w:w="872" w:type="dxa"/>
            <w:tcBorders>
              <w:top w:val="single" w:sz="4" w:space="0" w:color="000000"/>
              <w:left w:val="single" w:sz="4" w:space="0" w:color="000000"/>
              <w:bottom w:val="single" w:sz="4" w:space="0" w:color="000000"/>
              <w:right w:val="single" w:sz="4" w:space="0" w:color="000000"/>
            </w:tcBorders>
            <w:vAlign w:val="center"/>
          </w:tcPr>
          <w:p w14:paraId="763ED53A" w14:textId="77777777" w:rsidR="006A5D3E" w:rsidRPr="00DD47DF" w:rsidDel="006A5D3E" w:rsidRDefault="002900B4" w:rsidP="00EA2881">
            <w:pPr>
              <w:pStyle w:val="Tabulka"/>
              <w:rPr>
                <w:rFonts w:cs="Calibri"/>
              </w:rPr>
            </w:pPr>
            <w:r w:rsidRPr="00DD47DF">
              <w:rPr>
                <w:rFonts w:cs="Calibri"/>
              </w:rPr>
              <w:t>2014</w:t>
            </w:r>
          </w:p>
        </w:tc>
        <w:tc>
          <w:tcPr>
            <w:tcW w:w="992" w:type="dxa"/>
            <w:tcBorders>
              <w:top w:val="single" w:sz="4" w:space="0" w:color="000000"/>
              <w:left w:val="single" w:sz="4" w:space="0" w:color="000000"/>
              <w:bottom w:val="single" w:sz="4" w:space="0" w:color="000000"/>
              <w:right w:val="single" w:sz="4" w:space="0" w:color="000000"/>
            </w:tcBorders>
            <w:vAlign w:val="center"/>
          </w:tcPr>
          <w:p w14:paraId="6386F858" w14:textId="77777777" w:rsidR="006A5D3E" w:rsidRPr="00DD47DF" w:rsidDel="006A5D3E" w:rsidRDefault="00483D70" w:rsidP="00EA2881">
            <w:pPr>
              <w:pStyle w:val="Tabulka"/>
              <w:rPr>
                <w:rFonts w:cs="Calibri"/>
              </w:rPr>
            </w:pPr>
            <w:r w:rsidRPr="00DD47DF">
              <w:rPr>
                <w:rFonts w:cs="Calibri"/>
              </w:rPr>
              <w:t>95</w:t>
            </w:r>
          </w:p>
        </w:tc>
        <w:tc>
          <w:tcPr>
            <w:tcW w:w="1276" w:type="dxa"/>
            <w:tcBorders>
              <w:top w:val="single" w:sz="4" w:space="0" w:color="000000"/>
              <w:left w:val="single" w:sz="4" w:space="0" w:color="000000"/>
              <w:bottom w:val="single" w:sz="4" w:space="0" w:color="000000"/>
              <w:right w:val="single" w:sz="4" w:space="0" w:color="000000"/>
            </w:tcBorders>
            <w:vAlign w:val="center"/>
          </w:tcPr>
          <w:p w14:paraId="4BF245EC" w14:textId="77777777" w:rsidR="006A5D3E" w:rsidRPr="00DD47DF" w:rsidDel="006A5D3E" w:rsidRDefault="002900B4" w:rsidP="00EA2881">
            <w:pPr>
              <w:pStyle w:val="Tabulka"/>
              <w:rPr>
                <w:rFonts w:cs="Calibri"/>
              </w:rPr>
            </w:pPr>
            <w:r w:rsidRPr="00DD47DF">
              <w:rPr>
                <w:rFonts w:cs="Calibri"/>
              </w:rPr>
              <w:t>ŘO</w:t>
            </w:r>
          </w:p>
        </w:tc>
        <w:tc>
          <w:tcPr>
            <w:tcW w:w="1047" w:type="dxa"/>
            <w:tcBorders>
              <w:top w:val="single" w:sz="4" w:space="0" w:color="000000"/>
              <w:left w:val="single" w:sz="4" w:space="0" w:color="000000"/>
              <w:bottom w:val="single" w:sz="4" w:space="0" w:color="000000"/>
              <w:right w:val="single" w:sz="4" w:space="0" w:color="000000"/>
            </w:tcBorders>
            <w:vAlign w:val="center"/>
          </w:tcPr>
          <w:p w14:paraId="2871558A" w14:textId="77777777" w:rsidR="006A5D3E" w:rsidRPr="00DD47DF" w:rsidDel="006A5D3E" w:rsidRDefault="002900B4" w:rsidP="00EA2881">
            <w:pPr>
              <w:pStyle w:val="Tabulka"/>
              <w:rPr>
                <w:rFonts w:cs="Calibri"/>
              </w:rPr>
            </w:pPr>
            <w:r w:rsidRPr="00DD47DF">
              <w:rPr>
                <w:rFonts w:cs="Calibri"/>
              </w:rPr>
              <w:t>ročně</w:t>
            </w:r>
          </w:p>
        </w:tc>
      </w:tr>
    </w:tbl>
    <w:p w14:paraId="439D9E60" w14:textId="77777777" w:rsidR="00CF5E63" w:rsidRPr="00DD47DF" w:rsidRDefault="00DD2263" w:rsidP="005F43DF">
      <w:pPr>
        <w:pStyle w:val="kapitola2B"/>
        <w:numPr>
          <w:ilvl w:val="2"/>
          <w:numId w:val="12"/>
        </w:numPr>
        <w:ind w:left="709"/>
      </w:pPr>
      <w:bookmarkStart w:id="111" w:name="_Toc520445318"/>
      <w:r w:rsidRPr="00DD47DF">
        <w:lastRenderedPageBreak/>
        <w:t>Opatření, která mají být podpořena, a jejich očekávaný přínos ke specifickým cílům</w:t>
      </w:r>
      <w:bookmarkEnd w:id="111"/>
    </w:p>
    <w:p w14:paraId="10D1B18E" w14:textId="77777777" w:rsidR="00C969F4" w:rsidRPr="00DD47DF" w:rsidRDefault="00DD2263" w:rsidP="005F43DF">
      <w:pPr>
        <w:pStyle w:val="Nadpis5"/>
        <w:numPr>
          <w:ilvl w:val="4"/>
          <w:numId w:val="13"/>
        </w:numPr>
      </w:pPr>
      <w:r w:rsidRPr="00DD47DF">
        <w:t>Popis opatření, která mají bý</w:t>
      </w:r>
      <w:r w:rsidR="008C1E31" w:rsidRPr="00DD47DF">
        <w:t>t</w:t>
      </w:r>
      <w:r w:rsidRPr="00DD47DF">
        <w:t xml:space="preserve"> podpořena, a jejich očekávaný přínos ke specifickým cílům</w:t>
      </w:r>
    </w:p>
    <w:p w14:paraId="57953E8B" w14:textId="77777777" w:rsidR="000E7F90" w:rsidRPr="00DD47DF" w:rsidRDefault="000E7F90" w:rsidP="000E7F90">
      <w:pPr>
        <w:pStyle w:val="Modrnadpis"/>
        <w:rPr>
          <w:rFonts w:cs="Calibri"/>
          <w:szCs w:val="24"/>
        </w:rPr>
      </w:pPr>
      <w:r w:rsidRPr="00DD47DF">
        <w:t>SPECIFICKÝ CÍL 5.1: Zajištění efektivního řízení a administrace operačního programu</w:t>
      </w:r>
    </w:p>
    <w:p w14:paraId="138D4FE9" w14:textId="57969B88" w:rsidR="0049001E" w:rsidRPr="00DD47DF" w:rsidRDefault="0049001E" w:rsidP="0049001E">
      <w:pPr>
        <w:spacing w:before="120" w:after="60"/>
        <w:jc w:val="both"/>
        <w:rPr>
          <w:bCs/>
          <w:sz w:val="24"/>
        </w:rPr>
      </w:pPr>
      <w:r w:rsidRPr="00DD47DF">
        <w:rPr>
          <w:bCs/>
          <w:sz w:val="24"/>
        </w:rPr>
        <w:t xml:space="preserve">Jedná se o aktivity operačního programu, které jsou zaměřeny na jeho přípravu, řízení, implementaci, vzdělávání implementační struktury, monitorování, hodnocení a kontrolu. Z prostředků technické pomoci OP PIK budou rovněž hrazeny náklady spojené se zasedáním </w:t>
      </w:r>
      <w:r w:rsidR="00BA68C1">
        <w:rPr>
          <w:bCs/>
          <w:sz w:val="24"/>
        </w:rPr>
        <w:t>výběrových</w:t>
      </w:r>
      <w:r w:rsidR="00BA68C1" w:rsidRPr="00DD47DF">
        <w:rPr>
          <w:bCs/>
          <w:sz w:val="24"/>
        </w:rPr>
        <w:t xml:space="preserve"> </w:t>
      </w:r>
      <w:r w:rsidRPr="00DD47DF">
        <w:rPr>
          <w:bCs/>
          <w:sz w:val="24"/>
        </w:rPr>
        <w:t>komisí a Monitorovacího výboru a dále aktivity spojené se zpracováním odborných externích posudků a analýz.  V neposlední řadě bude hrazena příprava nového programovacího období po roce 2020 a výdaje související s realizací SC 4.1.</w:t>
      </w:r>
    </w:p>
    <w:p w14:paraId="2F3F6953" w14:textId="77777777" w:rsidR="0049001E" w:rsidRPr="00DD47DF" w:rsidRDefault="0049001E" w:rsidP="0049001E">
      <w:pPr>
        <w:pStyle w:val="Standardntext"/>
        <w:rPr>
          <w:b/>
        </w:rPr>
      </w:pPr>
      <w:r w:rsidRPr="00DD47DF">
        <w:rPr>
          <w:bCs/>
          <w:szCs w:val="20"/>
        </w:rPr>
        <w:t>Jde o veškeré potřebné podpůrné aktivity prováděné Řídicím orgánem OP PIK a subjekty implementační struktury s cílem zvýšit účinnost prováděné podpory.</w:t>
      </w:r>
    </w:p>
    <w:p w14:paraId="2EB85A2A" w14:textId="77777777" w:rsidR="000E7F90" w:rsidRPr="00DD47DF" w:rsidRDefault="000E7F90" w:rsidP="000E7F90">
      <w:pPr>
        <w:pStyle w:val="Standardntext"/>
        <w:rPr>
          <w:b/>
        </w:rPr>
      </w:pPr>
      <w:r w:rsidRPr="00DD47DF">
        <w:rPr>
          <w:b/>
        </w:rPr>
        <w:t>Podporovan</w:t>
      </w:r>
      <w:r w:rsidR="00C05A7E" w:rsidRPr="00DD47DF">
        <w:rPr>
          <w:b/>
        </w:rPr>
        <w:t>é aktivity</w:t>
      </w:r>
      <w:r w:rsidRPr="00DD47DF">
        <w:rPr>
          <w:b/>
        </w:rPr>
        <w:t xml:space="preserve">: </w:t>
      </w:r>
    </w:p>
    <w:p w14:paraId="7167BBE5" w14:textId="77777777" w:rsidR="000E7F90" w:rsidRPr="00DD47DF" w:rsidRDefault="000E7F90" w:rsidP="00DA3512">
      <w:pPr>
        <w:pStyle w:val="Standardntext"/>
        <w:numPr>
          <w:ilvl w:val="0"/>
          <w:numId w:val="61"/>
        </w:numPr>
      </w:pPr>
      <w:r w:rsidRPr="00DD47DF">
        <w:t xml:space="preserve">Příprava, řízení, administrace, monitorování programu (činnosti bezprostředně související s implementací programu), tj.: </w:t>
      </w:r>
    </w:p>
    <w:p w14:paraId="33A03AB3" w14:textId="77777777" w:rsidR="000E7F90" w:rsidRPr="00DD47DF" w:rsidRDefault="0049001E" w:rsidP="00DA3512">
      <w:pPr>
        <w:pStyle w:val="Standardntext"/>
        <w:numPr>
          <w:ilvl w:val="1"/>
          <w:numId w:val="61"/>
        </w:numPr>
      </w:pPr>
      <w:r w:rsidRPr="00DD47DF">
        <w:t xml:space="preserve">audity a </w:t>
      </w:r>
      <w:r w:rsidR="000E7F90" w:rsidRPr="00DD47DF">
        <w:t>veřejnosprávní kontroly na místě</w:t>
      </w:r>
    </w:p>
    <w:p w14:paraId="24F8BE45" w14:textId="77777777" w:rsidR="000E7F90" w:rsidRPr="00DD47DF" w:rsidRDefault="000E7F90" w:rsidP="00DA3512">
      <w:pPr>
        <w:pStyle w:val="Standardntext"/>
        <w:numPr>
          <w:ilvl w:val="1"/>
          <w:numId w:val="61"/>
        </w:numPr>
      </w:pPr>
      <w:r w:rsidRPr="00DD47DF">
        <w:t>technické a provozní zajištění funkcí řídicího orgánu, zprostředkující</w:t>
      </w:r>
      <w:r w:rsidR="00B72B46" w:rsidRPr="00DD47DF">
        <w:t>ho</w:t>
      </w:r>
      <w:r w:rsidRPr="00DD47DF">
        <w:t xml:space="preserve"> subjekt</w:t>
      </w:r>
      <w:r w:rsidR="00B72B46" w:rsidRPr="00DD47DF">
        <w:t>u</w:t>
      </w:r>
    </w:p>
    <w:p w14:paraId="75A81D5A" w14:textId="77777777" w:rsidR="000E7F90" w:rsidRPr="00DD47DF" w:rsidRDefault="000E7F90" w:rsidP="00DA3512">
      <w:pPr>
        <w:pStyle w:val="Standardntext"/>
        <w:numPr>
          <w:ilvl w:val="1"/>
          <w:numId w:val="61"/>
        </w:numPr>
      </w:pPr>
      <w:r w:rsidRPr="00DD47DF">
        <w:t>odměňování zaměstnanců (včetně zákonných odvodů podílejí</w:t>
      </w:r>
      <w:r w:rsidR="00C05A7E" w:rsidRPr="00DD47DF">
        <w:t>cích se</w:t>
      </w:r>
      <w:r w:rsidRPr="00DD47DF">
        <w:t xml:space="preserve"> na přípravě, </w:t>
      </w:r>
      <w:r w:rsidR="00C05A7E" w:rsidRPr="00DD47DF">
        <w:t>implementaci</w:t>
      </w:r>
      <w:r w:rsidR="007300F9" w:rsidRPr="00DD47DF">
        <w:t>,</w:t>
      </w:r>
      <w:r w:rsidRPr="00DD47DF">
        <w:t xml:space="preserve"> hodnocení a monitorování programu a kontrolách</w:t>
      </w:r>
    </w:p>
    <w:p w14:paraId="4D7B000D" w14:textId="77777777" w:rsidR="000E7F90" w:rsidRPr="00DD47DF" w:rsidRDefault="0049001E" w:rsidP="00DA3512">
      <w:pPr>
        <w:pStyle w:val="Standardntext"/>
        <w:numPr>
          <w:ilvl w:val="1"/>
          <w:numId w:val="61"/>
        </w:numPr>
      </w:pPr>
      <w:r w:rsidRPr="00DD47DF">
        <w:t xml:space="preserve">vzdělávání implementační struktury: </w:t>
      </w:r>
      <w:r w:rsidR="000E7F90" w:rsidRPr="00DD47DF">
        <w:t>školení, semináře, workshopy</w:t>
      </w:r>
      <w:r w:rsidR="00870B7F" w:rsidRPr="00DD47DF">
        <w:t>,</w:t>
      </w:r>
      <w:r w:rsidR="000E7F90" w:rsidRPr="00DD47DF">
        <w:t xml:space="preserve"> vzdělávání pracovníků implementačních orgánů</w:t>
      </w:r>
    </w:p>
    <w:p w14:paraId="02BDE465" w14:textId="039E7644" w:rsidR="000E7F90" w:rsidRPr="00DD47DF" w:rsidRDefault="000E7F90" w:rsidP="00DA3512">
      <w:pPr>
        <w:pStyle w:val="Standardntext"/>
        <w:numPr>
          <w:ilvl w:val="1"/>
          <w:numId w:val="61"/>
        </w:numPr>
      </w:pPr>
      <w:r w:rsidRPr="00DD47DF">
        <w:t xml:space="preserve">zasedání </w:t>
      </w:r>
      <w:r w:rsidR="00BA68C1">
        <w:t>výběrových</w:t>
      </w:r>
      <w:r w:rsidR="00BA68C1" w:rsidRPr="00DD47DF">
        <w:t xml:space="preserve"> </w:t>
      </w:r>
      <w:r w:rsidRPr="00DD47DF">
        <w:t>komisí, včetně nákladů na činnost externích odborníků</w:t>
      </w:r>
    </w:p>
    <w:p w14:paraId="49EF98DC" w14:textId="77777777" w:rsidR="000E7F90" w:rsidRPr="00DD47DF" w:rsidRDefault="000E7F90" w:rsidP="00DA3512">
      <w:pPr>
        <w:pStyle w:val="Standardntext"/>
        <w:numPr>
          <w:ilvl w:val="1"/>
          <w:numId w:val="61"/>
        </w:numPr>
      </w:pPr>
      <w:r w:rsidRPr="00DD47DF">
        <w:t xml:space="preserve">činnost </w:t>
      </w:r>
      <w:r w:rsidR="007300F9" w:rsidRPr="00DD47DF">
        <w:t xml:space="preserve">Monitorovacího </w:t>
      </w:r>
      <w:r w:rsidRPr="00DD47DF">
        <w:t xml:space="preserve">výboru </w:t>
      </w:r>
      <w:r w:rsidR="007300F9" w:rsidRPr="00DD47DF">
        <w:t>OP PIK, platformy pro plánování výzev</w:t>
      </w:r>
    </w:p>
    <w:p w14:paraId="07C8032C" w14:textId="77777777" w:rsidR="000E7F90" w:rsidRPr="00DD47DF" w:rsidRDefault="000E7F90" w:rsidP="00DA3512">
      <w:pPr>
        <w:pStyle w:val="Standardntext"/>
        <w:numPr>
          <w:ilvl w:val="1"/>
          <w:numId w:val="61"/>
        </w:numPr>
      </w:pPr>
      <w:r w:rsidRPr="00DD47DF">
        <w:t>zpracování odborných externích posudků, analýz a metodik pro posouzení správnosti nastavení a funkčnosti procesních systémů implementace</w:t>
      </w:r>
    </w:p>
    <w:p w14:paraId="1F2E71E6" w14:textId="77777777" w:rsidR="000E7F90" w:rsidRPr="00DD47DF" w:rsidRDefault="000E7F90" w:rsidP="000E7F90">
      <w:pPr>
        <w:pStyle w:val="Standardntext"/>
        <w:numPr>
          <w:ilvl w:val="0"/>
          <w:numId w:val="29"/>
        </w:numPr>
      </w:pPr>
      <w:r w:rsidRPr="00DD47DF">
        <w:t>přenos dobrých zkušeností do přípravy programovacího období 2021+</w:t>
      </w:r>
    </w:p>
    <w:p w14:paraId="53D43FE6" w14:textId="77777777" w:rsidR="000E7F90" w:rsidRPr="00DD47DF" w:rsidRDefault="000E7F90" w:rsidP="000E7F90">
      <w:pPr>
        <w:pStyle w:val="Standardntext"/>
        <w:numPr>
          <w:ilvl w:val="0"/>
          <w:numId w:val="29"/>
        </w:numPr>
      </w:pPr>
      <w:r w:rsidRPr="00DD47DF">
        <w:rPr>
          <w:iCs/>
        </w:rPr>
        <w:t xml:space="preserve">realizace opatření v souvislosti s implementací </w:t>
      </w:r>
      <w:r w:rsidR="007300F9" w:rsidRPr="00DD47DF">
        <w:rPr>
          <w:iCs/>
        </w:rPr>
        <w:t>SC</w:t>
      </w:r>
      <w:r w:rsidRPr="00DD47DF">
        <w:rPr>
          <w:iCs/>
        </w:rPr>
        <w:t xml:space="preserve"> 4.1 zejména s ohledem na mapování infrastruktury</w:t>
      </w:r>
      <w:r w:rsidR="00783C22" w:rsidRPr="00DD47DF">
        <w:rPr>
          <w:iCs/>
        </w:rPr>
        <w:t>, tj. s</w:t>
      </w:r>
      <w:r w:rsidR="007300F9" w:rsidRPr="00DD47DF">
        <w:rPr>
          <w:iCs/>
        </w:rPr>
        <w:t>tanovení lokalit, které mohou být předmětem podpory</w:t>
      </w:r>
      <w:r w:rsidR="00783C22" w:rsidRPr="00DD47DF">
        <w:rPr>
          <w:iCs/>
        </w:rPr>
        <w:t xml:space="preserve"> (blíže viz SC 4.1</w:t>
      </w:r>
      <w:r w:rsidR="007300F9" w:rsidRPr="00DD47DF">
        <w:rPr>
          <w:iCs/>
        </w:rPr>
        <w:t>)</w:t>
      </w:r>
    </w:p>
    <w:p w14:paraId="10A42F01" w14:textId="77777777" w:rsidR="00C47A18" w:rsidRPr="00DD47DF" w:rsidRDefault="00C47A18" w:rsidP="00C47A18">
      <w:pPr>
        <w:pStyle w:val="Standardntext"/>
        <w:numPr>
          <w:ilvl w:val="0"/>
          <w:numId w:val="29"/>
        </w:numPr>
      </w:pPr>
      <w:r w:rsidRPr="00DD47DF">
        <w:t>dokončení implementace programového období 2007-2013, včetně ex-post evaluace OPPI</w:t>
      </w:r>
    </w:p>
    <w:p w14:paraId="05ABE1AE" w14:textId="77777777" w:rsidR="000E7F90" w:rsidRPr="00DD47DF" w:rsidRDefault="000E7F90" w:rsidP="00284818">
      <w:pPr>
        <w:pStyle w:val="Standardntext"/>
      </w:pPr>
      <w:r w:rsidRPr="00DD47DF">
        <w:rPr>
          <w:u w:val="single"/>
        </w:rPr>
        <w:t xml:space="preserve">Vybrané oblasti </w:t>
      </w:r>
      <w:r w:rsidR="007300F9" w:rsidRPr="00DD47DF">
        <w:rPr>
          <w:u w:val="single"/>
        </w:rPr>
        <w:t>SC 5.1</w:t>
      </w:r>
      <w:r w:rsidRPr="00DD47DF">
        <w:rPr>
          <w:u w:val="single"/>
        </w:rPr>
        <w:t xml:space="preserve"> v kontextu vyhodnocení zkušeností z implementace OPPI</w:t>
      </w:r>
      <w:r w:rsidRPr="00DD47DF">
        <w:t xml:space="preserve"> (dále </w:t>
      </w:r>
      <w:r w:rsidR="001A4D0A" w:rsidRPr="00DD47DF">
        <w:t xml:space="preserve">Nepovinná </w:t>
      </w:r>
      <w:r w:rsidRPr="00DD47DF">
        <w:t xml:space="preserve">příloha č. 1): </w:t>
      </w:r>
    </w:p>
    <w:p w14:paraId="2DFD790C" w14:textId="77777777" w:rsidR="000E7F90" w:rsidRPr="00DD47DF" w:rsidRDefault="000E7F90" w:rsidP="00284818">
      <w:pPr>
        <w:pStyle w:val="Standardntext"/>
      </w:pPr>
      <w:r w:rsidRPr="00DD47DF">
        <w:t xml:space="preserve">(i) Stabilizace zaměstnanců, snížení fluktuace: Zajištění stálé zaměstnanecké sestavy řídícího orgánu, proškolování pracovníků, zajištění dostatečné administrativní kapacity řídícího orgánu a </w:t>
      </w:r>
      <w:r w:rsidR="00B72B46" w:rsidRPr="00DD47DF">
        <w:t xml:space="preserve">zprostředkujícího </w:t>
      </w:r>
      <w:r w:rsidRPr="00DD47DF">
        <w:t>subjekt</w:t>
      </w:r>
      <w:r w:rsidR="00B72B46" w:rsidRPr="00DD47DF">
        <w:t>u</w:t>
      </w:r>
      <w:r w:rsidRPr="00DD47DF">
        <w:t xml:space="preserve">. </w:t>
      </w:r>
      <w:r w:rsidR="00FA33B7" w:rsidRPr="00DD47DF">
        <w:t xml:space="preserve">Řídící orgán </w:t>
      </w:r>
      <w:r w:rsidR="007300F9" w:rsidRPr="00DD47DF">
        <w:t>zde</w:t>
      </w:r>
      <w:r w:rsidR="00FA33B7" w:rsidRPr="00DD47DF">
        <w:t xml:space="preserve"> spolupracuje s NOK a naplňuje povinnosti, které </w:t>
      </w:r>
      <w:r w:rsidR="00FA33B7" w:rsidRPr="00DD47DF">
        <w:lastRenderedPageBreak/>
        <w:t>stanovuje Metodický pokyn pro rozvoj lidských zdrojů</w:t>
      </w:r>
      <w:r w:rsidR="006E0874" w:rsidRPr="00DD47DF">
        <w:rPr>
          <w:rStyle w:val="Znakapoznpodarou"/>
        </w:rPr>
        <w:t xml:space="preserve"> </w:t>
      </w:r>
      <w:r w:rsidR="006E0874" w:rsidRPr="00DD47DF">
        <w:t>schválený vládou ČR v červnu 2014</w:t>
      </w:r>
      <w:r w:rsidR="00BA7741" w:rsidRPr="00DD47DF">
        <w:rPr>
          <w:rStyle w:val="Znakapoznpodarou"/>
        </w:rPr>
        <w:footnoteReference w:id="78"/>
      </w:r>
      <w:r w:rsidR="00FA33B7" w:rsidRPr="00DD47DF">
        <w:t xml:space="preserve">. Metodický pokyn pokrývá problematiku nastavení administrativní kapacity </w:t>
      </w:r>
      <w:r w:rsidR="007300F9" w:rsidRPr="00DD47DF">
        <w:t xml:space="preserve">a vychází z </w:t>
      </w:r>
      <w:r w:rsidR="00FA33B7" w:rsidRPr="00DD47DF">
        <w:t>analýz</w:t>
      </w:r>
      <w:r w:rsidR="007300F9" w:rsidRPr="00DD47DF">
        <w:t>y</w:t>
      </w:r>
      <w:r w:rsidR="00FA33B7" w:rsidRPr="00DD47DF">
        <w:t xml:space="preserve"> administrativní kapacity v programovém období 2007 - 2013. Cílem opatření v Metodickém pokynu je </w:t>
      </w:r>
      <w:r w:rsidR="00BA7741" w:rsidRPr="00DD47DF">
        <w:t xml:space="preserve">vytvoření ucelené metodiky rozvoje lidských zdrojů v rámci implementační struktury fondů EU, </w:t>
      </w:r>
      <w:r w:rsidR="00FA33B7" w:rsidRPr="00DD47DF">
        <w:t xml:space="preserve">stabilizace </w:t>
      </w:r>
      <w:r w:rsidR="00BA7741" w:rsidRPr="00DD47DF">
        <w:t xml:space="preserve">a motivace </w:t>
      </w:r>
      <w:r w:rsidR="00FA33B7" w:rsidRPr="00DD47DF">
        <w:t>zaměstnanců</w:t>
      </w:r>
      <w:r w:rsidR="007300F9" w:rsidRPr="00DD47DF">
        <w:t xml:space="preserve"> </w:t>
      </w:r>
      <w:r w:rsidR="00BA7741" w:rsidRPr="00DD47DF">
        <w:t>v návaznosti na potřeby jejich odborného růstu a zvyšování znalostí a dovedností prostřednictvím finanční i nefinanční motivace,</w:t>
      </w:r>
      <w:r w:rsidR="007300F9" w:rsidRPr="00DD47DF">
        <w:t xml:space="preserve"> </w:t>
      </w:r>
      <w:r w:rsidR="00FA33B7" w:rsidRPr="00DD47DF">
        <w:t xml:space="preserve">snižování fluktuace, </w:t>
      </w:r>
      <w:r w:rsidR="00BA7741" w:rsidRPr="00DD47DF">
        <w:t xml:space="preserve">vytvoření systému vzdělávání odpovídajícímu potřebám pro výkon funkce na pozicích popsaných v řídicích dokumentech programů, řízení a koordinace DoP/NSRR, který zajistí podmínky pro prosazování principu transparentnosti a protikorupčního jednání, v neposlední řadě také zajištění transparentního </w:t>
      </w:r>
      <w:r w:rsidR="00FA33B7" w:rsidRPr="00DD47DF">
        <w:t>výběr</w:t>
      </w:r>
      <w:r w:rsidR="00BA7741" w:rsidRPr="00DD47DF">
        <w:t>u</w:t>
      </w:r>
      <w:r w:rsidR="00FA33B7" w:rsidRPr="00DD47DF">
        <w:t xml:space="preserve"> kvalifikovaných zaměstnanců </w:t>
      </w:r>
      <w:r w:rsidR="00BA7741" w:rsidRPr="00DD47DF">
        <w:t xml:space="preserve">se zřetelem na obsazování manažerských pozic a s ohledem na zajištění rovných příležitostí a nediskriminaci uchazečů </w:t>
      </w:r>
      <w:r w:rsidR="00FA33B7" w:rsidRPr="00DD47DF">
        <w:t>a nastavení pravidel odměňování</w:t>
      </w:r>
      <w:r w:rsidR="007300F9" w:rsidRPr="00DD47DF">
        <w:t xml:space="preserve"> zaměstnanců</w:t>
      </w:r>
      <w:r w:rsidR="00FA33B7" w:rsidRPr="00DD47DF">
        <w:t>.</w:t>
      </w:r>
      <w:r w:rsidR="002C1372" w:rsidRPr="00DD47DF">
        <w:t xml:space="preserve"> Výhodou ŘO je nízká míra fluktuace (v roce 2013 méně než 10%) a udržování tzv. institucionální paměti, kdy se na přípravě OP PIK podílejí pracovníci, kteří mají zkušenost s přípravou OPPP a OPPI.</w:t>
      </w:r>
    </w:p>
    <w:p w14:paraId="70199AF9" w14:textId="77777777" w:rsidR="008525FB" w:rsidRPr="00DD47DF" w:rsidRDefault="008525FB" w:rsidP="00284818">
      <w:pPr>
        <w:pStyle w:val="Standardntext"/>
      </w:pPr>
      <w:r w:rsidRPr="00DD47DF">
        <w:t>Pokud jde o předpokládaný nárůst počtu zaměstnanců v souvislosti s postupným náběhem implementace OP PIK</w:t>
      </w:r>
      <w:r w:rsidR="00D9644E" w:rsidRPr="00DD47DF">
        <w:t xml:space="preserve"> (zhruba o 13 % dle provedené analýzy administrativní kapacity</w:t>
      </w:r>
      <w:r w:rsidR="000F38A4" w:rsidRPr="00DD47DF">
        <w:rPr>
          <w:rStyle w:val="Znakapoznpodarou"/>
        </w:rPr>
        <w:footnoteReference w:id="79"/>
      </w:r>
      <w:r w:rsidR="00D9644E" w:rsidRPr="00DD47DF">
        <w:t>)</w:t>
      </w:r>
      <w:r w:rsidRPr="00DD47DF">
        <w:t>, je potřeba uvést, že</w:t>
      </w:r>
      <w:r w:rsidR="00781A90" w:rsidRPr="00DD47DF">
        <w:t xml:space="preserve"> budou posilováni zejména odborní interní hodnotitelé projektů pro jednotlivé prioritní osy (při souběžném výrazném omezení externích hodnotitelů prakticky jen na případy nezbytného ad-hoc vyžádání externího posudku ve zcela specifických oblastech, kde interní hodnotitel nebude schopen daný projekt odborně posoudit), posílena bude také kapacita kontrolorů u Řídícího orgánu OP PIK, zejména ve vztahu k ex-ante kontrole zadávacích řízení pro následná výběrová řízení konaná podle pravidel pro výběr dodavatelů, s cílem zamezit budoucím nesrovnalostem.</w:t>
      </w:r>
      <w:r w:rsidR="00BA7741" w:rsidRPr="00DD47DF">
        <w:t xml:space="preserve"> Předpokládaný počet zaměstnanců implementační struktury je 350, kteří budou rovnoměrně rozděleni mezi Řídící orgán a Zprostředkující subjekt.</w:t>
      </w:r>
    </w:p>
    <w:p w14:paraId="215B2597" w14:textId="77777777" w:rsidR="000E7F90" w:rsidRPr="00DD47DF" w:rsidRDefault="000E7F90" w:rsidP="000E7F90">
      <w:pPr>
        <w:pStyle w:val="Standardntext"/>
      </w:pPr>
      <w:r w:rsidRPr="00DD47DF">
        <w:t>(ii) Veřejné zakázky</w:t>
      </w:r>
      <w:r w:rsidR="007300F9" w:rsidRPr="00DD47DF">
        <w:t>,</w:t>
      </w:r>
      <w:r w:rsidRPr="00DD47DF">
        <w:t xml:space="preserve"> outsourcing služeb: Nebudou outsourcovány služby </w:t>
      </w:r>
      <w:r w:rsidR="007300F9" w:rsidRPr="00DD47DF">
        <w:t xml:space="preserve">typu </w:t>
      </w:r>
      <w:r w:rsidRPr="00DD47DF">
        <w:t xml:space="preserve">externí spolupráce na výkonu kontrol, právní poradenství, řídící orgán si je ponechá ve své kompetenci. Je potřeba zohlednit skutečnost, že řídící orgán nemá administrativní a odbornou kapacitu, aby od outsourcování některých služeb mohl plně odstoupit. Zadávány budou pouze vysoce specializované zakázky v oblastech, které není schopen řídící orgán pokrýt vlastní administrativou. V oblasti publicity budou zakázky zadávány dle finančních limitů v souladu se zákonem o veřejných zakázkách. Kontrolní činnost nebude outsourcována. </w:t>
      </w:r>
    </w:p>
    <w:p w14:paraId="40BDD152" w14:textId="77777777" w:rsidR="000E7F90" w:rsidRPr="00DD47DF" w:rsidRDefault="000E7F90" w:rsidP="000E7F90">
      <w:pPr>
        <w:pStyle w:val="Standardntext"/>
      </w:pPr>
      <w:r w:rsidRPr="00DD47DF">
        <w:t>(i</w:t>
      </w:r>
      <w:r w:rsidR="00CB2164" w:rsidRPr="00DD47DF">
        <w:t>ii</w:t>
      </w:r>
      <w:r w:rsidRPr="00DD47DF">
        <w:t>) Řízení a administrace programu, zejména opatření v oblasti elektronické administrace projektů (</w:t>
      </w:r>
      <w:r w:rsidRPr="00DD47DF">
        <w:rPr>
          <w:szCs w:val="22"/>
        </w:rPr>
        <w:t>systém elektronického podávání žádostí s cílem jednodušších administrativních úkonů u řídícího orgánu a žadatelů a příjemců), optimalizace administrativních procesů, plánování a vyhlašování výzev.</w:t>
      </w:r>
    </w:p>
    <w:p w14:paraId="4D140ADC" w14:textId="77777777" w:rsidR="000E7F90" w:rsidRPr="00DD47DF" w:rsidRDefault="000E7F90" w:rsidP="000E7F90">
      <w:pPr>
        <w:pStyle w:val="Modrnadpis"/>
      </w:pPr>
      <w:r w:rsidRPr="00DD47DF">
        <w:t>SPECIFICKÝ CÍL 5.2: Zajištění informovanosti, publicity a absorpční kapacity operačního programu</w:t>
      </w:r>
    </w:p>
    <w:p w14:paraId="14F16C1F" w14:textId="77777777" w:rsidR="0049001E" w:rsidRPr="00DD47DF" w:rsidRDefault="0049001E" w:rsidP="000E7F90">
      <w:pPr>
        <w:pStyle w:val="Standardntext"/>
        <w:rPr>
          <w:b/>
        </w:rPr>
      </w:pPr>
      <w:r w:rsidRPr="00DD47DF">
        <w:t xml:space="preserve">Řídicí orgán je odpovědný za zajištění propagace podpory a zejména za to, že budou informováni potenciální příjemci / uživatelé, obchodní a profesní subjekty, hospodářští a </w:t>
      </w:r>
      <w:r w:rsidRPr="00DD47DF">
        <w:lastRenderedPageBreak/>
        <w:t>sociální partneři o možnostech, které podpora nabízí, a veřejnost o úloze, kterou hraje Evropská unie v dotyčné pomoci a o jejích výsledcích.</w:t>
      </w:r>
    </w:p>
    <w:p w14:paraId="0CCD9EB5" w14:textId="77777777" w:rsidR="000E7F90" w:rsidRPr="00DD47DF" w:rsidRDefault="005D5EB8" w:rsidP="000E7F90">
      <w:pPr>
        <w:pStyle w:val="Standardntext"/>
        <w:rPr>
          <w:b/>
        </w:rPr>
      </w:pPr>
      <w:r w:rsidRPr="00DD47DF">
        <w:rPr>
          <w:b/>
        </w:rPr>
        <w:t>Podporované aktivity</w:t>
      </w:r>
      <w:r w:rsidR="000E7F90" w:rsidRPr="00DD47DF">
        <w:rPr>
          <w:b/>
        </w:rPr>
        <w:t xml:space="preserve">: </w:t>
      </w:r>
    </w:p>
    <w:p w14:paraId="474E3722" w14:textId="77777777" w:rsidR="000E7F90" w:rsidRPr="00DD47DF" w:rsidRDefault="0049001E" w:rsidP="0049001E">
      <w:pPr>
        <w:pStyle w:val="Standardntext"/>
        <w:numPr>
          <w:ilvl w:val="0"/>
          <w:numId w:val="29"/>
        </w:numPr>
      </w:pPr>
      <w:r w:rsidRPr="00DD47DF">
        <w:t>Zajištění informovanosti příjemců podpory a široké, především podnikatelské veřejnosti </w:t>
      </w:r>
    </w:p>
    <w:p w14:paraId="1EA5E1BB" w14:textId="77777777" w:rsidR="0049001E" w:rsidRPr="00DD47DF" w:rsidRDefault="0049001E" w:rsidP="0049001E">
      <w:pPr>
        <w:pStyle w:val="Standardntext"/>
        <w:numPr>
          <w:ilvl w:val="0"/>
          <w:numId w:val="29"/>
        </w:numPr>
      </w:pPr>
      <w:r w:rsidRPr="00DD47DF">
        <w:t>komunikace s příjemci podpory a veřejností</w:t>
      </w:r>
    </w:p>
    <w:p w14:paraId="5CD17642" w14:textId="77777777" w:rsidR="000E7F90" w:rsidRPr="00DD47DF" w:rsidRDefault="000E7F90" w:rsidP="000E7F90">
      <w:pPr>
        <w:pStyle w:val="Standardntext"/>
        <w:numPr>
          <w:ilvl w:val="0"/>
          <w:numId w:val="29"/>
        </w:numPr>
      </w:pPr>
      <w:r w:rsidRPr="00DD47DF">
        <w:t>vypracování výzkumných studií a šetření zaměřených na další rozvoj programu</w:t>
      </w:r>
    </w:p>
    <w:p w14:paraId="6AB2AC13" w14:textId="77777777" w:rsidR="0049001E" w:rsidRPr="00DD47DF" w:rsidRDefault="000E7F90" w:rsidP="000E7F90">
      <w:pPr>
        <w:pStyle w:val="Standardntext"/>
        <w:numPr>
          <w:ilvl w:val="0"/>
          <w:numId w:val="29"/>
        </w:numPr>
      </w:pPr>
      <w:r w:rsidRPr="00DD47DF">
        <w:t>propagace programu na veřejnosti</w:t>
      </w:r>
      <w:r w:rsidR="0049001E" w:rsidRPr="00DD47DF">
        <w:t xml:space="preserve"> prostřednictvím</w:t>
      </w:r>
      <w:r w:rsidRPr="00DD47DF">
        <w:t xml:space="preserve"> seminář</w:t>
      </w:r>
      <w:r w:rsidR="0049001E" w:rsidRPr="00DD47DF">
        <w:t>ů</w:t>
      </w:r>
      <w:r w:rsidRPr="00DD47DF">
        <w:t>, informační</w:t>
      </w:r>
      <w:r w:rsidR="0049001E" w:rsidRPr="00DD47DF">
        <w:t>ch</w:t>
      </w:r>
      <w:r w:rsidRPr="00DD47DF">
        <w:t xml:space="preserve"> akc</w:t>
      </w:r>
      <w:r w:rsidR="0049001E" w:rsidRPr="00DD47DF">
        <w:t>í</w:t>
      </w:r>
      <w:r w:rsidRPr="00DD47DF">
        <w:t>, komunikace</w:t>
      </w:r>
      <w:r w:rsidR="0049001E" w:rsidRPr="00DD47DF">
        <w:t xml:space="preserve"> přes média</w:t>
      </w:r>
    </w:p>
    <w:p w14:paraId="63803688" w14:textId="77777777" w:rsidR="000E7F90" w:rsidRPr="00DD47DF" w:rsidRDefault="0049001E" w:rsidP="000E7F90">
      <w:pPr>
        <w:pStyle w:val="Standardntext"/>
        <w:numPr>
          <w:ilvl w:val="0"/>
          <w:numId w:val="29"/>
        </w:numPr>
      </w:pPr>
      <w:r w:rsidRPr="00DD47DF">
        <w:t xml:space="preserve">zajištění </w:t>
      </w:r>
      <w:r w:rsidR="000E7F90" w:rsidRPr="00DD47DF">
        <w:t>publicit</w:t>
      </w:r>
      <w:r w:rsidRPr="00DD47DF">
        <w:t>y programu prostřednictvím vhodných propagačních materiálů</w:t>
      </w:r>
    </w:p>
    <w:p w14:paraId="48B8F33F" w14:textId="77777777" w:rsidR="000E7F90" w:rsidRPr="00DD47DF" w:rsidRDefault="000E7F90" w:rsidP="000E7F90">
      <w:pPr>
        <w:pStyle w:val="Standardntext"/>
        <w:numPr>
          <w:ilvl w:val="0"/>
          <w:numId w:val="29"/>
        </w:numPr>
      </w:pPr>
      <w:r w:rsidRPr="00DD47DF">
        <w:t>výměna zkušeností, best practises, networking</w:t>
      </w:r>
    </w:p>
    <w:p w14:paraId="7A588AAE" w14:textId="77777777" w:rsidR="000E7F90" w:rsidRPr="00DD47DF" w:rsidRDefault="000E7F90" w:rsidP="000E7F90">
      <w:pPr>
        <w:pStyle w:val="Standardntext"/>
        <w:numPr>
          <w:ilvl w:val="0"/>
          <w:numId w:val="29"/>
        </w:numPr>
      </w:pPr>
      <w:r w:rsidRPr="00DD47DF">
        <w:t>vypracování evalua</w:t>
      </w:r>
      <w:r w:rsidR="005D5EB8" w:rsidRPr="00DD47DF">
        <w:t>cí</w:t>
      </w:r>
      <w:r w:rsidRPr="00DD47DF">
        <w:t xml:space="preserve"> dle čl. 54-57 obecného nařízení, realizace Evaluačního plánu </w:t>
      </w:r>
      <w:r w:rsidR="005D5EB8" w:rsidRPr="00DD47DF">
        <w:t>OP PIK</w:t>
      </w:r>
      <w:r w:rsidRPr="00DD47DF">
        <w:t>, podpůrných studií a analýz</w:t>
      </w:r>
    </w:p>
    <w:p w14:paraId="31CD2A66" w14:textId="77777777" w:rsidR="000E7F90" w:rsidRPr="00DD47DF" w:rsidRDefault="000E7F90" w:rsidP="000E7F90">
      <w:pPr>
        <w:pStyle w:val="Standardntext"/>
        <w:numPr>
          <w:ilvl w:val="0"/>
          <w:numId w:val="29"/>
        </w:numPr>
      </w:pPr>
      <w:r w:rsidRPr="00DD47DF">
        <w:t>opatření ke snižování administrativní zátěže žadatelů, příjemců a subjektů implementační struktury, poradenství žadatelům vedoucí ke zvyšování absorpční kapacity programu</w:t>
      </w:r>
    </w:p>
    <w:p w14:paraId="26E06831" w14:textId="77777777" w:rsidR="000E7F90" w:rsidRPr="00DD47DF" w:rsidRDefault="000E7F90" w:rsidP="000E7F90">
      <w:pPr>
        <w:pStyle w:val="Standardntext"/>
        <w:numPr>
          <w:ilvl w:val="0"/>
          <w:numId w:val="29"/>
        </w:numPr>
      </w:pPr>
      <w:r w:rsidRPr="00DD47DF">
        <w:t>konzultační služby a poradenství žadatelům a potenciálním příjemcům při přípravě projektů</w:t>
      </w:r>
    </w:p>
    <w:p w14:paraId="0A09F12D" w14:textId="77777777" w:rsidR="000E7F90" w:rsidRPr="00DD47DF" w:rsidRDefault="000E7F90" w:rsidP="000E7F90">
      <w:pPr>
        <w:pStyle w:val="Standardntext"/>
        <w:numPr>
          <w:ilvl w:val="0"/>
          <w:numId w:val="29"/>
        </w:numPr>
      </w:pPr>
      <w:r w:rsidRPr="00DD47DF">
        <w:t>pilotní projekty a hodnocení</w:t>
      </w:r>
    </w:p>
    <w:p w14:paraId="3A7608DD" w14:textId="77777777" w:rsidR="000E7F90" w:rsidRPr="00DD47DF" w:rsidRDefault="000E7F90" w:rsidP="000E7F90">
      <w:pPr>
        <w:pStyle w:val="Standardntext"/>
        <w:numPr>
          <w:ilvl w:val="0"/>
          <w:numId w:val="29"/>
        </w:numPr>
      </w:pPr>
      <w:r w:rsidRPr="00DD47DF">
        <w:t>příprava programových dokumentů pro programovací období 2021+, vč. ex-ante hodnocení a hodnocení SEA</w:t>
      </w:r>
    </w:p>
    <w:p w14:paraId="5D3EE4FE" w14:textId="77777777" w:rsidR="000E7F90" w:rsidRPr="00DD47DF" w:rsidRDefault="000E7F90" w:rsidP="000E7F90">
      <w:pPr>
        <w:pStyle w:val="Standardntext"/>
      </w:pPr>
      <w:r w:rsidRPr="00DD47DF">
        <w:rPr>
          <w:u w:val="single"/>
        </w:rPr>
        <w:t xml:space="preserve">Vybrané oblasti </w:t>
      </w:r>
      <w:r w:rsidR="005D5EB8" w:rsidRPr="00DD47DF">
        <w:rPr>
          <w:u w:val="single"/>
        </w:rPr>
        <w:t>SC 5.2</w:t>
      </w:r>
      <w:r w:rsidRPr="00DD47DF">
        <w:rPr>
          <w:u w:val="single"/>
        </w:rPr>
        <w:t xml:space="preserve"> v kontextu vyhodnocení zkušeností z implementace OPPI</w:t>
      </w:r>
      <w:r w:rsidRPr="00DD47DF">
        <w:t xml:space="preserve"> (dále </w:t>
      </w:r>
      <w:r w:rsidR="001A4D0A" w:rsidRPr="00DD47DF">
        <w:t xml:space="preserve">Nepovinná </w:t>
      </w:r>
      <w:r w:rsidRPr="00DD47DF">
        <w:t>příloha č. 1):</w:t>
      </w:r>
    </w:p>
    <w:p w14:paraId="50E3D4E4" w14:textId="77777777" w:rsidR="00024756" w:rsidRPr="00DD47DF" w:rsidRDefault="000E7F90" w:rsidP="000E7F90">
      <w:pPr>
        <w:pStyle w:val="Standardntext"/>
      </w:pPr>
      <w:r w:rsidRPr="00DD47DF">
        <w:t xml:space="preserve">(i) Informovanost veřejnosti: </w:t>
      </w:r>
      <w:r w:rsidR="00024756" w:rsidRPr="00DD47DF">
        <w:t>Výhodou rozdělení cílových skupin komunikační strategie OPPI ve vztahu k informovanosti veřejnosti byl jeho záběr a zapojení širokého spektra zainteresovaných stran. Tyto prvky  je proto vhodné převzít. Nevýhodou pak bylo nastavení cílových skupin, které se často překrývaly a jejich vymezení bylo nejasné, kdy mezi cílovými skupinami nebyla stanovena prioritizace a celkově lze říci, že cílové skupiny byly velmi obecné. Rovněž nebylo vysvětleno, na jakém základě byly segmentům přiřazeny jednotlivé kanály a stupeň jejich důležitosti.</w:t>
      </w:r>
    </w:p>
    <w:p w14:paraId="4F6B08E4" w14:textId="77777777" w:rsidR="000E7F90" w:rsidRPr="00DD47DF" w:rsidRDefault="00024756" w:rsidP="000E7F90">
      <w:pPr>
        <w:pStyle w:val="Standardntext"/>
      </w:pPr>
      <w:r w:rsidRPr="00DD47DF">
        <w:t>Cílem tak bude z</w:t>
      </w:r>
      <w:r w:rsidR="000E7F90" w:rsidRPr="00DD47DF">
        <w:t>kvalitnit medializaci a cílení informačních a komunikačních kampaní. Nerealizovat příliš obecné a rozsáhlé kampaně, nýbrž kampaně cílit přímo na potenciální žadatele a příjemce, a to prostřednictvím přímých kontaktů. K publicitě programu patří informace o úspěšných projektech, informace o administraci projektů, úspěšnosti podaných žádostí. V omezené míře bude přistupováno k placené inzerci v tisku a médiích. V návaznosti na centrální OPTP bude technická pomoc OP PIK spoluvytvářet Společnou komunikační strategii.</w:t>
      </w:r>
      <w:r w:rsidR="00BA4E72" w:rsidRPr="00DD47DF">
        <w:t xml:space="preserve"> </w:t>
      </w:r>
    </w:p>
    <w:p w14:paraId="5840F967" w14:textId="77777777" w:rsidR="00BA7741" w:rsidRPr="00DD47DF" w:rsidRDefault="00024756" w:rsidP="000E7F90">
      <w:pPr>
        <w:pStyle w:val="Standardntext"/>
      </w:pPr>
      <w:r w:rsidRPr="00DD47DF">
        <w:t xml:space="preserve"> </w:t>
      </w:r>
      <w:r w:rsidR="000E7F90" w:rsidRPr="00DD47DF">
        <w:t xml:space="preserve">(ii) Protikorupční opatření: Veřejnost má mnohdy negativní povědomí o fondech EU a dosažených výsledcích, neboť si často tuto problematiku spojuje s podvody a korupcí. Česká republika přijala Strategii pro boj s podvody a korupcí a pro její naplnění byl připraven Akční </w:t>
      </w:r>
      <w:r w:rsidR="000E7F90" w:rsidRPr="00DD47DF">
        <w:lastRenderedPageBreak/>
        <w:t>plán. Řídící orgán OP PIK se bude řídit touto strategií, resp. Akčním plánem.</w:t>
      </w:r>
      <w:r w:rsidR="00FA33B7" w:rsidRPr="00DD47DF">
        <w:t xml:space="preserve"> Nad rámec tohoto Akčního plánu </w:t>
      </w:r>
      <w:r w:rsidR="005D5EB8" w:rsidRPr="00DD47DF">
        <w:t xml:space="preserve">postupuje </w:t>
      </w:r>
      <w:r w:rsidR="00FA33B7" w:rsidRPr="00DD47DF">
        <w:t xml:space="preserve">Řídící orgán </w:t>
      </w:r>
      <w:r w:rsidR="005D5EB8" w:rsidRPr="00DD47DF">
        <w:t xml:space="preserve">OP PIK </w:t>
      </w:r>
      <w:r w:rsidR="00FA33B7" w:rsidRPr="00DD47DF">
        <w:t>v souladu s Interním protikorupčním programem M</w:t>
      </w:r>
      <w:r w:rsidR="005D5EB8" w:rsidRPr="00DD47DF">
        <w:t>PO</w:t>
      </w:r>
      <w:r w:rsidR="00FA33B7" w:rsidRPr="00DD47DF">
        <w:t xml:space="preserve">. Cílem protikorupčního programu je odstranit nebo v maximální možné míře omezit předpoklady pro vznik korupčního jednání v rámci MPO. </w:t>
      </w:r>
      <w:r w:rsidR="00BA7741" w:rsidRPr="00DD47DF">
        <w:t>Mezi konkrétní protikorupční opatření na straně ŘO patří a) zapracování prvků bránících vzniku korupčního prostředí (výběrová řízení, rozhodování více osobami, jednoznačný a jednotný výklad sporných zákonných ustanovení, vyloučení střetu zájmů a možné podjatosti, kontrolní mechanismy aj.) do systému řízení formou interních předpisů, b) důsledné provádění kontroly jejich aktuálnosti a dodržování, c) jednoznačné určení kompetencí - vymezení pravomocí a odpovědností za činnosti s možným korupčním jednáním, d) proškolování zaměstnanců, e) poskytování maxima možných informací o rozhodovacích procesech v implementační struktuře veřejnosti, f) zajištění otevřeného a rovného přístupu k informacím a g) důsledné prošetřování podnětů signalizujících podezření na korupci.</w:t>
      </w:r>
    </w:p>
    <w:p w14:paraId="4FACD7CF" w14:textId="77777777" w:rsidR="000E7F90" w:rsidRPr="00DD47DF" w:rsidRDefault="000E79E7" w:rsidP="000E7F90">
      <w:pPr>
        <w:pStyle w:val="Standardntext"/>
      </w:pPr>
      <w:r w:rsidRPr="00DD47DF">
        <w:t>ŘO OP PIK zohlední při implementaci operačního programu etický kodex a zajistí seznámení s ním všech zaměstnanců implementační struktury a členů Monitorovacího výboru OP PIK, kteří jej podepíší společně s čestným prohlášením  vylučujícím korupční jednání z jejich strany.</w:t>
      </w:r>
      <w:r w:rsidR="002C1372" w:rsidRPr="00DD47DF">
        <w:rPr>
          <w:rStyle w:val="Znakapoznpodarou"/>
        </w:rPr>
        <w:footnoteReference w:id="80"/>
      </w:r>
    </w:p>
    <w:p w14:paraId="34DFEF8D" w14:textId="77777777" w:rsidR="00597E55" w:rsidRPr="00DD47DF" w:rsidRDefault="00597E55" w:rsidP="000E7F90">
      <w:pPr>
        <w:pStyle w:val="Standardntext"/>
      </w:pPr>
      <w:r w:rsidRPr="00DD47DF">
        <w:t>ŘO OP PIK bude i nadále využívat nástroje Arachne, který odkrývá vlastnickou strukturu potencionálních žadatelů a předchází tak případnému střetu zájmů.</w:t>
      </w:r>
    </w:p>
    <w:p w14:paraId="0DF5B56A" w14:textId="77777777" w:rsidR="000E7F90" w:rsidRPr="00DD47DF" w:rsidRDefault="000E7F90" w:rsidP="004A282B">
      <w:pPr>
        <w:pStyle w:val="Standardntext"/>
        <w:keepNext/>
        <w:keepLines/>
        <w:rPr>
          <w:b/>
        </w:rPr>
      </w:pPr>
      <w:r w:rsidRPr="00DD47DF">
        <w:rPr>
          <w:b/>
        </w:rPr>
        <w:t>Vazby mezi OPTP a OP PIK:</w:t>
      </w:r>
      <w:r w:rsidR="00BA4E72" w:rsidRPr="00DD47DF">
        <w:rPr>
          <w:b/>
        </w:rPr>
        <w:t xml:space="preserve"> </w:t>
      </w:r>
    </w:p>
    <w:p w14:paraId="263D5809" w14:textId="77777777" w:rsidR="000E7F90" w:rsidRPr="00DD47DF" w:rsidRDefault="000E7F90" w:rsidP="004A282B">
      <w:pPr>
        <w:pStyle w:val="Standardntext"/>
        <w:keepNext/>
        <w:keepLines/>
      </w:pPr>
      <w:r w:rsidRPr="00DD47DF">
        <w:t xml:space="preserve">V návaznosti na OPTP bude OP PIK spoluvytvářet Společnou komunikační strategii. Komunikační aktivity nebudou roztříštěné, ale cílené efektivně dle charakteru cílové skupiny. Z OPTP bude řízen jednotný metodický přístup. Mzdové prostředky pracovníků implementační struktury OP PIK budou hrazeny z technické pomoci programu, stejně jako část vzdělávání. Obecné vzdělávání zaměstnanců implementujících ESI fondy bude hrazeno i z OPTP. </w:t>
      </w:r>
      <w:r w:rsidR="00E35B78" w:rsidRPr="00DD47DF">
        <w:t>Jedná se zejména o vzdělávání potřebná napříč operačními programy, jako jsou legislativní školení, např. veřejné zakázky. Z </w:t>
      </w:r>
      <w:r w:rsidR="005D5EB8" w:rsidRPr="00DD47DF">
        <w:t>technické pomoci</w:t>
      </w:r>
      <w:r w:rsidR="00E35B78" w:rsidRPr="00DD47DF">
        <w:t xml:space="preserve"> OP</w:t>
      </w:r>
      <w:r w:rsidR="00870B7F" w:rsidRPr="00DD47DF">
        <w:t xml:space="preserve"> </w:t>
      </w:r>
      <w:r w:rsidR="00E35B78" w:rsidRPr="00DD47DF">
        <w:t xml:space="preserve">PIK budou hrazena školení zaměřená specificky na potřeby žadatelů v programu, a to s ohledem na zajištění </w:t>
      </w:r>
      <w:r w:rsidR="005D5EB8" w:rsidRPr="00DD47DF">
        <w:t xml:space="preserve">jeho </w:t>
      </w:r>
      <w:r w:rsidR="00E35B78" w:rsidRPr="00DD47DF">
        <w:t>bezproblémové</w:t>
      </w:r>
      <w:r w:rsidR="005D5EB8" w:rsidRPr="00DD47DF">
        <w:t>ho</w:t>
      </w:r>
      <w:r w:rsidR="00E35B78" w:rsidRPr="00DD47DF">
        <w:t xml:space="preserve"> čerpání </w:t>
      </w:r>
      <w:r w:rsidR="005D5EB8" w:rsidRPr="00DD47DF">
        <w:t>(</w:t>
      </w:r>
      <w:r w:rsidR="00E35B78" w:rsidRPr="00DD47DF">
        <w:t>např. školení na žádosti o platbu</w:t>
      </w:r>
      <w:r w:rsidR="005D5EB8" w:rsidRPr="00DD47DF">
        <w:t>)</w:t>
      </w:r>
      <w:r w:rsidR="00E35B78" w:rsidRPr="00DD47DF">
        <w:t xml:space="preserve">. </w:t>
      </w:r>
      <w:r w:rsidRPr="00DD47DF">
        <w:t>Publicita bude jak společná (hrazená z OPTP, společná strategie, obecné a rozsáhlejší komunikační kampaně), tak specifická pro OP PIK hrazená z technické pomoci OP PIK. Publicita OP PIK, návrhy ročních komunikačních plánů budou schvalovány ze strany ŘO OPTP. Koordinace implementace technické pomoci programu s OPTP probíhá prostřednictvím PS pro informovanost a publicitu.</w:t>
      </w:r>
    </w:p>
    <w:p w14:paraId="1A671169" w14:textId="77777777" w:rsidR="000E7F90" w:rsidRPr="00DD47DF" w:rsidRDefault="000E7F90" w:rsidP="000E7F90">
      <w:pPr>
        <w:spacing w:after="120"/>
        <w:jc w:val="both"/>
        <w:rPr>
          <w:rFonts w:cs="Calibri"/>
          <w:sz w:val="24"/>
          <w:szCs w:val="24"/>
        </w:rPr>
      </w:pPr>
      <w:r w:rsidRPr="00DD47DF">
        <w:rPr>
          <w:rFonts w:cs="Calibri"/>
          <w:b/>
          <w:sz w:val="24"/>
          <w:szCs w:val="24"/>
        </w:rPr>
        <w:t xml:space="preserve">Příjemci podpory </w:t>
      </w:r>
      <w:r w:rsidRPr="00DD47DF">
        <w:rPr>
          <w:rFonts w:cs="Calibri"/>
          <w:sz w:val="24"/>
          <w:szCs w:val="24"/>
        </w:rPr>
        <w:t>v </w:t>
      </w:r>
      <w:r w:rsidR="00E35B78" w:rsidRPr="00DD47DF">
        <w:rPr>
          <w:rFonts w:cs="Calibri"/>
          <w:sz w:val="24"/>
          <w:szCs w:val="24"/>
        </w:rPr>
        <w:t>PO</w:t>
      </w:r>
      <w:r w:rsidR="005D5EB8" w:rsidRPr="00DD47DF">
        <w:rPr>
          <w:rFonts w:cs="Calibri"/>
          <w:sz w:val="24"/>
          <w:szCs w:val="24"/>
        </w:rPr>
        <w:t xml:space="preserve"> 5:</w:t>
      </w:r>
      <w:r w:rsidRPr="00DD47DF">
        <w:rPr>
          <w:rFonts w:cs="Calibri"/>
          <w:sz w:val="24"/>
          <w:szCs w:val="24"/>
        </w:rPr>
        <w:t xml:space="preserve"> Říd</w:t>
      </w:r>
      <w:r w:rsidR="00870B7F" w:rsidRPr="00DD47DF">
        <w:rPr>
          <w:rFonts w:cs="Calibri"/>
          <w:sz w:val="24"/>
          <w:szCs w:val="24"/>
        </w:rPr>
        <w:t>í</w:t>
      </w:r>
      <w:r w:rsidRPr="00DD47DF">
        <w:rPr>
          <w:rFonts w:cs="Calibri"/>
          <w:sz w:val="24"/>
          <w:szCs w:val="24"/>
        </w:rPr>
        <w:t>cí orgán OP PIK</w:t>
      </w:r>
      <w:r w:rsidR="00F229AC" w:rsidRPr="00DD47DF">
        <w:rPr>
          <w:rFonts w:cs="Calibri"/>
          <w:sz w:val="24"/>
          <w:szCs w:val="24"/>
        </w:rPr>
        <w:t xml:space="preserve">, </w:t>
      </w:r>
      <w:r w:rsidRPr="00DD47DF">
        <w:rPr>
          <w:rFonts w:cs="Calibri"/>
          <w:sz w:val="24"/>
          <w:szCs w:val="24"/>
        </w:rPr>
        <w:t xml:space="preserve">zprostředkující subjekt </w:t>
      </w:r>
      <w:r w:rsidR="00F229AC" w:rsidRPr="00DD47DF">
        <w:rPr>
          <w:rFonts w:cs="Calibri"/>
          <w:sz w:val="24"/>
          <w:szCs w:val="24"/>
        </w:rPr>
        <w:t xml:space="preserve">(charakterizován v tab. 23, kapitole 7.1). </w:t>
      </w:r>
      <w:r w:rsidRPr="00DD47DF">
        <w:rPr>
          <w:rFonts w:cs="Calibri"/>
          <w:sz w:val="24"/>
          <w:szCs w:val="24"/>
        </w:rPr>
        <w:t xml:space="preserve"> </w:t>
      </w:r>
    </w:p>
    <w:p w14:paraId="7F13AF33" w14:textId="77777777" w:rsidR="000E7F90" w:rsidRPr="00DD47DF" w:rsidRDefault="000E7F90" w:rsidP="000E7F90">
      <w:pPr>
        <w:spacing w:after="120"/>
        <w:jc w:val="both"/>
        <w:rPr>
          <w:rFonts w:cs="Calibri"/>
          <w:b/>
          <w:sz w:val="24"/>
          <w:szCs w:val="24"/>
        </w:rPr>
      </w:pPr>
      <w:r w:rsidRPr="00DD47DF">
        <w:rPr>
          <w:rFonts w:cs="Calibri"/>
          <w:b/>
          <w:sz w:val="24"/>
          <w:szCs w:val="24"/>
        </w:rPr>
        <w:t>Monitoring technické pomoci:</w:t>
      </w:r>
    </w:p>
    <w:p w14:paraId="3135315D" w14:textId="77777777" w:rsidR="000E7F90" w:rsidRPr="00DD47DF" w:rsidRDefault="00E1181F" w:rsidP="000E7F90">
      <w:pPr>
        <w:spacing w:after="120"/>
        <w:jc w:val="both"/>
        <w:rPr>
          <w:rFonts w:cs="Calibri"/>
          <w:sz w:val="24"/>
          <w:szCs w:val="24"/>
        </w:rPr>
      </w:pPr>
      <w:r w:rsidRPr="00DD47DF">
        <w:rPr>
          <w:rFonts w:cs="Calibri"/>
          <w:sz w:val="24"/>
          <w:szCs w:val="24"/>
        </w:rPr>
        <w:t xml:space="preserve">Závazně bude sledován indikátor výstupu pro plnění aktivit školení žadatelů OP PIK, stejně jako implementační struktury, seminářů, workshopů, konferencí, a dále indikátor sledující zrealizované analytické studie a evaluace. Tyto aktivity mají přispět ke zvýšení absorpční kapacity programu s pevnou vazbou na zvýšení míry povědomí veřejnosti o fondech EU. Tím je plněn výsledkový indikátor navržený MMR-NOK a zakomponovaný do textu OPTP, </w:t>
      </w:r>
      <w:r w:rsidRPr="00DD47DF">
        <w:rPr>
          <w:rFonts w:cs="Calibri"/>
          <w:sz w:val="24"/>
          <w:szCs w:val="24"/>
        </w:rPr>
        <w:lastRenderedPageBreak/>
        <w:t>sledovaný centrálně na úrovni MMR-NOK. Ve vztahu k interním potřebám programu pak plnění výstupových indikátorů programu směřuje na vyšší míru stabilizace zaměstnanců implementační struktury (indikátor výsledku) a vyšší míru úspěšnosti projektových žádostí.</w:t>
      </w:r>
    </w:p>
    <w:p w14:paraId="60B37DBF" w14:textId="77777777" w:rsidR="00CF5E63" w:rsidRPr="00DD47DF" w:rsidRDefault="00DD2263" w:rsidP="005F43DF">
      <w:pPr>
        <w:pStyle w:val="Nadpis5"/>
        <w:numPr>
          <w:ilvl w:val="4"/>
          <w:numId w:val="13"/>
        </w:numPr>
      </w:pPr>
      <w:r w:rsidRPr="00DD47DF">
        <w:t>Ukazatele výstupů, které by podle očekávání měly přispět k dosažení výsledků</w:t>
      </w:r>
    </w:p>
    <w:p w14:paraId="60EBF4BB" w14:textId="77777777" w:rsidR="005359A1" w:rsidRPr="00DD47DF" w:rsidRDefault="005359A1" w:rsidP="00720FD1">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13</w:t>
      </w:r>
      <w:r w:rsidR="002756E7" w:rsidRPr="00DD47DF">
        <w:rPr>
          <w:noProof/>
        </w:rPr>
        <w:fldChar w:fldCharType="end"/>
      </w:r>
      <w:r w:rsidRPr="00DD47DF">
        <w:t xml:space="preserve">: </w:t>
      </w:r>
      <w:r w:rsidR="00DD2263" w:rsidRPr="00DD47DF">
        <w:t>Ukazatele výstupu</w:t>
      </w:r>
    </w:p>
    <w:tbl>
      <w:tblPr>
        <w:tblW w:w="0" w:type="auto"/>
        <w:tblCellMar>
          <w:left w:w="57" w:type="dxa"/>
          <w:right w:w="57" w:type="dxa"/>
        </w:tblCellMar>
        <w:tblLook w:val="01E0" w:firstRow="1" w:lastRow="1" w:firstColumn="1" w:lastColumn="1" w:noHBand="0" w:noVBand="0"/>
      </w:tblPr>
      <w:tblGrid>
        <w:gridCol w:w="907"/>
        <w:gridCol w:w="4518"/>
        <w:gridCol w:w="1153"/>
        <w:gridCol w:w="1984"/>
        <w:gridCol w:w="764"/>
      </w:tblGrid>
      <w:tr w:rsidR="005359A1" w:rsidRPr="00DD47DF" w14:paraId="4BD2A60F" w14:textId="77777777">
        <w:trPr>
          <w:trHeight w:hRule="exact" w:val="808"/>
        </w:trPr>
        <w:tc>
          <w:tcPr>
            <w:tcW w:w="907"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7189CCC" w14:textId="77777777" w:rsidR="005359A1" w:rsidRPr="00DD47DF" w:rsidRDefault="005359A1" w:rsidP="00720FD1">
            <w:pPr>
              <w:pStyle w:val="Tabulka"/>
              <w:keepNext/>
              <w:keepLines/>
              <w:rPr>
                <w:rFonts w:cs="Calibri"/>
              </w:rPr>
            </w:pPr>
            <w:r w:rsidRPr="00DD47DF">
              <w:rPr>
                <w:rFonts w:cs="Calibri"/>
                <w:b/>
                <w:bCs/>
              </w:rPr>
              <w:t>ID</w:t>
            </w:r>
          </w:p>
        </w:tc>
        <w:tc>
          <w:tcPr>
            <w:tcW w:w="4518"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6442968" w14:textId="77777777" w:rsidR="005359A1" w:rsidRPr="00DD47DF" w:rsidRDefault="00DD2263" w:rsidP="00720FD1">
            <w:pPr>
              <w:pStyle w:val="Tabulka"/>
              <w:keepNext/>
              <w:keepLines/>
              <w:rPr>
                <w:rFonts w:cs="Calibri"/>
              </w:rPr>
            </w:pPr>
            <w:r w:rsidRPr="00DD47DF">
              <w:rPr>
                <w:rFonts w:cs="Calibri"/>
                <w:b/>
                <w:bCs/>
              </w:rPr>
              <w:t>Ukazatel</w:t>
            </w:r>
          </w:p>
        </w:tc>
        <w:tc>
          <w:tcPr>
            <w:tcW w:w="1153"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FF558D1" w14:textId="77777777" w:rsidR="005359A1" w:rsidRPr="00DD47DF" w:rsidRDefault="005359A1" w:rsidP="00720FD1">
            <w:pPr>
              <w:pStyle w:val="Tabulka"/>
              <w:keepNext/>
              <w:keepLines/>
              <w:rPr>
                <w:rFonts w:cs="Calibri"/>
              </w:rPr>
            </w:pPr>
            <w:r w:rsidRPr="00DD47DF">
              <w:rPr>
                <w:rFonts w:cs="Calibri"/>
                <w:b/>
                <w:bCs/>
              </w:rPr>
              <w:t>Měrná</w:t>
            </w:r>
            <w:r w:rsidR="00720FD1" w:rsidRPr="00DD47DF">
              <w:rPr>
                <w:rFonts w:cs="Calibri"/>
                <w:b/>
                <w:bCs/>
              </w:rPr>
              <w:t xml:space="preserve"> </w:t>
            </w:r>
            <w:r w:rsidRPr="00DD47DF">
              <w:rPr>
                <w:rFonts w:cs="Calibri"/>
                <w:b/>
                <w:bCs/>
              </w:rPr>
              <w:t>jednotka</w:t>
            </w:r>
          </w:p>
        </w:tc>
        <w:tc>
          <w:tcPr>
            <w:tcW w:w="1984"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25D2231" w14:textId="77777777" w:rsidR="005359A1" w:rsidRPr="00DD47DF" w:rsidRDefault="009E5CFE" w:rsidP="00720FD1">
            <w:pPr>
              <w:pStyle w:val="Tabulka"/>
              <w:keepNext/>
              <w:keepLines/>
              <w:rPr>
                <w:rFonts w:cs="Calibri"/>
              </w:rPr>
            </w:pPr>
            <w:r w:rsidRPr="00DD47DF">
              <w:rPr>
                <w:rFonts w:cs="Calibri"/>
                <w:b/>
                <w:bCs/>
              </w:rPr>
              <w:t>Cílová hodnota (2023)</w:t>
            </w:r>
            <w:r w:rsidR="005359A1" w:rsidRPr="00DD47DF">
              <w:rPr>
                <w:rFonts w:cs="Calibri"/>
                <w:b/>
                <w:bCs/>
              </w:rPr>
              <w:t xml:space="preserve"> (</w:t>
            </w:r>
            <w:r w:rsidR="00DD2263" w:rsidRPr="00DD47DF">
              <w:rPr>
                <w:rFonts w:cs="Calibri"/>
                <w:b/>
                <w:bCs/>
              </w:rPr>
              <w:t>nepovinné</w:t>
            </w:r>
            <w:r w:rsidR="005359A1" w:rsidRPr="00DD47DF">
              <w:rPr>
                <w:rFonts w:cs="Calibri"/>
                <w:b/>
                <w:bCs/>
              </w:rPr>
              <w:t>)</w:t>
            </w:r>
          </w:p>
        </w:tc>
        <w:tc>
          <w:tcPr>
            <w:tcW w:w="764"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29F58A98" w14:textId="77777777" w:rsidR="005359A1" w:rsidRPr="00DD47DF" w:rsidRDefault="005359A1" w:rsidP="00720FD1">
            <w:pPr>
              <w:pStyle w:val="Tabulka"/>
              <w:keepNext/>
              <w:keepLines/>
              <w:rPr>
                <w:rFonts w:cs="Calibri"/>
              </w:rPr>
            </w:pPr>
            <w:r w:rsidRPr="00DD47DF">
              <w:rPr>
                <w:rFonts w:cs="Calibri"/>
                <w:b/>
                <w:bCs/>
              </w:rPr>
              <w:t xml:space="preserve">Zdroj </w:t>
            </w:r>
            <w:r w:rsidR="00DD2263" w:rsidRPr="00DD47DF">
              <w:rPr>
                <w:rFonts w:cs="Calibri"/>
                <w:b/>
                <w:bCs/>
              </w:rPr>
              <w:t>údajů</w:t>
            </w:r>
          </w:p>
        </w:tc>
      </w:tr>
      <w:tr w:rsidR="005359A1" w:rsidRPr="00DD47DF" w14:paraId="12EF2916" w14:textId="77777777" w:rsidTr="00342AA5">
        <w:trPr>
          <w:trHeight w:val="680"/>
        </w:trPr>
        <w:tc>
          <w:tcPr>
            <w:tcW w:w="907" w:type="dxa"/>
            <w:tcBorders>
              <w:top w:val="single" w:sz="4" w:space="0" w:color="000000"/>
              <w:left w:val="single" w:sz="4" w:space="0" w:color="000000"/>
              <w:bottom w:val="single" w:sz="4" w:space="0" w:color="000000"/>
              <w:right w:val="single" w:sz="4" w:space="0" w:color="000000"/>
            </w:tcBorders>
            <w:vAlign w:val="center"/>
          </w:tcPr>
          <w:p w14:paraId="6B397A2B" w14:textId="77777777" w:rsidR="005359A1" w:rsidRPr="00DD47DF" w:rsidRDefault="0065318C" w:rsidP="00720FD1">
            <w:pPr>
              <w:pStyle w:val="Tabulka"/>
              <w:keepNext/>
              <w:keepLines/>
              <w:rPr>
                <w:rFonts w:cs="Calibri"/>
              </w:rPr>
            </w:pPr>
            <w:r w:rsidRPr="00DD47DF">
              <w:rPr>
                <w:rFonts w:cs="Calibri"/>
              </w:rPr>
              <w:t>82000</w:t>
            </w:r>
          </w:p>
        </w:tc>
        <w:tc>
          <w:tcPr>
            <w:tcW w:w="4518" w:type="dxa"/>
            <w:tcBorders>
              <w:top w:val="single" w:sz="4" w:space="0" w:color="000000"/>
              <w:left w:val="single" w:sz="4" w:space="0" w:color="000000"/>
              <w:bottom w:val="single" w:sz="4" w:space="0" w:color="000000"/>
              <w:right w:val="single" w:sz="4" w:space="0" w:color="000000"/>
            </w:tcBorders>
            <w:vAlign w:val="center"/>
          </w:tcPr>
          <w:p w14:paraId="1710B2F8" w14:textId="77777777" w:rsidR="005359A1" w:rsidRPr="00DD47DF" w:rsidRDefault="00946A81" w:rsidP="0097571A">
            <w:pPr>
              <w:pStyle w:val="Tabulka"/>
              <w:keepNext/>
              <w:keepLines/>
              <w:jc w:val="left"/>
              <w:rPr>
                <w:rFonts w:cs="Calibri"/>
              </w:rPr>
            </w:pPr>
            <w:r w:rsidRPr="00DD47DF">
              <w:rPr>
                <w:rFonts w:cs="Calibri"/>
              </w:rPr>
              <w:t>Počet uskutečněnýc</w:t>
            </w:r>
            <w:r w:rsidR="00B44F8D" w:rsidRPr="00DD47DF">
              <w:rPr>
                <w:rFonts w:cs="Calibri"/>
              </w:rPr>
              <w:t xml:space="preserve">h školení, seminářů, workshopů a </w:t>
            </w:r>
            <w:r w:rsidRPr="00DD47DF">
              <w:rPr>
                <w:rFonts w:cs="Calibri"/>
              </w:rPr>
              <w:t>konferencí</w:t>
            </w:r>
          </w:p>
        </w:tc>
        <w:tc>
          <w:tcPr>
            <w:tcW w:w="1153" w:type="dxa"/>
            <w:tcBorders>
              <w:top w:val="single" w:sz="4" w:space="0" w:color="000000"/>
              <w:left w:val="single" w:sz="4" w:space="0" w:color="000000"/>
              <w:bottom w:val="single" w:sz="4" w:space="0" w:color="000000"/>
              <w:right w:val="single" w:sz="4" w:space="0" w:color="000000"/>
            </w:tcBorders>
            <w:vAlign w:val="center"/>
          </w:tcPr>
          <w:p w14:paraId="76AE8492" w14:textId="77777777" w:rsidR="005359A1" w:rsidRPr="00DD47DF" w:rsidRDefault="006B31B5" w:rsidP="00720FD1">
            <w:pPr>
              <w:pStyle w:val="Tabulka"/>
              <w:keepNext/>
              <w:keepLines/>
              <w:rPr>
                <w:rFonts w:cs="Calibri"/>
              </w:rPr>
            </w:pPr>
            <w:r w:rsidRPr="00DD47DF">
              <w:rPr>
                <w:rFonts w:cs="Calibri"/>
              </w:rPr>
              <w:t>Aktivity</w:t>
            </w:r>
          </w:p>
        </w:tc>
        <w:tc>
          <w:tcPr>
            <w:tcW w:w="1984" w:type="dxa"/>
            <w:tcBorders>
              <w:top w:val="single" w:sz="4" w:space="0" w:color="000000"/>
              <w:left w:val="single" w:sz="4" w:space="0" w:color="000000"/>
              <w:bottom w:val="single" w:sz="4" w:space="0" w:color="000000"/>
              <w:right w:val="single" w:sz="4" w:space="0" w:color="000000"/>
            </w:tcBorders>
            <w:vAlign w:val="center"/>
          </w:tcPr>
          <w:p w14:paraId="2020C2E3" w14:textId="77777777" w:rsidR="005359A1" w:rsidRPr="00DD47DF" w:rsidRDefault="00DA2ECC" w:rsidP="00720FD1">
            <w:pPr>
              <w:pStyle w:val="Tabulka"/>
              <w:keepNext/>
              <w:keepLines/>
              <w:rPr>
                <w:rFonts w:cs="Calibri"/>
              </w:rPr>
            </w:pPr>
            <w:r w:rsidRPr="00DD47DF">
              <w:rPr>
                <w:rFonts w:cs="Calibri"/>
              </w:rPr>
              <w:t>970</w:t>
            </w:r>
          </w:p>
        </w:tc>
        <w:tc>
          <w:tcPr>
            <w:tcW w:w="764" w:type="dxa"/>
            <w:tcBorders>
              <w:top w:val="single" w:sz="4" w:space="0" w:color="000000"/>
              <w:left w:val="single" w:sz="4" w:space="0" w:color="000000"/>
              <w:bottom w:val="single" w:sz="4" w:space="0" w:color="000000"/>
              <w:right w:val="single" w:sz="4" w:space="0" w:color="000000"/>
            </w:tcBorders>
            <w:vAlign w:val="center"/>
          </w:tcPr>
          <w:p w14:paraId="23E13D08" w14:textId="77777777" w:rsidR="005359A1" w:rsidRPr="00DD47DF" w:rsidRDefault="00CB5255" w:rsidP="00720FD1">
            <w:pPr>
              <w:pStyle w:val="Tabulka"/>
              <w:keepNext/>
              <w:keepLines/>
              <w:rPr>
                <w:rFonts w:cs="Calibri"/>
              </w:rPr>
            </w:pPr>
            <w:r w:rsidRPr="00DD47DF">
              <w:rPr>
                <w:rFonts w:cs="Calibri"/>
              </w:rPr>
              <w:t xml:space="preserve">Ž/P </w:t>
            </w:r>
          </w:p>
        </w:tc>
      </w:tr>
      <w:tr w:rsidR="005359A1" w:rsidRPr="00DD47DF" w14:paraId="40629DDF" w14:textId="77777777" w:rsidTr="00342AA5">
        <w:trPr>
          <w:trHeight w:val="680"/>
        </w:trPr>
        <w:tc>
          <w:tcPr>
            <w:tcW w:w="907" w:type="dxa"/>
            <w:tcBorders>
              <w:top w:val="single" w:sz="4" w:space="0" w:color="000000"/>
              <w:left w:val="single" w:sz="4" w:space="0" w:color="000000"/>
              <w:bottom w:val="single" w:sz="4" w:space="0" w:color="000000"/>
              <w:right w:val="single" w:sz="4" w:space="0" w:color="000000"/>
            </w:tcBorders>
            <w:vAlign w:val="center"/>
          </w:tcPr>
          <w:p w14:paraId="7C07E7E9" w14:textId="77777777" w:rsidR="005359A1" w:rsidRPr="00DD47DF" w:rsidRDefault="0065318C" w:rsidP="004E6DD3">
            <w:pPr>
              <w:pStyle w:val="Tabulka"/>
              <w:rPr>
                <w:rFonts w:cs="Calibri"/>
              </w:rPr>
            </w:pPr>
            <w:r w:rsidRPr="00DD47DF">
              <w:rPr>
                <w:rFonts w:cs="Calibri"/>
              </w:rPr>
              <w:t>80500</w:t>
            </w:r>
          </w:p>
        </w:tc>
        <w:tc>
          <w:tcPr>
            <w:tcW w:w="4518" w:type="dxa"/>
            <w:tcBorders>
              <w:top w:val="single" w:sz="4" w:space="0" w:color="000000"/>
              <w:left w:val="single" w:sz="4" w:space="0" w:color="000000"/>
              <w:bottom w:val="single" w:sz="4" w:space="0" w:color="000000"/>
              <w:right w:val="single" w:sz="4" w:space="0" w:color="000000"/>
            </w:tcBorders>
            <w:vAlign w:val="center"/>
          </w:tcPr>
          <w:p w14:paraId="5658DB51" w14:textId="77777777" w:rsidR="005359A1" w:rsidRPr="00DD47DF" w:rsidRDefault="00946A81" w:rsidP="004E6DD3">
            <w:pPr>
              <w:pStyle w:val="Tabulka"/>
              <w:jc w:val="left"/>
              <w:rPr>
                <w:rFonts w:cs="Calibri"/>
              </w:rPr>
            </w:pPr>
            <w:r w:rsidRPr="00DD47DF">
              <w:rPr>
                <w:rFonts w:cs="Calibri"/>
              </w:rPr>
              <w:t xml:space="preserve">Počet napsaných a zveřejněných analytických </w:t>
            </w:r>
            <w:r w:rsidR="00EC248D" w:rsidRPr="00DD47DF">
              <w:rPr>
                <w:rFonts w:cs="Calibri"/>
              </w:rPr>
              <w:t xml:space="preserve">a strategických </w:t>
            </w:r>
            <w:r w:rsidRPr="00DD47DF">
              <w:rPr>
                <w:rFonts w:cs="Calibri"/>
              </w:rPr>
              <w:t>dokumentů (vč. evaluačních)</w:t>
            </w:r>
          </w:p>
        </w:tc>
        <w:tc>
          <w:tcPr>
            <w:tcW w:w="1153" w:type="dxa"/>
            <w:tcBorders>
              <w:top w:val="single" w:sz="4" w:space="0" w:color="000000"/>
              <w:left w:val="single" w:sz="4" w:space="0" w:color="000000"/>
              <w:bottom w:val="single" w:sz="4" w:space="0" w:color="000000"/>
              <w:right w:val="single" w:sz="4" w:space="0" w:color="000000"/>
            </w:tcBorders>
            <w:vAlign w:val="center"/>
          </w:tcPr>
          <w:p w14:paraId="29E28E11" w14:textId="77777777" w:rsidR="005359A1" w:rsidRPr="00DD47DF" w:rsidRDefault="006B31B5" w:rsidP="004E6DD3">
            <w:pPr>
              <w:pStyle w:val="Tabulka"/>
              <w:rPr>
                <w:rFonts w:cs="Calibri"/>
              </w:rPr>
            </w:pPr>
            <w:r w:rsidRPr="00DD47DF">
              <w:rPr>
                <w:rFonts w:cs="Calibri"/>
              </w:rPr>
              <w:t>Dokumenty</w:t>
            </w:r>
          </w:p>
        </w:tc>
        <w:tc>
          <w:tcPr>
            <w:tcW w:w="1984" w:type="dxa"/>
            <w:tcBorders>
              <w:top w:val="single" w:sz="4" w:space="0" w:color="000000"/>
              <w:left w:val="single" w:sz="4" w:space="0" w:color="000000"/>
              <w:bottom w:val="single" w:sz="4" w:space="0" w:color="000000"/>
              <w:right w:val="single" w:sz="4" w:space="0" w:color="000000"/>
            </w:tcBorders>
            <w:vAlign w:val="center"/>
          </w:tcPr>
          <w:p w14:paraId="7370DB45" w14:textId="77777777" w:rsidR="005359A1" w:rsidRPr="00DD47DF" w:rsidRDefault="00DA2ECC" w:rsidP="004E6DD3">
            <w:pPr>
              <w:pStyle w:val="Tabulka"/>
              <w:rPr>
                <w:rFonts w:cs="Calibri"/>
              </w:rPr>
            </w:pPr>
            <w:r w:rsidRPr="00DD47DF">
              <w:rPr>
                <w:rFonts w:cs="Calibri"/>
              </w:rPr>
              <w:t>30</w:t>
            </w:r>
          </w:p>
        </w:tc>
        <w:tc>
          <w:tcPr>
            <w:tcW w:w="764" w:type="dxa"/>
            <w:tcBorders>
              <w:top w:val="single" w:sz="4" w:space="0" w:color="000000"/>
              <w:left w:val="single" w:sz="4" w:space="0" w:color="000000"/>
              <w:bottom w:val="single" w:sz="4" w:space="0" w:color="000000"/>
              <w:right w:val="single" w:sz="4" w:space="0" w:color="000000"/>
            </w:tcBorders>
            <w:vAlign w:val="center"/>
          </w:tcPr>
          <w:p w14:paraId="4B98CFA4" w14:textId="77777777" w:rsidR="005359A1" w:rsidRPr="00DD47DF" w:rsidRDefault="00CB5255" w:rsidP="004E6DD3">
            <w:pPr>
              <w:pStyle w:val="Tabulka"/>
              <w:rPr>
                <w:rFonts w:cs="Calibri"/>
              </w:rPr>
            </w:pPr>
            <w:r w:rsidRPr="00DD47DF">
              <w:rPr>
                <w:rFonts w:cs="Calibri"/>
              </w:rPr>
              <w:t>Ž/P</w:t>
            </w:r>
          </w:p>
        </w:tc>
      </w:tr>
      <w:tr w:rsidR="008155D6" w:rsidRPr="00DD47DF" w14:paraId="5AA3FD50" w14:textId="77777777" w:rsidTr="00342AA5">
        <w:trPr>
          <w:trHeight w:val="680"/>
        </w:trPr>
        <w:tc>
          <w:tcPr>
            <w:tcW w:w="907" w:type="dxa"/>
            <w:tcBorders>
              <w:top w:val="single" w:sz="4" w:space="0" w:color="000000"/>
              <w:left w:val="single" w:sz="4" w:space="0" w:color="000000"/>
              <w:bottom w:val="single" w:sz="4" w:space="0" w:color="000000"/>
              <w:right w:val="single" w:sz="4" w:space="0" w:color="000000"/>
            </w:tcBorders>
            <w:vAlign w:val="center"/>
          </w:tcPr>
          <w:p w14:paraId="224F3EF1" w14:textId="77777777" w:rsidR="008155D6" w:rsidRPr="00DD47DF" w:rsidRDefault="00802863" w:rsidP="004E6DD3">
            <w:pPr>
              <w:pStyle w:val="Tabulka"/>
              <w:rPr>
                <w:rFonts w:cs="Calibri"/>
              </w:rPr>
            </w:pPr>
            <w:r w:rsidRPr="00DD47DF">
              <w:rPr>
                <w:rFonts w:cs="Calibri"/>
              </w:rPr>
              <w:t>82500</w:t>
            </w:r>
          </w:p>
        </w:tc>
        <w:tc>
          <w:tcPr>
            <w:tcW w:w="4518" w:type="dxa"/>
            <w:tcBorders>
              <w:top w:val="single" w:sz="4" w:space="0" w:color="000000"/>
              <w:left w:val="single" w:sz="4" w:space="0" w:color="000000"/>
              <w:bottom w:val="single" w:sz="4" w:space="0" w:color="000000"/>
              <w:right w:val="single" w:sz="4" w:space="0" w:color="000000"/>
            </w:tcBorders>
            <w:vAlign w:val="center"/>
          </w:tcPr>
          <w:p w14:paraId="552E6F9A" w14:textId="77777777" w:rsidR="008155D6" w:rsidRPr="00DD47DF" w:rsidRDefault="008155D6" w:rsidP="004E6DD3">
            <w:pPr>
              <w:pStyle w:val="Tabulka"/>
              <w:jc w:val="left"/>
              <w:rPr>
                <w:rFonts w:cs="Calibri"/>
              </w:rPr>
            </w:pPr>
            <w:r w:rsidRPr="00DD47DF">
              <w:rPr>
                <w:rFonts w:cs="Calibri"/>
              </w:rPr>
              <w:t>Počet pracovních míst financovaných z programu</w:t>
            </w:r>
          </w:p>
        </w:tc>
        <w:tc>
          <w:tcPr>
            <w:tcW w:w="1153" w:type="dxa"/>
            <w:tcBorders>
              <w:top w:val="single" w:sz="4" w:space="0" w:color="000000"/>
              <w:left w:val="single" w:sz="4" w:space="0" w:color="000000"/>
              <w:bottom w:val="single" w:sz="4" w:space="0" w:color="000000"/>
              <w:right w:val="single" w:sz="4" w:space="0" w:color="000000"/>
            </w:tcBorders>
            <w:vAlign w:val="center"/>
          </w:tcPr>
          <w:p w14:paraId="717C4ECB" w14:textId="77777777" w:rsidR="008155D6" w:rsidRPr="00DD47DF" w:rsidRDefault="008155D6" w:rsidP="004E6DD3">
            <w:pPr>
              <w:pStyle w:val="Tabulka"/>
              <w:rPr>
                <w:rFonts w:cs="Calibri"/>
              </w:rPr>
            </w:pPr>
            <w:r w:rsidRPr="00DD47DF">
              <w:rPr>
                <w:rFonts w:cs="Calibri"/>
              </w:rPr>
              <w:t>FTE</w:t>
            </w:r>
          </w:p>
        </w:tc>
        <w:tc>
          <w:tcPr>
            <w:tcW w:w="1984" w:type="dxa"/>
            <w:tcBorders>
              <w:top w:val="single" w:sz="4" w:space="0" w:color="000000"/>
              <w:left w:val="single" w:sz="4" w:space="0" w:color="000000"/>
              <w:bottom w:val="single" w:sz="4" w:space="0" w:color="000000"/>
              <w:right w:val="single" w:sz="4" w:space="0" w:color="000000"/>
            </w:tcBorders>
            <w:vAlign w:val="center"/>
          </w:tcPr>
          <w:p w14:paraId="48E7B882" w14:textId="77777777" w:rsidR="008155D6" w:rsidRPr="00DD47DF" w:rsidRDefault="00AE01CD" w:rsidP="00AE01CD">
            <w:pPr>
              <w:pStyle w:val="Tabulka"/>
              <w:rPr>
                <w:rFonts w:cs="Calibri"/>
              </w:rPr>
            </w:pPr>
            <w:r w:rsidRPr="00DD47DF">
              <w:rPr>
                <w:rFonts w:cs="Calibri"/>
              </w:rPr>
              <w:t>N/R</w:t>
            </w:r>
          </w:p>
        </w:tc>
        <w:tc>
          <w:tcPr>
            <w:tcW w:w="764" w:type="dxa"/>
            <w:tcBorders>
              <w:top w:val="single" w:sz="4" w:space="0" w:color="000000"/>
              <w:left w:val="single" w:sz="4" w:space="0" w:color="000000"/>
              <w:bottom w:val="single" w:sz="4" w:space="0" w:color="000000"/>
              <w:right w:val="single" w:sz="4" w:space="0" w:color="000000"/>
            </w:tcBorders>
            <w:vAlign w:val="center"/>
          </w:tcPr>
          <w:p w14:paraId="7C9E2951" w14:textId="77777777" w:rsidR="008155D6" w:rsidRPr="00DD47DF" w:rsidRDefault="008155D6" w:rsidP="004E6DD3">
            <w:pPr>
              <w:pStyle w:val="Tabulka"/>
              <w:rPr>
                <w:rFonts w:cs="Calibri"/>
              </w:rPr>
            </w:pPr>
            <w:r w:rsidRPr="00DD47DF">
              <w:rPr>
                <w:rFonts w:cs="Calibri"/>
              </w:rPr>
              <w:t>Ž/P</w:t>
            </w:r>
          </w:p>
        </w:tc>
      </w:tr>
      <w:tr w:rsidR="00790493" w:rsidRPr="00DD47DF" w14:paraId="7B4258A4" w14:textId="77777777" w:rsidTr="00342AA5">
        <w:trPr>
          <w:trHeight w:val="680"/>
        </w:trPr>
        <w:tc>
          <w:tcPr>
            <w:tcW w:w="907" w:type="dxa"/>
            <w:tcBorders>
              <w:top w:val="single" w:sz="4" w:space="0" w:color="000000"/>
              <w:left w:val="single" w:sz="4" w:space="0" w:color="000000"/>
              <w:bottom w:val="single" w:sz="4" w:space="0" w:color="000000"/>
              <w:right w:val="single" w:sz="4" w:space="0" w:color="000000"/>
            </w:tcBorders>
            <w:vAlign w:val="center"/>
          </w:tcPr>
          <w:p w14:paraId="6039CDB0" w14:textId="77777777" w:rsidR="00790493" w:rsidRPr="00DD47DF" w:rsidRDefault="006E18B4" w:rsidP="004E6DD3">
            <w:pPr>
              <w:pStyle w:val="Tabulka"/>
              <w:rPr>
                <w:rFonts w:cs="Calibri"/>
              </w:rPr>
            </w:pPr>
            <w:r w:rsidRPr="00DD47DF">
              <w:rPr>
                <w:rFonts w:cs="Calibri"/>
              </w:rPr>
              <w:t>80901</w:t>
            </w:r>
          </w:p>
        </w:tc>
        <w:tc>
          <w:tcPr>
            <w:tcW w:w="4518" w:type="dxa"/>
            <w:tcBorders>
              <w:top w:val="single" w:sz="4" w:space="0" w:color="000000"/>
              <w:left w:val="single" w:sz="4" w:space="0" w:color="000000"/>
              <w:bottom w:val="single" w:sz="4" w:space="0" w:color="000000"/>
              <w:right w:val="single" w:sz="4" w:space="0" w:color="000000"/>
            </w:tcBorders>
            <w:vAlign w:val="center"/>
          </w:tcPr>
          <w:p w14:paraId="2494BACC" w14:textId="77777777" w:rsidR="00790493" w:rsidRPr="00DD47DF" w:rsidRDefault="00790493" w:rsidP="004E6DD3">
            <w:pPr>
              <w:pStyle w:val="Tabulka"/>
              <w:jc w:val="left"/>
              <w:rPr>
                <w:rFonts w:cs="Calibri"/>
              </w:rPr>
            </w:pPr>
            <w:r w:rsidRPr="00DD47DF">
              <w:rPr>
                <w:rFonts w:cs="Calibri"/>
              </w:rPr>
              <w:t>Počet uskutečněných kontrol na místě</w:t>
            </w:r>
          </w:p>
        </w:tc>
        <w:tc>
          <w:tcPr>
            <w:tcW w:w="1153" w:type="dxa"/>
            <w:tcBorders>
              <w:top w:val="single" w:sz="4" w:space="0" w:color="000000"/>
              <w:left w:val="single" w:sz="4" w:space="0" w:color="000000"/>
              <w:bottom w:val="single" w:sz="4" w:space="0" w:color="000000"/>
              <w:right w:val="single" w:sz="4" w:space="0" w:color="000000"/>
            </w:tcBorders>
            <w:vAlign w:val="center"/>
          </w:tcPr>
          <w:p w14:paraId="78CEE020" w14:textId="77777777" w:rsidR="00790493" w:rsidRPr="00DD47DF" w:rsidRDefault="00790493" w:rsidP="004E6DD3">
            <w:pPr>
              <w:pStyle w:val="Tabulka"/>
              <w:rPr>
                <w:rFonts w:cs="Calibri"/>
              </w:rPr>
            </w:pPr>
            <w:r w:rsidRPr="00DD47DF">
              <w:rPr>
                <w:rFonts w:cs="Calibri"/>
              </w:rPr>
              <w:t>kontroly</w:t>
            </w:r>
          </w:p>
        </w:tc>
        <w:tc>
          <w:tcPr>
            <w:tcW w:w="1984" w:type="dxa"/>
            <w:tcBorders>
              <w:top w:val="single" w:sz="4" w:space="0" w:color="000000"/>
              <w:left w:val="single" w:sz="4" w:space="0" w:color="000000"/>
              <w:bottom w:val="single" w:sz="4" w:space="0" w:color="000000"/>
              <w:right w:val="single" w:sz="4" w:space="0" w:color="000000"/>
            </w:tcBorders>
            <w:vAlign w:val="center"/>
          </w:tcPr>
          <w:p w14:paraId="3379186C" w14:textId="77777777" w:rsidR="00790493" w:rsidRPr="00DD47DF" w:rsidRDefault="00226BC2" w:rsidP="004E6DD3">
            <w:pPr>
              <w:pStyle w:val="Tabulka"/>
              <w:rPr>
                <w:rFonts w:cs="Calibri"/>
              </w:rPr>
            </w:pPr>
            <w:r w:rsidRPr="00DD47DF">
              <w:rPr>
                <w:rFonts w:cs="Calibri"/>
              </w:rPr>
              <w:t>2 400</w:t>
            </w:r>
          </w:p>
        </w:tc>
        <w:tc>
          <w:tcPr>
            <w:tcW w:w="764" w:type="dxa"/>
            <w:tcBorders>
              <w:top w:val="single" w:sz="4" w:space="0" w:color="000000"/>
              <w:left w:val="single" w:sz="4" w:space="0" w:color="000000"/>
              <w:bottom w:val="single" w:sz="4" w:space="0" w:color="000000"/>
              <w:right w:val="single" w:sz="4" w:space="0" w:color="000000"/>
            </w:tcBorders>
            <w:vAlign w:val="center"/>
          </w:tcPr>
          <w:p w14:paraId="47AAB72F" w14:textId="77777777" w:rsidR="00790493" w:rsidRPr="00DD47DF" w:rsidRDefault="00790493" w:rsidP="004E6DD3">
            <w:pPr>
              <w:pStyle w:val="Tabulka"/>
              <w:rPr>
                <w:rFonts w:cs="Calibri"/>
              </w:rPr>
            </w:pPr>
            <w:r w:rsidRPr="00DD47DF">
              <w:rPr>
                <w:rFonts w:cs="Calibri"/>
              </w:rPr>
              <w:t>ŘO</w:t>
            </w:r>
          </w:p>
        </w:tc>
      </w:tr>
    </w:tbl>
    <w:p w14:paraId="3B4F923A" w14:textId="77777777" w:rsidR="00CF5E63" w:rsidRPr="00DD47DF" w:rsidRDefault="00564523" w:rsidP="005F43DF">
      <w:pPr>
        <w:pStyle w:val="kapitola2B"/>
        <w:numPr>
          <w:ilvl w:val="2"/>
          <w:numId w:val="12"/>
        </w:numPr>
        <w:ind w:left="709"/>
      </w:pPr>
      <w:bookmarkStart w:id="112" w:name="_Toc520445319"/>
      <w:r w:rsidRPr="00DD47DF">
        <w:t xml:space="preserve">Kategorie </w:t>
      </w:r>
      <w:r w:rsidR="00F2469F" w:rsidRPr="00DD47DF">
        <w:t>zásahů</w:t>
      </w:r>
      <w:bookmarkEnd w:id="112"/>
    </w:p>
    <w:p w14:paraId="76A97E47" w14:textId="77777777" w:rsidR="005359A1" w:rsidRPr="00DD47DF" w:rsidRDefault="005359A1" w:rsidP="004E6DD3">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14</w:t>
      </w:r>
      <w:r w:rsidR="002756E7" w:rsidRPr="00DD47DF">
        <w:rPr>
          <w:noProof/>
        </w:rPr>
        <w:fldChar w:fldCharType="end"/>
      </w:r>
      <w:r w:rsidRPr="00DD47DF">
        <w:t xml:space="preserve"> - </w:t>
      </w:r>
      <w:r w:rsidR="002756E7" w:rsidRPr="00DD47DF">
        <w:fldChar w:fldCharType="begin"/>
      </w:r>
      <w:r w:rsidR="000E35F2" w:rsidRPr="00DD47DF">
        <w:instrText xml:space="preserve"> SEQ Tabulka \* ARABIC \r16 </w:instrText>
      </w:r>
      <w:r w:rsidR="002756E7" w:rsidRPr="00DD47DF">
        <w:fldChar w:fldCharType="separate"/>
      </w:r>
      <w:r w:rsidR="00117847">
        <w:rPr>
          <w:noProof/>
        </w:rPr>
        <w:t>16</w:t>
      </w:r>
      <w:r w:rsidR="002756E7" w:rsidRPr="00DD47DF">
        <w:rPr>
          <w:noProof/>
        </w:rPr>
        <w:fldChar w:fldCharType="end"/>
      </w:r>
      <w:r w:rsidRPr="00DD47DF">
        <w:t xml:space="preserve">: Kategorie </w:t>
      </w:r>
      <w:r w:rsidR="00F2469F" w:rsidRPr="00DD47DF">
        <w:t>zásahů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06"/>
        <w:gridCol w:w="2128"/>
        <w:gridCol w:w="851"/>
        <w:gridCol w:w="2270"/>
        <w:gridCol w:w="849"/>
        <w:gridCol w:w="2322"/>
      </w:tblGrid>
      <w:tr w:rsidR="00BA5EF7" w:rsidRPr="00DD47DF" w14:paraId="67D78EEA" w14:textId="77777777">
        <w:tc>
          <w:tcPr>
            <w:tcW w:w="5000" w:type="pct"/>
            <w:gridSpan w:val="6"/>
            <w:shd w:val="clear" w:color="auto" w:fill="B8CCE4"/>
            <w:vAlign w:val="center"/>
          </w:tcPr>
          <w:p w14:paraId="5F5E675F" w14:textId="77777777" w:rsidR="009F18F5" w:rsidRPr="00DD47DF" w:rsidRDefault="009F18F5" w:rsidP="009F18F5">
            <w:pPr>
              <w:pStyle w:val="Tabulka"/>
              <w:keepNext/>
              <w:keepLines/>
              <w:rPr>
                <w:rFonts w:cs="Calibri"/>
                <w:b/>
              </w:rPr>
            </w:pPr>
            <w:r w:rsidRPr="00DD47DF">
              <w:rPr>
                <w:rFonts w:cs="Calibri"/>
                <w:b/>
              </w:rPr>
              <w:t xml:space="preserve">Fond: </w:t>
            </w:r>
            <w:r w:rsidRPr="00DD47DF">
              <w:rPr>
                <w:rFonts w:cs="Calibri"/>
              </w:rPr>
              <w:t>EFRR</w:t>
            </w:r>
          </w:p>
          <w:p w14:paraId="43B091D6" w14:textId="77777777" w:rsidR="00BA5EF7" w:rsidRPr="00DD47DF" w:rsidRDefault="009F18F5" w:rsidP="009F18F5">
            <w:pPr>
              <w:pStyle w:val="Tabulka"/>
              <w:keepNext/>
              <w:keepLines/>
              <w:rPr>
                <w:rFonts w:cs="Calibri"/>
                <w:i/>
              </w:rPr>
            </w:pPr>
            <w:r w:rsidRPr="00DD47DF">
              <w:rPr>
                <w:rFonts w:cs="Calibri"/>
                <w:b/>
              </w:rPr>
              <w:t xml:space="preserve">Kategorie regionů: </w:t>
            </w:r>
            <w:r w:rsidRPr="00DD47DF">
              <w:rPr>
                <w:rFonts w:cs="Calibri"/>
              </w:rPr>
              <w:t>Méně rozvinuté regiony</w:t>
            </w:r>
          </w:p>
        </w:tc>
      </w:tr>
      <w:tr w:rsidR="005359A1" w:rsidRPr="00DD47DF" w14:paraId="62C4DF32" w14:textId="77777777">
        <w:tc>
          <w:tcPr>
            <w:tcW w:w="1627" w:type="pct"/>
            <w:gridSpan w:val="2"/>
            <w:shd w:val="clear" w:color="auto" w:fill="B8CCE4"/>
            <w:vAlign w:val="center"/>
          </w:tcPr>
          <w:p w14:paraId="53928E7C" w14:textId="77777777" w:rsidR="005359A1" w:rsidRPr="00DD47DF" w:rsidRDefault="005359A1" w:rsidP="004E6DD3">
            <w:pPr>
              <w:pStyle w:val="Tabulka"/>
              <w:keepNext/>
              <w:keepLines/>
              <w:rPr>
                <w:rFonts w:cs="Calibri"/>
              </w:rPr>
            </w:pPr>
            <w:r w:rsidRPr="00DD47DF">
              <w:rPr>
                <w:rFonts w:cs="Calibri"/>
              </w:rPr>
              <w:t>Tabulka č. 14:</w:t>
            </w:r>
          </w:p>
          <w:p w14:paraId="3870FEF8" w14:textId="77777777" w:rsidR="005359A1" w:rsidRPr="00DD47DF" w:rsidRDefault="005359A1" w:rsidP="004E6DD3">
            <w:pPr>
              <w:pStyle w:val="Tabulka"/>
              <w:keepNext/>
              <w:keepLines/>
              <w:rPr>
                <w:rFonts w:cs="Calibri"/>
              </w:rPr>
            </w:pPr>
            <w:r w:rsidRPr="00DD47DF">
              <w:rPr>
                <w:rFonts w:cs="Calibri"/>
              </w:rPr>
              <w:t>Dimenze 1</w:t>
            </w:r>
          </w:p>
          <w:p w14:paraId="61F2345A" w14:textId="77777777" w:rsidR="005359A1" w:rsidRPr="00DD47DF" w:rsidRDefault="00DF23DE" w:rsidP="004E6DD3">
            <w:pPr>
              <w:pStyle w:val="Tabulka"/>
              <w:keepNext/>
              <w:keepLines/>
              <w:rPr>
                <w:rFonts w:cs="Calibri"/>
              </w:rPr>
            </w:pPr>
            <w:r w:rsidRPr="00DD47DF">
              <w:rPr>
                <w:rFonts w:cs="Calibri"/>
              </w:rPr>
              <w:t>Oblast zásahů</w:t>
            </w:r>
          </w:p>
        </w:tc>
        <w:tc>
          <w:tcPr>
            <w:tcW w:w="1673" w:type="pct"/>
            <w:gridSpan w:val="2"/>
            <w:shd w:val="clear" w:color="auto" w:fill="B8CCE4"/>
            <w:vAlign w:val="center"/>
          </w:tcPr>
          <w:p w14:paraId="23CF4CBE" w14:textId="77777777" w:rsidR="005359A1" w:rsidRPr="00DD47DF" w:rsidRDefault="005359A1" w:rsidP="004E6DD3">
            <w:pPr>
              <w:pStyle w:val="Tabulka"/>
              <w:keepNext/>
              <w:keepLines/>
              <w:rPr>
                <w:rFonts w:cs="Calibri"/>
              </w:rPr>
            </w:pPr>
            <w:r w:rsidRPr="00DD47DF">
              <w:rPr>
                <w:rFonts w:cs="Calibri"/>
              </w:rPr>
              <w:t>Tabulka č. 15:</w:t>
            </w:r>
          </w:p>
          <w:p w14:paraId="62BFEC03" w14:textId="77777777" w:rsidR="005359A1" w:rsidRPr="00DD47DF" w:rsidRDefault="005359A1" w:rsidP="004E6DD3">
            <w:pPr>
              <w:pStyle w:val="Tabulka"/>
              <w:keepNext/>
              <w:keepLines/>
              <w:rPr>
                <w:rFonts w:cs="Calibri"/>
              </w:rPr>
            </w:pPr>
            <w:r w:rsidRPr="00DD47DF">
              <w:rPr>
                <w:rFonts w:cs="Calibri"/>
              </w:rPr>
              <w:t>Dimenze 2</w:t>
            </w:r>
          </w:p>
          <w:p w14:paraId="77CE2ADE" w14:textId="77777777" w:rsidR="005359A1" w:rsidRPr="00DD47DF" w:rsidRDefault="005359A1" w:rsidP="00DF23DE">
            <w:pPr>
              <w:pStyle w:val="Tabulka"/>
              <w:keepNext/>
              <w:keepLines/>
              <w:rPr>
                <w:rFonts w:cs="Calibri"/>
              </w:rPr>
            </w:pPr>
            <w:r w:rsidRPr="00DD47DF">
              <w:rPr>
                <w:rFonts w:cs="Calibri"/>
              </w:rPr>
              <w:t>Forma finan</w:t>
            </w:r>
            <w:r w:rsidR="00DF23DE" w:rsidRPr="00DD47DF">
              <w:rPr>
                <w:rFonts w:cs="Calibri"/>
              </w:rPr>
              <w:t>čních prostředků</w:t>
            </w:r>
          </w:p>
        </w:tc>
        <w:tc>
          <w:tcPr>
            <w:tcW w:w="1700" w:type="pct"/>
            <w:gridSpan w:val="2"/>
            <w:shd w:val="clear" w:color="auto" w:fill="B8CCE4"/>
            <w:vAlign w:val="center"/>
          </w:tcPr>
          <w:p w14:paraId="3B4F898C" w14:textId="77777777" w:rsidR="005359A1" w:rsidRPr="00DD47DF" w:rsidRDefault="005359A1" w:rsidP="004E6DD3">
            <w:pPr>
              <w:pStyle w:val="Tabulka"/>
              <w:keepNext/>
              <w:keepLines/>
              <w:rPr>
                <w:rFonts w:cs="Calibri"/>
              </w:rPr>
            </w:pPr>
            <w:r w:rsidRPr="00DD47DF">
              <w:rPr>
                <w:rFonts w:cs="Calibri"/>
              </w:rPr>
              <w:t>Tabulka č. 16:</w:t>
            </w:r>
          </w:p>
          <w:p w14:paraId="755CA649" w14:textId="77777777" w:rsidR="005359A1" w:rsidRPr="00DD47DF" w:rsidRDefault="005359A1" w:rsidP="004E6DD3">
            <w:pPr>
              <w:pStyle w:val="Tabulka"/>
              <w:keepNext/>
              <w:keepLines/>
              <w:rPr>
                <w:rFonts w:cs="Calibri"/>
              </w:rPr>
            </w:pPr>
            <w:r w:rsidRPr="00DD47DF">
              <w:rPr>
                <w:rFonts w:cs="Calibri"/>
              </w:rPr>
              <w:t>Dimenze 3</w:t>
            </w:r>
          </w:p>
          <w:p w14:paraId="7E6423F8" w14:textId="77777777" w:rsidR="005359A1" w:rsidRPr="00DD47DF" w:rsidRDefault="00DF23DE" w:rsidP="004E6DD3">
            <w:pPr>
              <w:pStyle w:val="Tabulka"/>
              <w:keepNext/>
              <w:keepLines/>
              <w:rPr>
                <w:rFonts w:cs="Calibri"/>
              </w:rPr>
            </w:pPr>
            <w:r w:rsidRPr="00DD47DF">
              <w:rPr>
                <w:rFonts w:cs="Calibri"/>
              </w:rPr>
              <w:t>Typ ú</w:t>
            </w:r>
            <w:r w:rsidR="005359A1" w:rsidRPr="00DD47DF">
              <w:rPr>
                <w:rFonts w:cs="Calibri"/>
              </w:rPr>
              <w:t>zemí</w:t>
            </w:r>
          </w:p>
        </w:tc>
      </w:tr>
      <w:tr w:rsidR="00C00E7A" w:rsidRPr="00DD47DF" w14:paraId="4CFAF319" w14:textId="77777777">
        <w:tc>
          <w:tcPr>
            <w:tcW w:w="486" w:type="pct"/>
            <w:shd w:val="clear" w:color="auto" w:fill="DBE5F1"/>
            <w:vAlign w:val="center"/>
          </w:tcPr>
          <w:p w14:paraId="35B375FA" w14:textId="77777777" w:rsidR="005359A1" w:rsidRPr="00DD47DF" w:rsidRDefault="005359A1" w:rsidP="004E6DD3">
            <w:pPr>
              <w:pStyle w:val="Tabulka"/>
              <w:keepNext/>
              <w:keepLines/>
              <w:rPr>
                <w:rFonts w:cs="Calibri"/>
              </w:rPr>
            </w:pPr>
            <w:r w:rsidRPr="00DD47DF">
              <w:rPr>
                <w:rFonts w:cs="Calibri"/>
              </w:rPr>
              <w:t>Kód</w:t>
            </w:r>
          </w:p>
        </w:tc>
        <w:tc>
          <w:tcPr>
            <w:tcW w:w="1141" w:type="pct"/>
            <w:shd w:val="clear" w:color="auto" w:fill="DBE5F1"/>
            <w:vAlign w:val="center"/>
          </w:tcPr>
          <w:p w14:paraId="40C1D87A" w14:textId="77777777" w:rsidR="005359A1" w:rsidRPr="00DD47DF" w:rsidRDefault="00D16DE9" w:rsidP="004E6DD3">
            <w:pPr>
              <w:pStyle w:val="Tabulka"/>
              <w:keepNext/>
              <w:keepLines/>
              <w:rPr>
                <w:rFonts w:cs="Calibri"/>
              </w:rPr>
            </w:pPr>
            <w:r w:rsidRPr="00DD47DF">
              <w:rPr>
                <w:rFonts w:cs="Calibri"/>
              </w:rPr>
              <w:t>Částka (v EUR)</w:t>
            </w:r>
          </w:p>
        </w:tc>
        <w:tc>
          <w:tcPr>
            <w:tcW w:w="456" w:type="pct"/>
            <w:shd w:val="clear" w:color="auto" w:fill="DBE5F1"/>
            <w:vAlign w:val="center"/>
          </w:tcPr>
          <w:p w14:paraId="679AA64C" w14:textId="77777777" w:rsidR="005359A1" w:rsidRPr="00DD47DF" w:rsidRDefault="005359A1" w:rsidP="004E6DD3">
            <w:pPr>
              <w:pStyle w:val="Tabulka"/>
              <w:keepNext/>
              <w:keepLines/>
              <w:rPr>
                <w:rFonts w:cs="Calibri"/>
              </w:rPr>
            </w:pPr>
            <w:r w:rsidRPr="00DD47DF">
              <w:rPr>
                <w:rFonts w:cs="Calibri"/>
              </w:rPr>
              <w:t>Kód</w:t>
            </w:r>
          </w:p>
        </w:tc>
        <w:tc>
          <w:tcPr>
            <w:tcW w:w="1217" w:type="pct"/>
            <w:shd w:val="clear" w:color="auto" w:fill="DBE5F1"/>
            <w:vAlign w:val="center"/>
          </w:tcPr>
          <w:p w14:paraId="32EA939E" w14:textId="77777777" w:rsidR="005359A1" w:rsidRPr="00DD47DF" w:rsidRDefault="00D16DE9" w:rsidP="004E6DD3">
            <w:pPr>
              <w:pStyle w:val="Tabulka"/>
              <w:keepNext/>
              <w:keepLines/>
              <w:rPr>
                <w:rFonts w:cs="Calibri"/>
              </w:rPr>
            </w:pPr>
            <w:r w:rsidRPr="00DD47DF">
              <w:rPr>
                <w:rFonts w:cs="Calibri"/>
              </w:rPr>
              <w:t>Částka (v EUR)</w:t>
            </w:r>
          </w:p>
        </w:tc>
        <w:tc>
          <w:tcPr>
            <w:tcW w:w="455" w:type="pct"/>
            <w:shd w:val="clear" w:color="auto" w:fill="DBE5F1"/>
            <w:vAlign w:val="center"/>
          </w:tcPr>
          <w:p w14:paraId="6C2DDE5A" w14:textId="77777777" w:rsidR="005359A1" w:rsidRPr="00DD47DF" w:rsidRDefault="005359A1" w:rsidP="004E6DD3">
            <w:pPr>
              <w:pStyle w:val="Tabulka"/>
              <w:keepNext/>
              <w:keepLines/>
              <w:rPr>
                <w:rFonts w:cs="Calibri"/>
              </w:rPr>
            </w:pPr>
            <w:r w:rsidRPr="00DD47DF">
              <w:rPr>
                <w:rFonts w:cs="Calibri"/>
              </w:rPr>
              <w:t>Kód</w:t>
            </w:r>
          </w:p>
        </w:tc>
        <w:tc>
          <w:tcPr>
            <w:tcW w:w="1245" w:type="pct"/>
            <w:shd w:val="clear" w:color="auto" w:fill="DBE5F1"/>
            <w:vAlign w:val="center"/>
          </w:tcPr>
          <w:p w14:paraId="36B80740" w14:textId="77777777" w:rsidR="005359A1" w:rsidRPr="00DD47DF" w:rsidRDefault="00D16DE9" w:rsidP="004E6DD3">
            <w:pPr>
              <w:pStyle w:val="Tabulka"/>
              <w:keepNext/>
              <w:keepLines/>
              <w:rPr>
                <w:rFonts w:cs="Calibri"/>
              </w:rPr>
            </w:pPr>
            <w:r w:rsidRPr="00DD47DF">
              <w:rPr>
                <w:rFonts w:cs="Calibri"/>
              </w:rPr>
              <w:t>Částka (v EUR)</w:t>
            </w:r>
          </w:p>
        </w:tc>
      </w:tr>
      <w:tr w:rsidR="002E2FA8" w:rsidRPr="00DD47DF" w14:paraId="2978E586" w14:textId="77777777">
        <w:tc>
          <w:tcPr>
            <w:tcW w:w="486" w:type="pct"/>
            <w:shd w:val="clear" w:color="auto" w:fill="auto"/>
            <w:vAlign w:val="center"/>
          </w:tcPr>
          <w:p w14:paraId="524CDF8C" w14:textId="77777777" w:rsidR="002E2FA8" w:rsidRPr="00DD47DF" w:rsidRDefault="002E2FA8" w:rsidP="00DD63AD">
            <w:pPr>
              <w:pStyle w:val="Tabulka"/>
              <w:rPr>
                <w:rFonts w:cs="Calibri"/>
              </w:rPr>
            </w:pPr>
            <w:r w:rsidRPr="00DD47DF">
              <w:rPr>
                <w:rFonts w:cs="Calibri"/>
              </w:rPr>
              <w:t>121</w:t>
            </w:r>
          </w:p>
        </w:tc>
        <w:tc>
          <w:tcPr>
            <w:tcW w:w="1141" w:type="pct"/>
            <w:shd w:val="clear" w:color="auto" w:fill="auto"/>
            <w:vAlign w:val="center"/>
          </w:tcPr>
          <w:p w14:paraId="6A28D30D" w14:textId="77777777" w:rsidR="002E2FA8" w:rsidRPr="00DD47DF" w:rsidRDefault="002E2FA8" w:rsidP="00720FD1">
            <w:pPr>
              <w:pStyle w:val="Tabulka"/>
              <w:jc w:val="right"/>
              <w:rPr>
                <w:rFonts w:cs="Calibri"/>
              </w:rPr>
            </w:pPr>
            <w:r w:rsidRPr="00DD47DF">
              <w:rPr>
                <w:rFonts w:cs="Calibri"/>
              </w:rPr>
              <w:t>106 825 944</w:t>
            </w:r>
          </w:p>
        </w:tc>
        <w:tc>
          <w:tcPr>
            <w:tcW w:w="456" w:type="pct"/>
            <w:shd w:val="clear" w:color="auto" w:fill="auto"/>
            <w:vAlign w:val="center"/>
          </w:tcPr>
          <w:p w14:paraId="3B3587B8" w14:textId="77777777" w:rsidR="002E2FA8" w:rsidRPr="00DD47DF" w:rsidRDefault="002E2FA8" w:rsidP="00DD63AD">
            <w:pPr>
              <w:pStyle w:val="Tabulka"/>
              <w:rPr>
                <w:rFonts w:cs="Calibri"/>
              </w:rPr>
            </w:pPr>
            <w:r w:rsidRPr="00DD47DF">
              <w:rPr>
                <w:rFonts w:cs="Calibri"/>
              </w:rPr>
              <w:t>01</w:t>
            </w:r>
          </w:p>
        </w:tc>
        <w:tc>
          <w:tcPr>
            <w:tcW w:w="1217" w:type="pct"/>
            <w:shd w:val="clear" w:color="auto" w:fill="auto"/>
            <w:vAlign w:val="center"/>
          </w:tcPr>
          <w:p w14:paraId="0FA46A33" w14:textId="77777777" w:rsidR="002E2FA8" w:rsidRPr="00DD47DF" w:rsidRDefault="002E2FA8" w:rsidP="00720FD1">
            <w:pPr>
              <w:pStyle w:val="Tabulka"/>
              <w:jc w:val="right"/>
              <w:rPr>
                <w:rFonts w:cs="Calibri"/>
              </w:rPr>
            </w:pPr>
            <w:r w:rsidRPr="00DD47DF">
              <w:rPr>
                <w:rFonts w:cs="Calibri"/>
              </w:rPr>
              <w:t>125 600 816</w:t>
            </w:r>
          </w:p>
        </w:tc>
        <w:tc>
          <w:tcPr>
            <w:tcW w:w="455" w:type="pct"/>
            <w:shd w:val="clear" w:color="auto" w:fill="auto"/>
            <w:vAlign w:val="center"/>
          </w:tcPr>
          <w:p w14:paraId="318ADD87" w14:textId="5B820005" w:rsidR="002E2FA8" w:rsidRPr="00DD47DF" w:rsidRDefault="003E0063" w:rsidP="003E0063">
            <w:pPr>
              <w:pStyle w:val="Tabulka"/>
              <w:rPr>
                <w:rFonts w:cs="Calibri"/>
              </w:rPr>
            </w:pPr>
            <w:r w:rsidRPr="00DD47DF">
              <w:rPr>
                <w:rFonts w:cs="Calibri"/>
              </w:rPr>
              <w:t>0</w:t>
            </w:r>
            <w:r>
              <w:rPr>
                <w:rFonts w:cs="Calibri"/>
              </w:rPr>
              <w:t>7</w:t>
            </w:r>
          </w:p>
        </w:tc>
        <w:tc>
          <w:tcPr>
            <w:tcW w:w="1245" w:type="pct"/>
            <w:shd w:val="clear" w:color="auto" w:fill="auto"/>
            <w:vAlign w:val="center"/>
          </w:tcPr>
          <w:p w14:paraId="376143F5" w14:textId="77777777" w:rsidR="002E2FA8" w:rsidRPr="00DD47DF" w:rsidRDefault="002E2FA8" w:rsidP="00720FD1">
            <w:pPr>
              <w:pStyle w:val="Tabulka"/>
              <w:jc w:val="right"/>
              <w:rPr>
                <w:rFonts w:cs="Calibri"/>
              </w:rPr>
            </w:pPr>
            <w:r w:rsidRPr="00DD47DF">
              <w:rPr>
                <w:rFonts w:cs="Calibri"/>
              </w:rPr>
              <w:t>125 600 816</w:t>
            </w:r>
          </w:p>
        </w:tc>
      </w:tr>
      <w:tr w:rsidR="002E2FA8" w:rsidRPr="00DD47DF" w14:paraId="53DF7C8A" w14:textId="77777777">
        <w:tc>
          <w:tcPr>
            <w:tcW w:w="486" w:type="pct"/>
            <w:shd w:val="clear" w:color="auto" w:fill="auto"/>
            <w:vAlign w:val="center"/>
          </w:tcPr>
          <w:p w14:paraId="1E09FF27" w14:textId="77777777" w:rsidR="002E2FA8" w:rsidRPr="00DD47DF" w:rsidRDefault="002E2FA8" w:rsidP="00DD63AD">
            <w:pPr>
              <w:pStyle w:val="Tabulka"/>
              <w:rPr>
                <w:rFonts w:cs="Calibri"/>
              </w:rPr>
            </w:pPr>
            <w:r w:rsidRPr="00DD47DF">
              <w:rPr>
                <w:rFonts w:cs="Calibri"/>
              </w:rPr>
              <w:t>122</w:t>
            </w:r>
          </w:p>
        </w:tc>
        <w:tc>
          <w:tcPr>
            <w:tcW w:w="1141" w:type="pct"/>
            <w:shd w:val="clear" w:color="auto" w:fill="auto"/>
            <w:vAlign w:val="center"/>
          </w:tcPr>
          <w:p w14:paraId="008E3ADC" w14:textId="77777777" w:rsidR="002E2FA8" w:rsidRPr="00DD47DF" w:rsidRDefault="002E2FA8" w:rsidP="00720FD1">
            <w:pPr>
              <w:pStyle w:val="Tabulka"/>
              <w:jc w:val="right"/>
              <w:rPr>
                <w:rFonts w:cs="Calibri"/>
              </w:rPr>
            </w:pPr>
            <w:r w:rsidRPr="00DD47DF">
              <w:rPr>
                <w:rFonts w:cs="Calibri"/>
              </w:rPr>
              <w:t>3 754 974</w:t>
            </w:r>
          </w:p>
        </w:tc>
        <w:tc>
          <w:tcPr>
            <w:tcW w:w="456" w:type="pct"/>
            <w:shd w:val="clear" w:color="auto" w:fill="auto"/>
            <w:vAlign w:val="center"/>
          </w:tcPr>
          <w:p w14:paraId="6B74CC88" w14:textId="77777777" w:rsidR="002E2FA8" w:rsidRPr="00DD47DF" w:rsidRDefault="002E2FA8" w:rsidP="00DD63AD">
            <w:pPr>
              <w:pStyle w:val="Tabulka"/>
              <w:rPr>
                <w:rFonts w:cs="Calibri"/>
              </w:rPr>
            </w:pPr>
          </w:p>
        </w:tc>
        <w:tc>
          <w:tcPr>
            <w:tcW w:w="1217" w:type="pct"/>
            <w:shd w:val="clear" w:color="auto" w:fill="auto"/>
            <w:vAlign w:val="center"/>
          </w:tcPr>
          <w:p w14:paraId="7AD7699A" w14:textId="77777777" w:rsidR="002E2FA8" w:rsidRPr="00DD47DF" w:rsidRDefault="002E2FA8" w:rsidP="00720FD1">
            <w:pPr>
              <w:pStyle w:val="Tabulka"/>
              <w:jc w:val="right"/>
              <w:rPr>
                <w:rFonts w:cs="Calibri"/>
              </w:rPr>
            </w:pPr>
          </w:p>
        </w:tc>
        <w:tc>
          <w:tcPr>
            <w:tcW w:w="455" w:type="pct"/>
            <w:shd w:val="clear" w:color="auto" w:fill="auto"/>
            <w:vAlign w:val="center"/>
          </w:tcPr>
          <w:p w14:paraId="34FB296A" w14:textId="77777777" w:rsidR="002E2FA8" w:rsidRPr="00DD47DF" w:rsidRDefault="002E2FA8" w:rsidP="00DD63AD">
            <w:pPr>
              <w:pStyle w:val="Tabulka"/>
              <w:rPr>
                <w:rFonts w:cs="Calibri"/>
              </w:rPr>
            </w:pPr>
          </w:p>
        </w:tc>
        <w:tc>
          <w:tcPr>
            <w:tcW w:w="1245" w:type="pct"/>
            <w:shd w:val="clear" w:color="auto" w:fill="auto"/>
            <w:vAlign w:val="center"/>
          </w:tcPr>
          <w:p w14:paraId="227093B6" w14:textId="77777777" w:rsidR="002E2FA8" w:rsidRPr="00DD47DF" w:rsidRDefault="002E2FA8" w:rsidP="00720FD1">
            <w:pPr>
              <w:pStyle w:val="Tabulka"/>
              <w:jc w:val="right"/>
              <w:rPr>
                <w:rFonts w:cs="Calibri"/>
              </w:rPr>
            </w:pPr>
          </w:p>
        </w:tc>
      </w:tr>
      <w:tr w:rsidR="002E2FA8" w:rsidRPr="00DD47DF" w14:paraId="2BE8F632" w14:textId="77777777">
        <w:tc>
          <w:tcPr>
            <w:tcW w:w="486" w:type="pct"/>
            <w:shd w:val="clear" w:color="auto" w:fill="auto"/>
            <w:vAlign w:val="center"/>
          </w:tcPr>
          <w:p w14:paraId="3FB9A8A7" w14:textId="77777777" w:rsidR="002E2FA8" w:rsidRPr="00DD47DF" w:rsidRDefault="002E2FA8" w:rsidP="00DD63AD">
            <w:pPr>
              <w:pStyle w:val="Tabulka"/>
              <w:rPr>
                <w:rFonts w:cs="Calibri"/>
              </w:rPr>
            </w:pPr>
            <w:r w:rsidRPr="00DD47DF">
              <w:rPr>
                <w:rFonts w:cs="Calibri"/>
              </w:rPr>
              <w:t>123</w:t>
            </w:r>
          </w:p>
        </w:tc>
        <w:tc>
          <w:tcPr>
            <w:tcW w:w="1141" w:type="pct"/>
            <w:shd w:val="clear" w:color="auto" w:fill="auto"/>
            <w:vAlign w:val="center"/>
          </w:tcPr>
          <w:p w14:paraId="5087E56F" w14:textId="77777777" w:rsidR="002E2FA8" w:rsidRPr="00DD47DF" w:rsidRDefault="002E2FA8" w:rsidP="00720FD1">
            <w:pPr>
              <w:pStyle w:val="Tabulka"/>
              <w:jc w:val="right"/>
              <w:rPr>
                <w:rFonts w:cs="Calibri"/>
              </w:rPr>
            </w:pPr>
            <w:r w:rsidRPr="00DD47DF">
              <w:rPr>
                <w:rFonts w:cs="Calibri"/>
              </w:rPr>
              <w:t>15 019 898</w:t>
            </w:r>
          </w:p>
        </w:tc>
        <w:tc>
          <w:tcPr>
            <w:tcW w:w="456" w:type="pct"/>
            <w:shd w:val="clear" w:color="auto" w:fill="auto"/>
            <w:vAlign w:val="center"/>
          </w:tcPr>
          <w:p w14:paraId="0879BA34" w14:textId="77777777" w:rsidR="002E2FA8" w:rsidRPr="00DD47DF" w:rsidRDefault="002E2FA8" w:rsidP="00DD63AD">
            <w:pPr>
              <w:pStyle w:val="Tabulka"/>
              <w:rPr>
                <w:rFonts w:cs="Calibri"/>
              </w:rPr>
            </w:pPr>
          </w:p>
        </w:tc>
        <w:tc>
          <w:tcPr>
            <w:tcW w:w="1217" w:type="pct"/>
            <w:shd w:val="clear" w:color="auto" w:fill="auto"/>
            <w:vAlign w:val="center"/>
          </w:tcPr>
          <w:p w14:paraId="40E91F6D" w14:textId="77777777" w:rsidR="002E2FA8" w:rsidRPr="00DD47DF" w:rsidRDefault="002E2FA8" w:rsidP="00720FD1">
            <w:pPr>
              <w:pStyle w:val="Tabulka"/>
              <w:jc w:val="right"/>
              <w:rPr>
                <w:rFonts w:cs="Calibri"/>
              </w:rPr>
            </w:pPr>
          </w:p>
        </w:tc>
        <w:tc>
          <w:tcPr>
            <w:tcW w:w="455" w:type="pct"/>
            <w:shd w:val="clear" w:color="auto" w:fill="auto"/>
            <w:vAlign w:val="center"/>
          </w:tcPr>
          <w:p w14:paraId="4A677DD3" w14:textId="77777777" w:rsidR="002E2FA8" w:rsidRPr="00DD47DF" w:rsidRDefault="002E2FA8" w:rsidP="00DD63AD">
            <w:pPr>
              <w:pStyle w:val="Tabulka"/>
              <w:rPr>
                <w:rFonts w:cs="Calibri"/>
              </w:rPr>
            </w:pPr>
          </w:p>
        </w:tc>
        <w:tc>
          <w:tcPr>
            <w:tcW w:w="1245" w:type="pct"/>
            <w:shd w:val="clear" w:color="auto" w:fill="auto"/>
            <w:vAlign w:val="center"/>
          </w:tcPr>
          <w:p w14:paraId="7F52F0B3" w14:textId="77777777" w:rsidR="002E2FA8" w:rsidRPr="00DD47DF" w:rsidRDefault="002E2FA8" w:rsidP="00720FD1">
            <w:pPr>
              <w:pStyle w:val="Tabulka"/>
              <w:jc w:val="right"/>
              <w:rPr>
                <w:rFonts w:cs="Calibri"/>
              </w:rPr>
            </w:pPr>
          </w:p>
        </w:tc>
      </w:tr>
    </w:tbl>
    <w:p w14:paraId="233996AF" w14:textId="77777777" w:rsidR="006C0BF1" w:rsidRPr="00DD47DF" w:rsidRDefault="006C0BF1" w:rsidP="006C0BF1">
      <w:pPr>
        <w:overflowPunct/>
        <w:jc w:val="both"/>
        <w:textAlignment w:val="auto"/>
        <w:rPr>
          <w:rFonts w:ascii="Calibri" w:hAnsi="Calibri" w:cs="Calibri"/>
          <w:b/>
          <w:bCs/>
          <w:color w:val="FF0000"/>
          <w:sz w:val="28"/>
          <w:szCs w:val="28"/>
        </w:rPr>
        <w:sectPr w:rsidR="006C0BF1" w:rsidRPr="00DD47DF" w:rsidSect="004126CC">
          <w:headerReference w:type="default" r:id="rId45"/>
          <w:footerReference w:type="default" r:id="rId46"/>
          <w:pgSz w:w="11906" w:h="16838"/>
          <w:pgMar w:top="1418" w:right="1276" w:bottom="1276" w:left="1418" w:header="709" w:footer="709" w:gutter="0"/>
          <w:cols w:space="708"/>
          <w:docGrid w:linePitch="272"/>
        </w:sectPr>
      </w:pPr>
      <w:r w:rsidRPr="00DD47DF">
        <w:rPr>
          <w:rFonts w:ascii="Calibri" w:hAnsi="Calibri" w:cs="Calibri"/>
          <w:bCs/>
          <w:color w:val="FF0000"/>
          <w:sz w:val="24"/>
          <w:szCs w:val="24"/>
        </w:rPr>
        <w:t xml:space="preserve"> </w:t>
      </w:r>
    </w:p>
    <w:p w14:paraId="73568C17" w14:textId="77777777" w:rsidR="008428E3" w:rsidRPr="00DD47DF" w:rsidRDefault="00DD2263" w:rsidP="008428E3">
      <w:pPr>
        <w:pStyle w:val="Nadpis1"/>
      </w:pPr>
      <w:bookmarkStart w:id="113" w:name="_Toc520445320"/>
      <w:r w:rsidRPr="00DD47DF">
        <w:lastRenderedPageBreak/>
        <w:t>Plán financování</w:t>
      </w:r>
      <w:bookmarkEnd w:id="113"/>
    </w:p>
    <w:p w14:paraId="5A494A5C" w14:textId="77777777" w:rsidR="00D97F09" w:rsidRPr="00DD47DF" w:rsidRDefault="00DD2263" w:rsidP="00DD2263">
      <w:pPr>
        <w:pStyle w:val="Nadpis2"/>
        <w:rPr>
          <w:rFonts w:cs="Calibri"/>
        </w:rPr>
      </w:pPr>
      <w:bookmarkStart w:id="114" w:name="_Toc520445321"/>
      <w:r w:rsidRPr="00DD47DF">
        <w:rPr>
          <w:rFonts w:cs="Calibri"/>
        </w:rPr>
        <w:t>Finanční podpora z každého fondu a částky týkající se výkonnostní rezervy</w:t>
      </w:r>
      <w:bookmarkEnd w:id="114"/>
    </w:p>
    <w:p w14:paraId="48B69CF0" w14:textId="77777777" w:rsidR="003520F2" w:rsidRPr="00DD47DF" w:rsidRDefault="00434475" w:rsidP="000835C2">
      <w:pPr>
        <w:pStyle w:val="Titulek"/>
        <w:rPr>
          <w:noProof/>
        </w:rPr>
      </w:pPr>
      <w:r w:rsidRPr="00DD47DF">
        <w:rPr>
          <w:rFonts w:cs="Calibri"/>
          <w:szCs w:val="24"/>
        </w:rPr>
        <w:t>Tabulka</w:t>
      </w:r>
      <w:r w:rsidR="000835C2" w:rsidRPr="00DD47DF">
        <w:rPr>
          <w:rFonts w:cs="Calibri"/>
          <w:szCs w:val="24"/>
        </w:rPr>
        <w:t xml:space="preserve"> </w:t>
      </w:r>
      <w:r w:rsidR="002756E7" w:rsidRPr="00DD47DF">
        <w:fldChar w:fldCharType="begin"/>
      </w:r>
      <w:r w:rsidR="000E35F2" w:rsidRPr="00DD47DF">
        <w:instrText xml:space="preserve"> SEQ Tabulka \* ARABIC </w:instrText>
      </w:r>
      <w:r w:rsidR="002756E7" w:rsidRPr="00DD47DF">
        <w:fldChar w:fldCharType="separate"/>
      </w:r>
      <w:r w:rsidR="00117847">
        <w:rPr>
          <w:noProof/>
        </w:rPr>
        <w:t>17</w:t>
      </w:r>
      <w:r w:rsidR="002756E7" w:rsidRPr="00DD47DF">
        <w:rPr>
          <w:noProof/>
        </w:rPr>
        <w:fldChar w:fldCharType="end"/>
      </w:r>
    </w:p>
    <w:tbl>
      <w:tblPr>
        <w:tblW w:w="500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531"/>
        <w:gridCol w:w="660"/>
        <w:gridCol w:w="965"/>
        <w:gridCol w:w="742"/>
        <w:gridCol w:w="854"/>
        <w:gridCol w:w="651"/>
        <w:gridCol w:w="854"/>
        <w:gridCol w:w="651"/>
        <w:gridCol w:w="854"/>
        <w:gridCol w:w="651"/>
        <w:gridCol w:w="854"/>
        <w:gridCol w:w="651"/>
        <w:gridCol w:w="854"/>
        <w:gridCol w:w="651"/>
        <w:gridCol w:w="854"/>
        <w:gridCol w:w="651"/>
        <w:gridCol w:w="854"/>
        <w:gridCol w:w="651"/>
        <w:gridCol w:w="842"/>
      </w:tblGrid>
      <w:tr w:rsidR="00CE6DD0" w:rsidRPr="00DD47DF" w14:paraId="3E6F0FBD" w14:textId="77777777" w:rsidTr="000435CB">
        <w:trPr>
          <w:trHeight w:val="525"/>
        </w:trPr>
        <w:tc>
          <w:tcPr>
            <w:tcW w:w="186" w:type="pct"/>
            <w:vMerge w:val="restart"/>
            <w:shd w:val="clear" w:color="auto" w:fill="auto"/>
          </w:tcPr>
          <w:p w14:paraId="20AF8426" w14:textId="77777777" w:rsidR="00CE6DD0" w:rsidRPr="00DD47DF" w:rsidRDefault="00CE6DD0" w:rsidP="000435CB">
            <w:pPr>
              <w:pStyle w:val="Tabulka"/>
              <w:rPr>
                <w:rFonts w:cs="Calibri"/>
                <w:b/>
                <w:sz w:val="16"/>
                <w:szCs w:val="16"/>
              </w:rPr>
            </w:pPr>
          </w:p>
          <w:p w14:paraId="086D5AEF" w14:textId="77777777" w:rsidR="00CE6DD0" w:rsidRPr="00DD47DF" w:rsidRDefault="00CE6DD0" w:rsidP="000435CB">
            <w:pPr>
              <w:pStyle w:val="Tabulka"/>
              <w:rPr>
                <w:rFonts w:cs="Calibri"/>
                <w:b/>
                <w:sz w:val="16"/>
                <w:szCs w:val="16"/>
              </w:rPr>
            </w:pPr>
          </w:p>
        </w:tc>
        <w:tc>
          <w:tcPr>
            <w:tcW w:w="231" w:type="pct"/>
            <w:vMerge w:val="restart"/>
            <w:shd w:val="clear" w:color="auto" w:fill="B8CCE4"/>
          </w:tcPr>
          <w:p w14:paraId="66462DFB" w14:textId="77777777" w:rsidR="00CE6DD0" w:rsidRPr="00DD47DF" w:rsidRDefault="00CE6DD0" w:rsidP="000435CB">
            <w:pPr>
              <w:pStyle w:val="Tabulka"/>
              <w:rPr>
                <w:rFonts w:cs="Calibri"/>
                <w:b/>
                <w:sz w:val="16"/>
                <w:szCs w:val="16"/>
              </w:rPr>
            </w:pPr>
            <w:r w:rsidRPr="00DD47DF">
              <w:rPr>
                <w:rFonts w:cs="Calibri"/>
                <w:b/>
                <w:sz w:val="16"/>
                <w:szCs w:val="16"/>
              </w:rPr>
              <w:t>Fond</w:t>
            </w:r>
          </w:p>
        </w:tc>
        <w:tc>
          <w:tcPr>
            <w:tcW w:w="338" w:type="pct"/>
            <w:vMerge w:val="restart"/>
            <w:shd w:val="clear" w:color="auto" w:fill="B8CCE4"/>
          </w:tcPr>
          <w:p w14:paraId="2D5EE800" w14:textId="77777777" w:rsidR="00CE6DD0" w:rsidRPr="00DD47DF" w:rsidRDefault="00CE6DD0" w:rsidP="000435CB">
            <w:pPr>
              <w:pStyle w:val="Tabulka"/>
              <w:rPr>
                <w:rFonts w:cs="Calibri"/>
                <w:b/>
                <w:sz w:val="16"/>
                <w:szCs w:val="16"/>
              </w:rPr>
            </w:pPr>
            <w:r w:rsidRPr="00DD47DF">
              <w:rPr>
                <w:rFonts w:cs="Calibri"/>
                <w:b/>
                <w:sz w:val="16"/>
                <w:szCs w:val="16"/>
              </w:rPr>
              <w:t> Kategorie regionu</w:t>
            </w:r>
          </w:p>
        </w:tc>
        <w:tc>
          <w:tcPr>
            <w:tcW w:w="559" w:type="pct"/>
            <w:gridSpan w:val="2"/>
            <w:shd w:val="clear" w:color="auto" w:fill="B8CCE4"/>
          </w:tcPr>
          <w:p w14:paraId="2CF71E78" w14:textId="77777777" w:rsidR="00CE6DD0" w:rsidRPr="00DD47DF" w:rsidRDefault="00CE6DD0" w:rsidP="000435CB">
            <w:pPr>
              <w:pStyle w:val="Tabulka"/>
              <w:rPr>
                <w:rFonts w:cs="Calibri"/>
                <w:b/>
                <w:sz w:val="16"/>
                <w:szCs w:val="16"/>
              </w:rPr>
            </w:pPr>
            <w:r w:rsidRPr="00DD47DF">
              <w:rPr>
                <w:rFonts w:cs="Calibri"/>
                <w:b/>
                <w:sz w:val="16"/>
                <w:szCs w:val="16"/>
              </w:rPr>
              <w:t>2014</w:t>
            </w:r>
          </w:p>
        </w:tc>
        <w:tc>
          <w:tcPr>
            <w:tcW w:w="527" w:type="pct"/>
            <w:gridSpan w:val="2"/>
            <w:shd w:val="clear" w:color="auto" w:fill="B8CCE4"/>
          </w:tcPr>
          <w:p w14:paraId="1F58AC99" w14:textId="77777777" w:rsidR="00CE6DD0" w:rsidRPr="00DD47DF" w:rsidRDefault="00CE6DD0" w:rsidP="000435CB">
            <w:pPr>
              <w:pStyle w:val="Tabulka"/>
              <w:rPr>
                <w:rFonts w:cs="Calibri"/>
                <w:b/>
                <w:sz w:val="16"/>
                <w:szCs w:val="16"/>
              </w:rPr>
            </w:pPr>
            <w:r w:rsidRPr="00DD47DF">
              <w:rPr>
                <w:rFonts w:cs="Calibri"/>
                <w:b/>
                <w:sz w:val="16"/>
                <w:szCs w:val="16"/>
              </w:rPr>
              <w:t>2015</w:t>
            </w:r>
          </w:p>
        </w:tc>
        <w:tc>
          <w:tcPr>
            <w:tcW w:w="527" w:type="pct"/>
            <w:gridSpan w:val="2"/>
            <w:shd w:val="clear" w:color="auto" w:fill="B8CCE4"/>
          </w:tcPr>
          <w:p w14:paraId="27E23C9B" w14:textId="77777777" w:rsidR="00CE6DD0" w:rsidRPr="00DD47DF" w:rsidRDefault="00CE6DD0" w:rsidP="000435CB">
            <w:pPr>
              <w:pStyle w:val="Tabulka"/>
              <w:rPr>
                <w:rFonts w:cs="Calibri"/>
                <w:b/>
                <w:sz w:val="16"/>
                <w:szCs w:val="16"/>
              </w:rPr>
            </w:pPr>
            <w:r w:rsidRPr="00DD47DF">
              <w:rPr>
                <w:rFonts w:cs="Calibri"/>
                <w:b/>
                <w:sz w:val="16"/>
                <w:szCs w:val="16"/>
              </w:rPr>
              <w:t>2016</w:t>
            </w:r>
          </w:p>
        </w:tc>
        <w:tc>
          <w:tcPr>
            <w:tcW w:w="527" w:type="pct"/>
            <w:gridSpan w:val="2"/>
            <w:shd w:val="clear" w:color="auto" w:fill="B8CCE4"/>
          </w:tcPr>
          <w:p w14:paraId="2D3BC3AD" w14:textId="77777777" w:rsidR="00CE6DD0" w:rsidRPr="00DD47DF" w:rsidRDefault="00CE6DD0" w:rsidP="000435CB">
            <w:pPr>
              <w:pStyle w:val="Tabulka"/>
              <w:rPr>
                <w:rFonts w:cs="Calibri"/>
                <w:b/>
                <w:sz w:val="16"/>
                <w:szCs w:val="16"/>
              </w:rPr>
            </w:pPr>
            <w:r w:rsidRPr="00DD47DF">
              <w:rPr>
                <w:rFonts w:cs="Calibri"/>
                <w:b/>
                <w:sz w:val="16"/>
                <w:szCs w:val="16"/>
              </w:rPr>
              <w:t>2017</w:t>
            </w:r>
          </w:p>
        </w:tc>
        <w:tc>
          <w:tcPr>
            <w:tcW w:w="527" w:type="pct"/>
            <w:gridSpan w:val="2"/>
            <w:shd w:val="clear" w:color="auto" w:fill="B8CCE4"/>
          </w:tcPr>
          <w:p w14:paraId="68CE949E" w14:textId="77777777" w:rsidR="00CE6DD0" w:rsidRPr="00DD47DF" w:rsidRDefault="00CE6DD0" w:rsidP="000435CB">
            <w:pPr>
              <w:pStyle w:val="Tabulka"/>
              <w:rPr>
                <w:rFonts w:cs="Calibri"/>
                <w:b/>
                <w:sz w:val="16"/>
                <w:szCs w:val="16"/>
              </w:rPr>
            </w:pPr>
            <w:r w:rsidRPr="00DD47DF">
              <w:rPr>
                <w:rFonts w:cs="Calibri"/>
                <w:b/>
                <w:sz w:val="16"/>
                <w:szCs w:val="16"/>
              </w:rPr>
              <w:t>2018</w:t>
            </w:r>
          </w:p>
        </w:tc>
        <w:tc>
          <w:tcPr>
            <w:tcW w:w="527" w:type="pct"/>
            <w:gridSpan w:val="2"/>
            <w:shd w:val="clear" w:color="auto" w:fill="B8CCE4"/>
          </w:tcPr>
          <w:p w14:paraId="58286A42" w14:textId="77777777" w:rsidR="00CE6DD0" w:rsidRPr="00DD47DF" w:rsidRDefault="00CE6DD0" w:rsidP="000435CB">
            <w:pPr>
              <w:pStyle w:val="Tabulka"/>
              <w:rPr>
                <w:rFonts w:cs="Calibri"/>
                <w:b/>
                <w:sz w:val="16"/>
                <w:szCs w:val="16"/>
              </w:rPr>
            </w:pPr>
            <w:r w:rsidRPr="00DD47DF">
              <w:rPr>
                <w:rFonts w:cs="Calibri"/>
                <w:b/>
                <w:sz w:val="16"/>
                <w:szCs w:val="16"/>
              </w:rPr>
              <w:t>2019</w:t>
            </w:r>
          </w:p>
        </w:tc>
        <w:tc>
          <w:tcPr>
            <w:tcW w:w="527" w:type="pct"/>
            <w:gridSpan w:val="2"/>
            <w:shd w:val="clear" w:color="auto" w:fill="B8CCE4"/>
          </w:tcPr>
          <w:p w14:paraId="21813F4B" w14:textId="77777777" w:rsidR="00CE6DD0" w:rsidRPr="00DD47DF" w:rsidRDefault="00CE6DD0" w:rsidP="000435CB">
            <w:pPr>
              <w:pStyle w:val="Tabulka"/>
              <w:rPr>
                <w:rFonts w:cs="Calibri"/>
                <w:b/>
                <w:sz w:val="16"/>
                <w:szCs w:val="16"/>
              </w:rPr>
            </w:pPr>
            <w:r w:rsidRPr="00DD47DF">
              <w:rPr>
                <w:rFonts w:cs="Calibri"/>
                <w:b/>
                <w:sz w:val="16"/>
                <w:szCs w:val="16"/>
              </w:rPr>
              <w:t>2020</w:t>
            </w:r>
          </w:p>
        </w:tc>
        <w:tc>
          <w:tcPr>
            <w:tcW w:w="523" w:type="pct"/>
            <w:gridSpan w:val="2"/>
            <w:shd w:val="clear" w:color="auto" w:fill="B8CCE4"/>
          </w:tcPr>
          <w:p w14:paraId="7665E780" w14:textId="77777777" w:rsidR="00CE6DD0" w:rsidRPr="00DD47DF" w:rsidRDefault="00CE6DD0" w:rsidP="000435CB">
            <w:pPr>
              <w:pStyle w:val="Tabulka"/>
              <w:rPr>
                <w:rFonts w:cs="Calibri"/>
                <w:b/>
                <w:sz w:val="16"/>
                <w:szCs w:val="16"/>
              </w:rPr>
            </w:pPr>
            <w:r w:rsidRPr="00DD47DF">
              <w:rPr>
                <w:rFonts w:cs="Calibri"/>
                <w:b/>
                <w:sz w:val="16"/>
                <w:szCs w:val="16"/>
              </w:rPr>
              <w:t>Celkem</w:t>
            </w:r>
          </w:p>
        </w:tc>
      </w:tr>
      <w:tr w:rsidR="00CE6DD0" w:rsidRPr="00DD47DF" w14:paraId="10556F87" w14:textId="77777777" w:rsidTr="000435CB">
        <w:trPr>
          <w:trHeight w:val="525"/>
        </w:trPr>
        <w:tc>
          <w:tcPr>
            <w:tcW w:w="186" w:type="pct"/>
            <w:vMerge/>
            <w:shd w:val="clear" w:color="auto" w:fill="auto"/>
          </w:tcPr>
          <w:p w14:paraId="45BB916A" w14:textId="77777777" w:rsidR="00CE6DD0" w:rsidRPr="00DD47DF" w:rsidRDefault="00CE6DD0" w:rsidP="000435CB">
            <w:pPr>
              <w:pStyle w:val="Tabulka"/>
              <w:rPr>
                <w:rFonts w:cs="Calibri"/>
                <w:sz w:val="16"/>
                <w:szCs w:val="16"/>
              </w:rPr>
            </w:pPr>
          </w:p>
        </w:tc>
        <w:tc>
          <w:tcPr>
            <w:tcW w:w="231" w:type="pct"/>
            <w:vMerge/>
          </w:tcPr>
          <w:p w14:paraId="47C65B7C" w14:textId="77777777" w:rsidR="00CE6DD0" w:rsidRPr="00DD47DF" w:rsidRDefault="00CE6DD0" w:rsidP="000435CB">
            <w:pPr>
              <w:pStyle w:val="Tabulka"/>
              <w:rPr>
                <w:rFonts w:cs="Calibri"/>
                <w:sz w:val="16"/>
                <w:szCs w:val="16"/>
              </w:rPr>
            </w:pPr>
          </w:p>
        </w:tc>
        <w:tc>
          <w:tcPr>
            <w:tcW w:w="338" w:type="pct"/>
            <w:vMerge/>
            <w:shd w:val="clear" w:color="auto" w:fill="auto"/>
          </w:tcPr>
          <w:p w14:paraId="1FB084EE" w14:textId="77777777" w:rsidR="00CE6DD0" w:rsidRPr="00DD47DF" w:rsidRDefault="00CE6DD0" w:rsidP="000435CB">
            <w:pPr>
              <w:pStyle w:val="Tabulka"/>
              <w:rPr>
                <w:rFonts w:cs="Calibri"/>
                <w:sz w:val="16"/>
                <w:szCs w:val="16"/>
              </w:rPr>
            </w:pPr>
          </w:p>
        </w:tc>
        <w:tc>
          <w:tcPr>
            <w:tcW w:w="260" w:type="pct"/>
            <w:shd w:val="clear" w:color="auto" w:fill="DBE5F1"/>
          </w:tcPr>
          <w:p w14:paraId="51E872FB" w14:textId="77777777" w:rsidR="00CE6DD0" w:rsidRPr="00DD47DF" w:rsidRDefault="00CE6DD0" w:rsidP="000435CB">
            <w:pPr>
              <w:pStyle w:val="Tabulka"/>
              <w:rPr>
                <w:rFonts w:cs="Calibri"/>
                <w:sz w:val="16"/>
                <w:szCs w:val="16"/>
              </w:rPr>
            </w:pPr>
            <w:r w:rsidRPr="00DD47DF">
              <w:rPr>
                <w:rFonts w:cs="Calibri"/>
                <w:sz w:val="16"/>
                <w:szCs w:val="16"/>
              </w:rPr>
              <w:t>Hlavní příděl</w:t>
            </w:r>
            <w:r w:rsidRPr="00DD47DF">
              <w:rPr>
                <w:rStyle w:val="Znakapoznpodarou"/>
                <w:rFonts w:ascii="Arial" w:hAnsi="Arial" w:cs="Arial"/>
                <w:sz w:val="16"/>
                <w:szCs w:val="16"/>
              </w:rPr>
              <w:footnoteReference w:id="81"/>
            </w:r>
          </w:p>
        </w:tc>
        <w:tc>
          <w:tcPr>
            <w:tcW w:w="299" w:type="pct"/>
            <w:shd w:val="clear" w:color="auto" w:fill="DBE5F1"/>
          </w:tcPr>
          <w:p w14:paraId="5D8FDCD3" w14:textId="77777777" w:rsidR="00CE6DD0" w:rsidRPr="00DD47DF" w:rsidRDefault="00CE6DD0" w:rsidP="000435CB">
            <w:pPr>
              <w:pStyle w:val="Tabulka"/>
              <w:rPr>
                <w:rFonts w:cs="Calibri"/>
                <w:sz w:val="16"/>
                <w:szCs w:val="16"/>
              </w:rPr>
            </w:pPr>
            <w:r w:rsidRPr="00DD47DF">
              <w:rPr>
                <w:rFonts w:cs="Calibri"/>
                <w:sz w:val="16"/>
                <w:szCs w:val="16"/>
              </w:rPr>
              <w:t xml:space="preserve">Výkonnostní rezerva </w:t>
            </w:r>
          </w:p>
        </w:tc>
        <w:tc>
          <w:tcPr>
            <w:tcW w:w="228" w:type="pct"/>
            <w:shd w:val="clear" w:color="auto" w:fill="DBE5F1"/>
          </w:tcPr>
          <w:p w14:paraId="73177C17" w14:textId="77777777" w:rsidR="00CE6DD0" w:rsidRPr="00DD47DF" w:rsidRDefault="00CE6DD0" w:rsidP="000435CB">
            <w:pPr>
              <w:pStyle w:val="Tabulka"/>
              <w:rPr>
                <w:rFonts w:cs="Calibri"/>
                <w:sz w:val="16"/>
                <w:szCs w:val="16"/>
              </w:rPr>
            </w:pPr>
            <w:r w:rsidRPr="00DD47DF">
              <w:rPr>
                <w:rFonts w:cs="Calibri"/>
                <w:sz w:val="16"/>
                <w:szCs w:val="16"/>
              </w:rPr>
              <w:t>Hlavní příděl</w:t>
            </w:r>
          </w:p>
        </w:tc>
        <w:tc>
          <w:tcPr>
            <w:tcW w:w="299" w:type="pct"/>
            <w:shd w:val="clear" w:color="auto" w:fill="DBE5F1"/>
          </w:tcPr>
          <w:p w14:paraId="67007EB5" w14:textId="77777777" w:rsidR="00CE6DD0" w:rsidRPr="00DD47DF" w:rsidRDefault="00CE6DD0" w:rsidP="000435CB">
            <w:pPr>
              <w:pStyle w:val="Tabulka"/>
              <w:rPr>
                <w:rFonts w:cs="Calibri"/>
                <w:sz w:val="16"/>
                <w:szCs w:val="16"/>
              </w:rPr>
            </w:pPr>
            <w:r w:rsidRPr="00DD47DF">
              <w:rPr>
                <w:rFonts w:cs="Calibri"/>
                <w:sz w:val="16"/>
                <w:szCs w:val="16"/>
              </w:rPr>
              <w:t>Výkonnostní rezerva</w:t>
            </w:r>
          </w:p>
        </w:tc>
        <w:tc>
          <w:tcPr>
            <w:tcW w:w="228" w:type="pct"/>
            <w:shd w:val="clear" w:color="auto" w:fill="DBE5F1"/>
          </w:tcPr>
          <w:p w14:paraId="1909C571" w14:textId="77777777" w:rsidR="00CE6DD0" w:rsidRPr="00DD47DF" w:rsidRDefault="00CE6DD0" w:rsidP="000435CB">
            <w:pPr>
              <w:pStyle w:val="Tabulka"/>
              <w:rPr>
                <w:rFonts w:cs="Calibri"/>
                <w:sz w:val="16"/>
                <w:szCs w:val="16"/>
              </w:rPr>
            </w:pPr>
            <w:r w:rsidRPr="00DD47DF">
              <w:rPr>
                <w:rFonts w:cs="Calibri"/>
                <w:sz w:val="16"/>
                <w:szCs w:val="16"/>
              </w:rPr>
              <w:t>Hlavní příděl</w:t>
            </w:r>
          </w:p>
        </w:tc>
        <w:tc>
          <w:tcPr>
            <w:tcW w:w="299" w:type="pct"/>
            <w:shd w:val="clear" w:color="auto" w:fill="DBE5F1"/>
          </w:tcPr>
          <w:p w14:paraId="26E831CE" w14:textId="77777777" w:rsidR="00CE6DD0" w:rsidRPr="00DD47DF" w:rsidRDefault="00CE6DD0" w:rsidP="000435CB">
            <w:pPr>
              <w:pStyle w:val="Tabulka"/>
              <w:rPr>
                <w:rFonts w:cs="Calibri"/>
                <w:sz w:val="16"/>
                <w:szCs w:val="16"/>
              </w:rPr>
            </w:pPr>
            <w:r w:rsidRPr="00DD47DF">
              <w:rPr>
                <w:rFonts w:cs="Calibri"/>
                <w:sz w:val="16"/>
                <w:szCs w:val="16"/>
              </w:rPr>
              <w:t>Výkonnostní rezerva</w:t>
            </w:r>
          </w:p>
        </w:tc>
        <w:tc>
          <w:tcPr>
            <w:tcW w:w="228" w:type="pct"/>
            <w:shd w:val="clear" w:color="auto" w:fill="DBE5F1"/>
          </w:tcPr>
          <w:p w14:paraId="34CB76B1" w14:textId="77777777" w:rsidR="00CE6DD0" w:rsidRPr="00DD47DF" w:rsidRDefault="00CE6DD0" w:rsidP="000435CB">
            <w:pPr>
              <w:pStyle w:val="Tabulka"/>
              <w:rPr>
                <w:rFonts w:cs="Calibri"/>
                <w:sz w:val="16"/>
                <w:szCs w:val="16"/>
              </w:rPr>
            </w:pPr>
            <w:r w:rsidRPr="00DD47DF">
              <w:rPr>
                <w:rFonts w:cs="Calibri"/>
                <w:sz w:val="16"/>
                <w:szCs w:val="16"/>
              </w:rPr>
              <w:t>Hlavní příděl</w:t>
            </w:r>
          </w:p>
        </w:tc>
        <w:tc>
          <w:tcPr>
            <w:tcW w:w="299" w:type="pct"/>
            <w:shd w:val="clear" w:color="auto" w:fill="DBE5F1"/>
          </w:tcPr>
          <w:p w14:paraId="7C952962" w14:textId="77777777" w:rsidR="00CE6DD0" w:rsidRPr="00DD47DF" w:rsidRDefault="00CE6DD0" w:rsidP="000435CB">
            <w:pPr>
              <w:pStyle w:val="Tabulka"/>
              <w:rPr>
                <w:rFonts w:cs="Calibri"/>
                <w:sz w:val="16"/>
                <w:szCs w:val="16"/>
              </w:rPr>
            </w:pPr>
            <w:r w:rsidRPr="00DD47DF">
              <w:rPr>
                <w:rFonts w:cs="Calibri"/>
                <w:sz w:val="16"/>
                <w:szCs w:val="16"/>
              </w:rPr>
              <w:t>Výkonnostní rezerva</w:t>
            </w:r>
          </w:p>
        </w:tc>
        <w:tc>
          <w:tcPr>
            <w:tcW w:w="228" w:type="pct"/>
            <w:shd w:val="clear" w:color="auto" w:fill="DBE5F1"/>
          </w:tcPr>
          <w:p w14:paraId="01618094" w14:textId="77777777" w:rsidR="00CE6DD0" w:rsidRPr="00DD47DF" w:rsidRDefault="00CE6DD0" w:rsidP="000435CB">
            <w:pPr>
              <w:pStyle w:val="Tabulka"/>
              <w:rPr>
                <w:rFonts w:cs="Calibri"/>
                <w:sz w:val="16"/>
                <w:szCs w:val="16"/>
              </w:rPr>
            </w:pPr>
            <w:r w:rsidRPr="00DD47DF">
              <w:rPr>
                <w:rFonts w:cs="Calibri"/>
                <w:sz w:val="16"/>
                <w:szCs w:val="16"/>
              </w:rPr>
              <w:t>Hlavní příděl</w:t>
            </w:r>
          </w:p>
        </w:tc>
        <w:tc>
          <w:tcPr>
            <w:tcW w:w="299" w:type="pct"/>
            <w:shd w:val="clear" w:color="auto" w:fill="DBE5F1"/>
          </w:tcPr>
          <w:p w14:paraId="148E5781" w14:textId="77777777" w:rsidR="00CE6DD0" w:rsidRPr="00DD47DF" w:rsidRDefault="00CE6DD0" w:rsidP="000435CB">
            <w:pPr>
              <w:pStyle w:val="Tabulka"/>
              <w:rPr>
                <w:rFonts w:cs="Calibri"/>
                <w:sz w:val="16"/>
                <w:szCs w:val="16"/>
              </w:rPr>
            </w:pPr>
            <w:r w:rsidRPr="00DD47DF">
              <w:rPr>
                <w:rFonts w:cs="Calibri"/>
                <w:sz w:val="16"/>
                <w:szCs w:val="16"/>
              </w:rPr>
              <w:t>Výkonnostní rezerva</w:t>
            </w:r>
          </w:p>
        </w:tc>
        <w:tc>
          <w:tcPr>
            <w:tcW w:w="228" w:type="pct"/>
            <w:shd w:val="clear" w:color="auto" w:fill="DBE5F1"/>
          </w:tcPr>
          <w:p w14:paraId="33BFAA03" w14:textId="77777777" w:rsidR="00CE6DD0" w:rsidRPr="00DD47DF" w:rsidRDefault="00CE6DD0" w:rsidP="000435CB">
            <w:pPr>
              <w:pStyle w:val="Tabulka"/>
              <w:rPr>
                <w:rFonts w:cs="Calibri"/>
                <w:sz w:val="16"/>
                <w:szCs w:val="16"/>
              </w:rPr>
            </w:pPr>
            <w:r w:rsidRPr="00DD47DF">
              <w:rPr>
                <w:rFonts w:cs="Calibri"/>
                <w:sz w:val="16"/>
                <w:szCs w:val="16"/>
              </w:rPr>
              <w:t>Hlavní příděl</w:t>
            </w:r>
          </w:p>
        </w:tc>
        <w:tc>
          <w:tcPr>
            <w:tcW w:w="299" w:type="pct"/>
            <w:shd w:val="clear" w:color="auto" w:fill="DBE5F1"/>
          </w:tcPr>
          <w:p w14:paraId="5AE9F244" w14:textId="77777777" w:rsidR="00CE6DD0" w:rsidRPr="00DD47DF" w:rsidRDefault="00CE6DD0" w:rsidP="000435CB">
            <w:pPr>
              <w:pStyle w:val="Tabulka"/>
              <w:rPr>
                <w:rFonts w:cs="Calibri"/>
                <w:sz w:val="16"/>
                <w:szCs w:val="16"/>
              </w:rPr>
            </w:pPr>
            <w:r w:rsidRPr="00DD47DF">
              <w:rPr>
                <w:rFonts w:cs="Calibri"/>
                <w:sz w:val="16"/>
                <w:szCs w:val="16"/>
              </w:rPr>
              <w:t>Výkonnostní rezerva</w:t>
            </w:r>
          </w:p>
        </w:tc>
        <w:tc>
          <w:tcPr>
            <w:tcW w:w="228" w:type="pct"/>
            <w:shd w:val="clear" w:color="auto" w:fill="DBE5F1"/>
          </w:tcPr>
          <w:p w14:paraId="5C001399" w14:textId="77777777" w:rsidR="00CE6DD0" w:rsidRPr="00DD47DF" w:rsidRDefault="00CE6DD0" w:rsidP="000435CB">
            <w:pPr>
              <w:pStyle w:val="Tabulka"/>
              <w:rPr>
                <w:rFonts w:cs="Calibri"/>
                <w:sz w:val="16"/>
                <w:szCs w:val="16"/>
              </w:rPr>
            </w:pPr>
            <w:r w:rsidRPr="00DD47DF">
              <w:rPr>
                <w:rFonts w:cs="Calibri"/>
                <w:sz w:val="16"/>
                <w:szCs w:val="16"/>
              </w:rPr>
              <w:t>Hlavní příděl</w:t>
            </w:r>
          </w:p>
        </w:tc>
        <w:tc>
          <w:tcPr>
            <w:tcW w:w="299" w:type="pct"/>
            <w:shd w:val="clear" w:color="auto" w:fill="DBE5F1"/>
          </w:tcPr>
          <w:p w14:paraId="09FCC487" w14:textId="77777777" w:rsidR="00CE6DD0" w:rsidRPr="00DD47DF" w:rsidRDefault="00CE6DD0" w:rsidP="000435CB">
            <w:pPr>
              <w:pStyle w:val="Tabulka"/>
              <w:rPr>
                <w:rFonts w:cs="Calibri"/>
                <w:sz w:val="16"/>
                <w:szCs w:val="16"/>
              </w:rPr>
            </w:pPr>
            <w:r w:rsidRPr="00DD47DF">
              <w:rPr>
                <w:rFonts w:cs="Calibri"/>
                <w:sz w:val="16"/>
                <w:szCs w:val="16"/>
              </w:rPr>
              <w:t>Výkonnostní rezerva</w:t>
            </w:r>
          </w:p>
        </w:tc>
        <w:tc>
          <w:tcPr>
            <w:tcW w:w="228" w:type="pct"/>
            <w:shd w:val="clear" w:color="auto" w:fill="DBE5F1"/>
          </w:tcPr>
          <w:p w14:paraId="410C30C1" w14:textId="77777777" w:rsidR="00CE6DD0" w:rsidRPr="00DD47DF" w:rsidRDefault="00CE6DD0" w:rsidP="000435CB">
            <w:pPr>
              <w:pStyle w:val="Tabulka"/>
              <w:rPr>
                <w:rFonts w:cs="Calibri"/>
                <w:sz w:val="16"/>
                <w:szCs w:val="16"/>
              </w:rPr>
            </w:pPr>
            <w:r w:rsidRPr="00DD47DF">
              <w:rPr>
                <w:rFonts w:cs="Calibri"/>
                <w:sz w:val="16"/>
                <w:szCs w:val="16"/>
              </w:rPr>
              <w:t>Hlavní příděl</w:t>
            </w:r>
          </w:p>
        </w:tc>
        <w:tc>
          <w:tcPr>
            <w:tcW w:w="295" w:type="pct"/>
            <w:shd w:val="clear" w:color="auto" w:fill="DBE5F1"/>
          </w:tcPr>
          <w:p w14:paraId="0BB7416B" w14:textId="77777777" w:rsidR="00CE6DD0" w:rsidRPr="00DD47DF" w:rsidRDefault="00CE6DD0" w:rsidP="000435CB">
            <w:pPr>
              <w:pStyle w:val="Tabulka"/>
              <w:rPr>
                <w:rFonts w:cs="Calibri"/>
                <w:sz w:val="16"/>
                <w:szCs w:val="16"/>
              </w:rPr>
            </w:pPr>
            <w:r w:rsidRPr="00DD47DF">
              <w:rPr>
                <w:rFonts w:cs="Calibri"/>
                <w:sz w:val="16"/>
                <w:szCs w:val="16"/>
              </w:rPr>
              <w:t>Výkonnostní rezerva</w:t>
            </w:r>
          </w:p>
        </w:tc>
      </w:tr>
      <w:tr w:rsidR="00501978" w:rsidRPr="00DD47DF" w14:paraId="7D4AB9D1" w14:textId="77777777" w:rsidTr="00B81F2F">
        <w:trPr>
          <w:trHeight w:val="525"/>
        </w:trPr>
        <w:tc>
          <w:tcPr>
            <w:tcW w:w="186" w:type="pct"/>
            <w:vAlign w:val="center"/>
          </w:tcPr>
          <w:p w14:paraId="38A456B9" w14:textId="77777777" w:rsidR="00501978" w:rsidRPr="00DD47DF" w:rsidRDefault="00501978" w:rsidP="000435CB">
            <w:pPr>
              <w:pStyle w:val="Tabulka"/>
              <w:rPr>
                <w:rFonts w:cs="Calibri"/>
                <w:sz w:val="16"/>
                <w:szCs w:val="16"/>
              </w:rPr>
            </w:pPr>
            <w:r w:rsidRPr="00DD47DF">
              <w:rPr>
                <w:rFonts w:cs="Calibri"/>
                <w:sz w:val="16"/>
                <w:szCs w:val="16"/>
              </w:rPr>
              <w:t>(1)</w:t>
            </w:r>
          </w:p>
        </w:tc>
        <w:tc>
          <w:tcPr>
            <w:tcW w:w="231" w:type="pct"/>
            <w:tcBorders>
              <w:right w:val="single" w:sz="4" w:space="0" w:color="auto"/>
            </w:tcBorders>
            <w:vAlign w:val="center"/>
          </w:tcPr>
          <w:p w14:paraId="139FD864" w14:textId="77777777" w:rsidR="00501978" w:rsidRPr="00DD47DF" w:rsidRDefault="00501978" w:rsidP="000435CB">
            <w:pPr>
              <w:pStyle w:val="Tabulka"/>
              <w:jc w:val="left"/>
              <w:rPr>
                <w:rFonts w:cs="Calibri"/>
                <w:sz w:val="16"/>
                <w:szCs w:val="16"/>
              </w:rPr>
            </w:pPr>
            <w:r w:rsidRPr="00DD47DF">
              <w:rPr>
                <w:rFonts w:cs="Calibri"/>
                <w:sz w:val="16"/>
                <w:szCs w:val="16"/>
              </w:rPr>
              <w:t>EFRR</w:t>
            </w:r>
          </w:p>
        </w:tc>
        <w:tc>
          <w:tcPr>
            <w:tcW w:w="338" w:type="pct"/>
            <w:tcBorders>
              <w:left w:val="single" w:sz="4" w:space="0" w:color="auto"/>
            </w:tcBorders>
            <w:shd w:val="clear" w:color="auto" w:fill="auto"/>
            <w:vAlign w:val="center"/>
          </w:tcPr>
          <w:p w14:paraId="763D3E5B" w14:textId="77777777" w:rsidR="00501978" w:rsidRPr="00DD47DF" w:rsidRDefault="00501978" w:rsidP="000435CB">
            <w:pPr>
              <w:pStyle w:val="Tabulka"/>
              <w:jc w:val="left"/>
              <w:rPr>
                <w:rFonts w:cs="Calibri"/>
                <w:sz w:val="16"/>
                <w:szCs w:val="16"/>
              </w:rPr>
            </w:pPr>
            <w:r w:rsidRPr="00DD47DF">
              <w:rPr>
                <w:rFonts w:cs="Calibri"/>
                <w:sz w:val="16"/>
                <w:szCs w:val="16"/>
              </w:rPr>
              <w:t>V méně rozvinutých regionech</w:t>
            </w:r>
          </w:p>
        </w:tc>
        <w:tc>
          <w:tcPr>
            <w:tcW w:w="260" w:type="pct"/>
            <w:shd w:val="clear" w:color="auto" w:fill="auto"/>
            <w:vAlign w:val="center"/>
          </w:tcPr>
          <w:p w14:paraId="268E1495" w14:textId="77777777" w:rsidR="00501978" w:rsidRPr="00DD47DF" w:rsidRDefault="00501978" w:rsidP="00B81F2F">
            <w:pPr>
              <w:jc w:val="right"/>
              <w:rPr>
                <w:color w:val="000000"/>
                <w:sz w:val="16"/>
                <w:szCs w:val="16"/>
              </w:rPr>
            </w:pPr>
            <w:r w:rsidRPr="00DD47DF">
              <w:rPr>
                <w:color w:val="000000"/>
                <w:sz w:val="16"/>
                <w:szCs w:val="16"/>
              </w:rPr>
              <w:t>0</w:t>
            </w:r>
          </w:p>
        </w:tc>
        <w:tc>
          <w:tcPr>
            <w:tcW w:w="299" w:type="pct"/>
            <w:shd w:val="clear" w:color="auto" w:fill="auto"/>
            <w:vAlign w:val="center"/>
          </w:tcPr>
          <w:p w14:paraId="33B864C8" w14:textId="77777777" w:rsidR="00501978" w:rsidRPr="00DD47DF" w:rsidRDefault="00501978" w:rsidP="00B81F2F">
            <w:pPr>
              <w:jc w:val="right"/>
              <w:rPr>
                <w:color w:val="000000"/>
                <w:sz w:val="16"/>
                <w:szCs w:val="16"/>
              </w:rPr>
            </w:pPr>
            <w:r w:rsidRPr="00DD47DF">
              <w:rPr>
                <w:color w:val="000000"/>
                <w:sz w:val="16"/>
                <w:szCs w:val="16"/>
              </w:rPr>
              <w:t>0</w:t>
            </w:r>
          </w:p>
        </w:tc>
        <w:tc>
          <w:tcPr>
            <w:tcW w:w="228" w:type="pct"/>
            <w:shd w:val="clear" w:color="auto" w:fill="auto"/>
            <w:vAlign w:val="center"/>
          </w:tcPr>
          <w:p w14:paraId="43FF1F87" w14:textId="77777777" w:rsidR="00501978" w:rsidRPr="00DD47DF" w:rsidRDefault="00501978" w:rsidP="00B81F2F">
            <w:pPr>
              <w:jc w:val="right"/>
              <w:rPr>
                <w:color w:val="000000"/>
                <w:sz w:val="16"/>
                <w:szCs w:val="16"/>
              </w:rPr>
            </w:pPr>
            <w:r w:rsidRPr="00DD47DF">
              <w:rPr>
                <w:color w:val="000000"/>
                <w:sz w:val="16"/>
                <w:szCs w:val="16"/>
              </w:rPr>
              <w:t>1 106 160 536</w:t>
            </w:r>
          </w:p>
        </w:tc>
        <w:tc>
          <w:tcPr>
            <w:tcW w:w="299" w:type="pct"/>
            <w:shd w:val="clear" w:color="auto" w:fill="auto"/>
            <w:vAlign w:val="center"/>
          </w:tcPr>
          <w:p w14:paraId="2D6953D6" w14:textId="77777777" w:rsidR="00501978" w:rsidRPr="00DD47DF" w:rsidRDefault="00501978" w:rsidP="00B81F2F">
            <w:pPr>
              <w:jc w:val="right"/>
              <w:rPr>
                <w:color w:val="000000"/>
                <w:sz w:val="16"/>
                <w:szCs w:val="16"/>
              </w:rPr>
            </w:pPr>
            <w:r w:rsidRPr="00DD47DF">
              <w:rPr>
                <w:color w:val="000000"/>
                <w:sz w:val="16"/>
                <w:szCs w:val="16"/>
              </w:rPr>
              <w:t>70 605 992</w:t>
            </w:r>
          </w:p>
        </w:tc>
        <w:tc>
          <w:tcPr>
            <w:tcW w:w="228" w:type="pct"/>
            <w:shd w:val="clear" w:color="auto" w:fill="auto"/>
            <w:vAlign w:val="center"/>
          </w:tcPr>
          <w:p w14:paraId="3CC211C2" w14:textId="77777777" w:rsidR="00501978" w:rsidRPr="00DD47DF" w:rsidRDefault="00501978" w:rsidP="00B81F2F">
            <w:pPr>
              <w:jc w:val="right"/>
              <w:rPr>
                <w:color w:val="000000"/>
                <w:sz w:val="16"/>
                <w:szCs w:val="16"/>
              </w:rPr>
            </w:pPr>
            <w:r w:rsidRPr="00DD47DF">
              <w:rPr>
                <w:color w:val="000000"/>
                <w:sz w:val="16"/>
                <w:szCs w:val="16"/>
              </w:rPr>
              <w:t>569 742 747</w:t>
            </w:r>
          </w:p>
        </w:tc>
        <w:tc>
          <w:tcPr>
            <w:tcW w:w="299" w:type="pct"/>
            <w:shd w:val="clear" w:color="auto" w:fill="auto"/>
            <w:vAlign w:val="center"/>
          </w:tcPr>
          <w:p w14:paraId="7C301138" w14:textId="77777777" w:rsidR="00501978" w:rsidRPr="00DD47DF" w:rsidRDefault="00501978" w:rsidP="00B81F2F">
            <w:pPr>
              <w:jc w:val="right"/>
              <w:rPr>
                <w:color w:val="000000"/>
                <w:sz w:val="16"/>
                <w:szCs w:val="16"/>
              </w:rPr>
            </w:pPr>
            <w:r w:rsidRPr="00DD47DF">
              <w:rPr>
                <w:color w:val="000000"/>
                <w:sz w:val="16"/>
                <w:szCs w:val="16"/>
              </w:rPr>
              <w:t>36 366 558</w:t>
            </w:r>
          </w:p>
        </w:tc>
        <w:tc>
          <w:tcPr>
            <w:tcW w:w="228" w:type="pct"/>
            <w:shd w:val="clear" w:color="auto" w:fill="auto"/>
            <w:vAlign w:val="center"/>
          </w:tcPr>
          <w:p w14:paraId="5B119810" w14:textId="77777777" w:rsidR="00501978" w:rsidRPr="00DD47DF" w:rsidRDefault="00501978" w:rsidP="00B81F2F">
            <w:pPr>
              <w:jc w:val="right"/>
              <w:rPr>
                <w:color w:val="000000"/>
                <w:sz w:val="16"/>
                <w:szCs w:val="16"/>
              </w:rPr>
            </w:pPr>
            <w:r w:rsidRPr="00DD47DF">
              <w:rPr>
                <w:color w:val="000000"/>
                <w:sz w:val="16"/>
                <w:szCs w:val="16"/>
              </w:rPr>
              <w:t>581 145 153</w:t>
            </w:r>
          </w:p>
        </w:tc>
        <w:tc>
          <w:tcPr>
            <w:tcW w:w="299" w:type="pct"/>
            <w:shd w:val="clear" w:color="auto" w:fill="auto"/>
            <w:vAlign w:val="center"/>
          </w:tcPr>
          <w:p w14:paraId="4D038E6E" w14:textId="77777777" w:rsidR="00501978" w:rsidRPr="00DD47DF" w:rsidRDefault="00501978" w:rsidP="00B81F2F">
            <w:pPr>
              <w:jc w:val="right"/>
              <w:rPr>
                <w:color w:val="000000"/>
                <w:sz w:val="16"/>
                <w:szCs w:val="16"/>
              </w:rPr>
            </w:pPr>
            <w:r w:rsidRPr="00DD47DF">
              <w:rPr>
                <w:color w:val="000000"/>
                <w:sz w:val="16"/>
                <w:szCs w:val="16"/>
              </w:rPr>
              <w:t>37 094 372</w:t>
            </w:r>
          </w:p>
        </w:tc>
        <w:tc>
          <w:tcPr>
            <w:tcW w:w="228" w:type="pct"/>
            <w:shd w:val="clear" w:color="auto" w:fill="auto"/>
            <w:vAlign w:val="center"/>
          </w:tcPr>
          <w:p w14:paraId="1C7BEC07" w14:textId="77777777" w:rsidR="00501978" w:rsidRPr="00DD47DF" w:rsidRDefault="00501978" w:rsidP="00B81F2F">
            <w:pPr>
              <w:jc w:val="right"/>
              <w:rPr>
                <w:color w:val="000000"/>
                <w:sz w:val="16"/>
                <w:szCs w:val="16"/>
              </w:rPr>
            </w:pPr>
            <w:r w:rsidRPr="00DD47DF">
              <w:rPr>
                <w:color w:val="000000"/>
                <w:sz w:val="16"/>
                <w:szCs w:val="16"/>
              </w:rPr>
              <w:t>592 775 409</w:t>
            </w:r>
          </w:p>
        </w:tc>
        <w:tc>
          <w:tcPr>
            <w:tcW w:w="299" w:type="pct"/>
            <w:shd w:val="clear" w:color="auto" w:fill="auto"/>
            <w:vAlign w:val="center"/>
          </w:tcPr>
          <w:p w14:paraId="591A88C1" w14:textId="77777777" w:rsidR="00501978" w:rsidRPr="00DD47DF" w:rsidRDefault="00501978" w:rsidP="00B81F2F">
            <w:pPr>
              <w:jc w:val="right"/>
              <w:rPr>
                <w:color w:val="000000"/>
                <w:sz w:val="16"/>
                <w:szCs w:val="16"/>
              </w:rPr>
            </w:pPr>
            <w:r w:rsidRPr="00DD47DF">
              <w:rPr>
                <w:color w:val="000000"/>
                <w:sz w:val="16"/>
                <w:szCs w:val="16"/>
              </w:rPr>
              <w:t>37 836 728</w:t>
            </w:r>
          </w:p>
        </w:tc>
        <w:tc>
          <w:tcPr>
            <w:tcW w:w="228" w:type="pct"/>
            <w:shd w:val="clear" w:color="auto" w:fill="auto"/>
            <w:vAlign w:val="center"/>
          </w:tcPr>
          <w:p w14:paraId="69FD4780" w14:textId="77777777" w:rsidR="00501978" w:rsidRPr="00DD47DF" w:rsidRDefault="00501978" w:rsidP="00B81F2F">
            <w:pPr>
              <w:jc w:val="right"/>
              <w:rPr>
                <w:color w:val="000000"/>
                <w:sz w:val="16"/>
                <w:szCs w:val="16"/>
              </w:rPr>
            </w:pPr>
            <w:r w:rsidRPr="00DD47DF">
              <w:rPr>
                <w:color w:val="000000"/>
                <w:sz w:val="16"/>
                <w:szCs w:val="16"/>
              </w:rPr>
              <w:t>604 638 034</w:t>
            </w:r>
          </w:p>
        </w:tc>
        <w:tc>
          <w:tcPr>
            <w:tcW w:w="299" w:type="pct"/>
            <w:shd w:val="clear" w:color="auto" w:fill="auto"/>
            <w:vAlign w:val="center"/>
          </w:tcPr>
          <w:p w14:paraId="34ACEF37" w14:textId="77777777" w:rsidR="00501978" w:rsidRPr="00DD47DF" w:rsidRDefault="00501978" w:rsidP="00B81F2F">
            <w:pPr>
              <w:jc w:val="right"/>
              <w:rPr>
                <w:color w:val="000000"/>
                <w:sz w:val="16"/>
                <w:szCs w:val="16"/>
              </w:rPr>
            </w:pPr>
            <w:r w:rsidRPr="00DD47DF">
              <w:rPr>
                <w:color w:val="000000"/>
                <w:sz w:val="16"/>
                <w:szCs w:val="16"/>
              </w:rPr>
              <w:t>38 593 917</w:t>
            </w:r>
          </w:p>
        </w:tc>
        <w:tc>
          <w:tcPr>
            <w:tcW w:w="228" w:type="pct"/>
            <w:shd w:val="clear" w:color="auto" w:fill="auto"/>
            <w:vAlign w:val="center"/>
          </w:tcPr>
          <w:p w14:paraId="6961D22A" w14:textId="77777777" w:rsidR="00501978" w:rsidRPr="00DD47DF" w:rsidRDefault="00501978" w:rsidP="00B81F2F">
            <w:pPr>
              <w:jc w:val="right"/>
              <w:rPr>
                <w:color w:val="000000"/>
                <w:sz w:val="16"/>
                <w:szCs w:val="16"/>
              </w:rPr>
            </w:pPr>
            <w:r w:rsidRPr="00DD47DF">
              <w:rPr>
                <w:color w:val="000000"/>
                <w:sz w:val="16"/>
                <w:szCs w:val="16"/>
              </w:rPr>
              <w:t>616 736 981</w:t>
            </w:r>
          </w:p>
        </w:tc>
        <w:tc>
          <w:tcPr>
            <w:tcW w:w="299" w:type="pct"/>
            <w:shd w:val="clear" w:color="auto" w:fill="auto"/>
            <w:vAlign w:val="center"/>
          </w:tcPr>
          <w:p w14:paraId="68C89682" w14:textId="77777777" w:rsidR="00501978" w:rsidRPr="00DD47DF" w:rsidRDefault="00501978" w:rsidP="00B81F2F">
            <w:pPr>
              <w:jc w:val="right"/>
              <w:rPr>
                <w:color w:val="000000"/>
                <w:sz w:val="16"/>
                <w:szCs w:val="16"/>
              </w:rPr>
            </w:pPr>
            <w:r w:rsidRPr="00DD47DF">
              <w:rPr>
                <w:color w:val="000000"/>
                <w:sz w:val="16"/>
                <w:szCs w:val="16"/>
              </w:rPr>
              <w:t>39 366 190</w:t>
            </w:r>
          </w:p>
        </w:tc>
        <w:tc>
          <w:tcPr>
            <w:tcW w:w="228" w:type="pct"/>
            <w:shd w:val="clear" w:color="auto" w:fill="auto"/>
            <w:vAlign w:val="center"/>
          </w:tcPr>
          <w:p w14:paraId="7242DFBA" w14:textId="77777777" w:rsidR="00501978" w:rsidRPr="00DD47DF" w:rsidRDefault="00501978" w:rsidP="00B81F2F">
            <w:pPr>
              <w:jc w:val="right"/>
              <w:rPr>
                <w:color w:val="000000"/>
                <w:sz w:val="16"/>
                <w:szCs w:val="16"/>
              </w:rPr>
            </w:pPr>
            <w:r w:rsidRPr="00DD47DF">
              <w:rPr>
                <w:color w:val="000000"/>
                <w:sz w:val="16"/>
                <w:szCs w:val="16"/>
              </w:rPr>
              <w:t>4 071 198 860</w:t>
            </w:r>
          </w:p>
        </w:tc>
        <w:tc>
          <w:tcPr>
            <w:tcW w:w="295" w:type="pct"/>
            <w:shd w:val="clear" w:color="auto" w:fill="auto"/>
            <w:vAlign w:val="center"/>
          </w:tcPr>
          <w:p w14:paraId="0A8DCEFF" w14:textId="77777777" w:rsidR="00501978" w:rsidRPr="00DD47DF" w:rsidRDefault="00501978" w:rsidP="00B81F2F">
            <w:pPr>
              <w:jc w:val="right"/>
              <w:rPr>
                <w:color w:val="000000"/>
                <w:sz w:val="16"/>
                <w:szCs w:val="16"/>
              </w:rPr>
            </w:pPr>
            <w:r w:rsidRPr="00DD47DF">
              <w:rPr>
                <w:color w:val="000000"/>
                <w:sz w:val="16"/>
                <w:szCs w:val="16"/>
              </w:rPr>
              <w:t>259 863 757</w:t>
            </w:r>
          </w:p>
        </w:tc>
      </w:tr>
      <w:tr w:rsidR="00501978" w:rsidRPr="00DD47DF" w14:paraId="77882DFB" w14:textId="77777777" w:rsidTr="00B81F2F">
        <w:trPr>
          <w:trHeight w:val="525"/>
        </w:trPr>
        <w:tc>
          <w:tcPr>
            <w:tcW w:w="186" w:type="pct"/>
            <w:shd w:val="clear" w:color="auto" w:fill="auto"/>
            <w:vAlign w:val="center"/>
          </w:tcPr>
          <w:p w14:paraId="36C77512" w14:textId="77777777" w:rsidR="00501978" w:rsidRPr="00DD47DF" w:rsidRDefault="00501978" w:rsidP="000435CB">
            <w:pPr>
              <w:pStyle w:val="Tabulka"/>
              <w:rPr>
                <w:rFonts w:cs="Calibri"/>
                <w:sz w:val="16"/>
                <w:szCs w:val="16"/>
              </w:rPr>
            </w:pPr>
            <w:r w:rsidRPr="00DD47DF">
              <w:rPr>
                <w:rFonts w:cs="Calibri"/>
                <w:sz w:val="16"/>
                <w:szCs w:val="16"/>
              </w:rPr>
              <w:t>(12)</w:t>
            </w:r>
          </w:p>
        </w:tc>
        <w:tc>
          <w:tcPr>
            <w:tcW w:w="231" w:type="pct"/>
            <w:tcBorders>
              <w:right w:val="single" w:sz="4" w:space="0" w:color="auto"/>
            </w:tcBorders>
            <w:shd w:val="clear" w:color="auto" w:fill="DBE5F1"/>
            <w:vAlign w:val="center"/>
          </w:tcPr>
          <w:p w14:paraId="1CE30DFB" w14:textId="77777777" w:rsidR="00501978" w:rsidRPr="00DD47DF" w:rsidRDefault="00501978" w:rsidP="000435CB">
            <w:pPr>
              <w:pStyle w:val="Tabulka"/>
              <w:jc w:val="left"/>
              <w:rPr>
                <w:rFonts w:cs="Calibri"/>
                <w:sz w:val="16"/>
                <w:szCs w:val="16"/>
              </w:rPr>
            </w:pPr>
            <w:r w:rsidRPr="00DD47DF">
              <w:rPr>
                <w:rFonts w:cs="Calibri"/>
                <w:sz w:val="16"/>
                <w:szCs w:val="16"/>
              </w:rPr>
              <w:t>Celkem</w:t>
            </w:r>
          </w:p>
        </w:tc>
        <w:tc>
          <w:tcPr>
            <w:tcW w:w="338" w:type="pct"/>
            <w:tcBorders>
              <w:left w:val="single" w:sz="4" w:space="0" w:color="auto"/>
            </w:tcBorders>
            <w:shd w:val="clear" w:color="auto" w:fill="DBE5F1"/>
            <w:vAlign w:val="center"/>
          </w:tcPr>
          <w:p w14:paraId="4D9C12E0" w14:textId="77777777" w:rsidR="00501978" w:rsidRPr="00DD47DF" w:rsidRDefault="00501978" w:rsidP="000435CB">
            <w:pPr>
              <w:pStyle w:val="Tabulka"/>
              <w:jc w:val="left"/>
              <w:rPr>
                <w:rFonts w:cs="Calibri"/>
                <w:sz w:val="16"/>
                <w:szCs w:val="16"/>
              </w:rPr>
            </w:pPr>
          </w:p>
        </w:tc>
        <w:tc>
          <w:tcPr>
            <w:tcW w:w="260" w:type="pct"/>
            <w:shd w:val="clear" w:color="auto" w:fill="DBE5F1"/>
            <w:vAlign w:val="center"/>
          </w:tcPr>
          <w:p w14:paraId="778CFA28" w14:textId="77777777" w:rsidR="00501978" w:rsidRPr="00DD47DF" w:rsidRDefault="00501978" w:rsidP="00B81F2F">
            <w:pPr>
              <w:jc w:val="right"/>
              <w:rPr>
                <w:color w:val="000000"/>
                <w:sz w:val="16"/>
                <w:szCs w:val="16"/>
              </w:rPr>
            </w:pPr>
            <w:r w:rsidRPr="00DD47DF">
              <w:rPr>
                <w:color w:val="000000"/>
                <w:sz w:val="16"/>
                <w:szCs w:val="16"/>
              </w:rPr>
              <w:t>0</w:t>
            </w:r>
          </w:p>
        </w:tc>
        <w:tc>
          <w:tcPr>
            <w:tcW w:w="299" w:type="pct"/>
            <w:shd w:val="clear" w:color="auto" w:fill="DBE5F1"/>
            <w:vAlign w:val="center"/>
          </w:tcPr>
          <w:p w14:paraId="7665C81D" w14:textId="77777777" w:rsidR="00501978" w:rsidRPr="00DD47DF" w:rsidRDefault="00501978" w:rsidP="00B81F2F">
            <w:pPr>
              <w:jc w:val="right"/>
              <w:rPr>
                <w:color w:val="000000"/>
                <w:sz w:val="16"/>
                <w:szCs w:val="16"/>
              </w:rPr>
            </w:pPr>
            <w:r w:rsidRPr="00DD47DF">
              <w:rPr>
                <w:color w:val="000000"/>
                <w:sz w:val="16"/>
                <w:szCs w:val="16"/>
              </w:rPr>
              <w:t>0</w:t>
            </w:r>
          </w:p>
        </w:tc>
        <w:tc>
          <w:tcPr>
            <w:tcW w:w="228" w:type="pct"/>
            <w:shd w:val="clear" w:color="auto" w:fill="DBE5F1"/>
            <w:vAlign w:val="center"/>
          </w:tcPr>
          <w:p w14:paraId="39BAFCD8" w14:textId="77777777" w:rsidR="00501978" w:rsidRPr="00DD47DF" w:rsidRDefault="00501978" w:rsidP="00B81F2F">
            <w:pPr>
              <w:jc w:val="right"/>
              <w:rPr>
                <w:color w:val="000000"/>
                <w:sz w:val="16"/>
                <w:szCs w:val="16"/>
              </w:rPr>
            </w:pPr>
            <w:r w:rsidRPr="00DD47DF">
              <w:rPr>
                <w:color w:val="000000"/>
                <w:sz w:val="16"/>
                <w:szCs w:val="16"/>
              </w:rPr>
              <w:t>1 106 160 536</w:t>
            </w:r>
          </w:p>
        </w:tc>
        <w:tc>
          <w:tcPr>
            <w:tcW w:w="299" w:type="pct"/>
            <w:shd w:val="clear" w:color="auto" w:fill="DBE5F1"/>
            <w:vAlign w:val="center"/>
          </w:tcPr>
          <w:p w14:paraId="5582AB22" w14:textId="77777777" w:rsidR="00501978" w:rsidRPr="00DD47DF" w:rsidRDefault="00501978" w:rsidP="00B81F2F">
            <w:pPr>
              <w:jc w:val="right"/>
              <w:rPr>
                <w:color w:val="000000"/>
                <w:sz w:val="16"/>
                <w:szCs w:val="16"/>
              </w:rPr>
            </w:pPr>
            <w:r w:rsidRPr="00DD47DF">
              <w:rPr>
                <w:color w:val="000000"/>
                <w:sz w:val="16"/>
                <w:szCs w:val="16"/>
              </w:rPr>
              <w:t>70 605 992</w:t>
            </w:r>
          </w:p>
        </w:tc>
        <w:tc>
          <w:tcPr>
            <w:tcW w:w="228" w:type="pct"/>
            <w:shd w:val="clear" w:color="auto" w:fill="DBE5F1"/>
            <w:vAlign w:val="center"/>
          </w:tcPr>
          <w:p w14:paraId="10EC07D4" w14:textId="77777777" w:rsidR="00501978" w:rsidRPr="00DD47DF" w:rsidRDefault="00501978" w:rsidP="00B81F2F">
            <w:pPr>
              <w:jc w:val="right"/>
              <w:rPr>
                <w:color w:val="000000"/>
                <w:sz w:val="16"/>
                <w:szCs w:val="16"/>
              </w:rPr>
            </w:pPr>
            <w:r w:rsidRPr="00DD47DF">
              <w:rPr>
                <w:color w:val="000000"/>
                <w:sz w:val="16"/>
                <w:szCs w:val="16"/>
              </w:rPr>
              <w:t>569 742 747</w:t>
            </w:r>
          </w:p>
        </w:tc>
        <w:tc>
          <w:tcPr>
            <w:tcW w:w="299" w:type="pct"/>
            <w:shd w:val="clear" w:color="auto" w:fill="DBE5F1"/>
            <w:vAlign w:val="center"/>
          </w:tcPr>
          <w:p w14:paraId="49F506A3" w14:textId="77777777" w:rsidR="00501978" w:rsidRPr="00DD47DF" w:rsidRDefault="00501978" w:rsidP="00B81F2F">
            <w:pPr>
              <w:jc w:val="right"/>
              <w:rPr>
                <w:color w:val="000000"/>
                <w:sz w:val="16"/>
                <w:szCs w:val="16"/>
              </w:rPr>
            </w:pPr>
            <w:r w:rsidRPr="00DD47DF">
              <w:rPr>
                <w:color w:val="000000"/>
                <w:sz w:val="16"/>
                <w:szCs w:val="16"/>
              </w:rPr>
              <w:t>36 366 558</w:t>
            </w:r>
          </w:p>
        </w:tc>
        <w:tc>
          <w:tcPr>
            <w:tcW w:w="228" w:type="pct"/>
            <w:shd w:val="clear" w:color="auto" w:fill="DBE5F1"/>
            <w:vAlign w:val="center"/>
          </w:tcPr>
          <w:p w14:paraId="580C8503" w14:textId="77777777" w:rsidR="00501978" w:rsidRPr="00DD47DF" w:rsidRDefault="00501978" w:rsidP="00B81F2F">
            <w:pPr>
              <w:jc w:val="right"/>
              <w:rPr>
                <w:color w:val="000000"/>
                <w:sz w:val="16"/>
                <w:szCs w:val="16"/>
              </w:rPr>
            </w:pPr>
            <w:r w:rsidRPr="00DD47DF">
              <w:rPr>
                <w:color w:val="000000"/>
                <w:sz w:val="16"/>
                <w:szCs w:val="16"/>
              </w:rPr>
              <w:t>581 145 153</w:t>
            </w:r>
          </w:p>
        </w:tc>
        <w:tc>
          <w:tcPr>
            <w:tcW w:w="299" w:type="pct"/>
            <w:shd w:val="clear" w:color="auto" w:fill="DBE5F1"/>
            <w:vAlign w:val="center"/>
          </w:tcPr>
          <w:p w14:paraId="7357B035" w14:textId="77777777" w:rsidR="00501978" w:rsidRPr="00DD47DF" w:rsidRDefault="00501978" w:rsidP="00B81F2F">
            <w:pPr>
              <w:jc w:val="right"/>
              <w:rPr>
                <w:color w:val="000000"/>
                <w:sz w:val="16"/>
                <w:szCs w:val="16"/>
              </w:rPr>
            </w:pPr>
            <w:r w:rsidRPr="00DD47DF">
              <w:rPr>
                <w:color w:val="000000"/>
                <w:sz w:val="16"/>
                <w:szCs w:val="16"/>
              </w:rPr>
              <w:t>37 094 372</w:t>
            </w:r>
          </w:p>
        </w:tc>
        <w:tc>
          <w:tcPr>
            <w:tcW w:w="228" w:type="pct"/>
            <w:shd w:val="clear" w:color="auto" w:fill="DBE5F1"/>
            <w:vAlign w:val="center"/>
          </w:tcPr>
          <w:p w14:paraId="060FE595" w14:textId="77777777" w:rsidR="00501978" w:rsidRPr="00DD47DF" w:rsidRDefault="00501978" w:rsidP="00B81F2F">
            <w:pPr>
              <w:jc w:val="right"/>
              <w:rPr>
                <w:color w:val="000000"/>
                <w:sz w:val="16"/>
                <w:szCs w:val="16"/>
              </w:rPr>
            </w:pPr>
            <w:r w:rsidRPr="00DD47DF">
              <w:rPr>
                <w:color w:val="000000"/>
                <w:sz w:val="16"/>
                <w:szCs w:val="16"/>
              </w:rPr>
              <w:t>592 775 409</w:t>
            </w:r>
          </w:p>
        </w:tc>
        <w:tc>
          <w:tcPr>
            <w:tcW w:w="299" w:type="pct"/>
            <w:shd w:val="clear" w:color="auto" w:fill="DBE5F1"/>
            <w:vAlign w:val="center"/>
          </w:tcPr>
          <w:p w14:paraId="2AE73037" w14:textId="77777777" w:rsidR="00501978" w:rsidRPr="00DD47DF" w:rsidRDefault="00501978" w:rsidP="00B81F2F">
            <w:pPr>
              <w:jc w:val="right"/>
              <w:rPr>
                <w:color w:val="000000"/>
                <w:sz w:val="16"/>
                <w:szCs w:val="16"/>
              </w:rPr>
            </w:pPr>
            <w:r w:rsidRPr="00DD47DF">
              <w:rPr>
                <w:color w:val="000000"/>
                <w:sz w:val="16"/>
                <w:szCs w:val="16"/>
              </w:rPr>
              <w:t>37 836 728</w:t>
            </w:r>
          </w:p>
        </w:tc>
        <w:tc>
          <w:tcPr>
            <w:tcW w:w="228" w:type="pct"/>
            <w:shd w:val="clear" w:color="auto" w:fill="DBE5F1"/>
            <w:vAlign w:val="center"/>
          </w:tcPr>
          <w:p w14:paraId="02317278" w14:textId="77777777" w:rsidR="00501978" w:rsidRPr="00DD47DF" w:rsidRDefault="00501978" w:rsidP="00B81F2F">
            <w:pPr>
              <w:jc w:val="right"/>
              <w:rPr>
                <w:color w:val="000000"/>
                <w:sz w:val="16"/>
                <w:szCs w:val="16"/>
              </w:rPr>
            </w:pPr>
            <w:r w:rsidRPr="00DD47DF">
              <w:rPr>
                <w:color w:val="000000"/>
                <w:sz w:val="16"/>
                <w:szCs w:val="16"/>
              </w:rPr>
              <w:t>604 638 034</w:t>
            </w:r>
          </w:p>
        </w:tc>
        <w:tc>
          <w:tcPr>
            <w:tcW w:w="299" w:type="pct"/>
            <w:shd w:val="clear" w:color="auto" w:fill="DBE5F1"/>
            <w:vAlign w:val="center"/>
          </w:tcPr>
          <w:p w14:paraId="3E0119D2" w14:textId="77777777" w:rsidR="00501978" w:rsidRPr="00DD47DF" w:rsidRDefault="00501978" w:rsidP="00B81F2F">
            <w:pPr>
              <w:jc w:val="right"/>
              <w:rPr>
                <w:color w:val="000000"/>
                <w:sz w:val="16"/>
                <w:szCs w:val="16"/>
              </w:rPr>
            </w:pPr>
            <w:r w:rsidRPr="00DD47DF">
              <w:rPr>
                <w:color w:val="000000"/>
                <w:sz w:val="16"/>
                <w:szCs w:val="16"/>
              </w:rPr>
              <w:t>38 593 917</w:t>
            </w:r>
          </w:p>
        </w:tc>
        <w:tc>
          <w:tcPr>
            <w:tcW w:w="228" w:type="pct"/>
            <w:shd w:val="clear" w:color="auto" w:fill="DBE5F1"/>
            <w:vAlign w:val="center"/>
          </w:tcPr>
          <w:p w14:paraId="4B4857EB" w14:textId="77777777" w:rsidR="00501978" w:rsidRPr="00DD47DF" w:rsidRDefault="00501978" w:rsidP="00B81F2F">
            <w:pPr>
              <w:jc w:val="right"/>
              <w:rPr>
                <w:color w:val="000000"/>
                <w:sz w:val="16"/>
                <w:szCs w:val="16"/>
              </w:rPr>
            </w:pPr>
            <w:r w:rsidRPr="00DD47DF">
              <w:rPr>
                <w:color w:val="000000"/>
                <w:sz w:val="16"/>
                <w:szCs w:val="16"/>
              </w:rPr>
              <w:t>616 736 981</w:t>
            </w:r>
          </w:p>
        </w:tc>
        <w:tc>
          <w:tcPr>
            <w:tcW w:w="299" w:type="pct"/>
            <w:shd w:val="clear" w:color="auto" w:fill="DBE5F1"/>
            <w:vAlign w:val="center"/>
          </w:tcPr>
          <w:p w14:paraId="3161BFEB" w14:textId="77777777" w:rsidR="00501978" w:rsidRPr="00DD47DF" w:rsidRDefault="00501978" w:rsidP="00B81F2F">
            <w:pPr>
              <w:jc w:val="right"/>
              <w:rPr>
                <w:color w:val="000000"/>
                <w:sz w:val="16"/>
                <w:szCs w:val="16"/>
              </w:rPr>
            </w:pPr>
            <w:r w:rsidRPr="00DD47DF">
              <w:rPr>
                <w:color w:val="000000"/>
                <w:sz w:val="16"/>
                <w:szCs w:val="16"/>
              </w:rPr>
              <w:t>39 366 190</w:t>
            </w:r>
          </w:p>
        </w:tc>
        <w:tc>
          <w:tcPr>
            <w:tcW w:w="228" w:type="pct"/>
            <w:shd w:val="clear" w:color="auto" w:fill="DBE5F1"/>
            <w:vAlign w:val="center"/>
          </w:tcPr>
          <w:p w14:paraId="0E0C6348" w14:textId="77777777" w:rsidR="00501978" w:rsidRPr="00DD47DF" w:rsidRDefault="00501978" w:rsidP="00B81F2F">
            <w:pPr>
              <w:jc w:val="right"/>
              <w:rPr>
                <w:color w:val="000000"/>
                <w:sz w:val="16"/>
                <w:szCs w:val="16"/>
              </w:rPr>
            </w:pPr>
            <w:r w:rsidRPr="00DD47DF">
              <w:rPr>
                <w:color w:val="000000"/>
                <w:sz w:val="16"/>
                <w:szCs w:val="16"/>
              </w:rPr>
              <w:t>4 071 198 860</w:t>
            </w:r>
          </w:p>
        </w:tc>
        <w:tc>
          <w:tcPr>
            <w:tcW w:w="295" w:type="pct"/>
            <w:shd w:val="clear" w:color="auto" w:fill="DBE5F1"/>
            <w:vAlign w:val="center"/>
          </w:tcPr>
          <w:p w14:paraId="0C496A85" w14:textId="77777777" w:rsidR="00501978" w:rsidRPr="00DD47DF" w:rsidRDefault="00501978" w:rsidP="00B81F2F">
            <w:pPr>
              <w:jc w:val="right"/>
              <w:rPr>
                <w:color w:val="000000"/>
                <w:sz w:val="16"/>
                <w:szCs w:val="16"/>
              </w:rPr>
            </w:pPr>
            <w:r w:rsidRPr="00DD47DF">
              <w:rPr>
                <w:color w:val="000000"/>
                <w:sz w:val="16"/>
                <w:szCs w:val="16"/>
              </w:rPr>
              <w:t>259 863 757</w:t>
            </w:r>
          </w:p>
        </w:tc>
      </w:tr>
    </w:tbl>
    <w:p w14:paraId="3E58E2D4" w14:textId="77777777" w:rsidR="00CE6DD0" w:rsidRPr="00DD47DF" w:rsidRDefault="00CE6DD0" w:rsidP="00DD5043"/>
    <w:p w14:paraId="7302C78A" w14:textId="77777777" w:rsidR="00C46CB7" w:rsidRPr="00DD47DF" w:rsidRDefault="00DD2263" w:rsidP="00DD2263">
      <w:pPr>
        <w:pStyle w:val="Nadpis2"/>
        <w:rPr>
          <w:rStyle w:val="StandardntextChar"/>
          <w:rFonts w:cs="Times New Roman"/>
          <w:sz w:val="26"/>
          <w:szCs w:val="28"/>
        </w:rPr>
      </w:pPr>
      <w:bookmarkStart w:id="115" w:name="_Toc520445322"/>
      <w:r w:rsidRPr="00DD47DF">
        <w:lastRenderedPageBreak/>
        <w:t>Celková výše finanční podpory z každého fondu a vnitrostátního spolufinancování (v EUR)</w:t>
      </w:r>
      <w:bookmarkEnd w:id="115"/>
    </w:p>
    <w:p w14:paraId="4CADE1E2" w14:textId="77777777" w:rsidR="00C46CB7" w:rsidRPr="00DD47DF" w:rsidRDefault="00C46CB7" w:rsidP="004E6DD3">
      <w:pPr>
        <w:pStyle w:val="Titulek"/>
        <w:keepNext/>
        <w:keepLines/>
      </w:pPr>
      <w:r w:rsidRPr="00DD47DF">
        <w:t>Tab</w:t>
      </w:r>
      <w:r w:rsidR="00434475" w:rsidRPr="00DD47DF">
        <w:t>ulka</w:t>
      </w:r>
      <w:r w:rsidR="00157951" w:rsidRPr="00DD47DF">
        <w:t xml:space="preserve"> </w:t>
      </w:r>
      <w:r w:rsidR="002756E7" w:rsidRPr="00DD47DF">
        <w:fldChar w:fldCharType="begin"/>
      </w:r>
      <w:r w:rsidR="000E35F2" w:rsidRPr="00DD47DF">
        <w:instrText xml:space="preserve"> SEQ Tabulka \* ARABIC </w:instrText>
      </w:r>
      <w:r w:rsidR="002756E7" w:rsidRPr="00DD47DF">
        <w:fldChar w:fldCharType="separate"/>
      </w:r>
      <w:r w:rsidR="00117847">
        <w:rPr>
          <w:noProof/>
        </w:rPr>
        <w:t>18</w:t>
      </w:r>
      <w:r w:rsidR="002756E7" w:rsidRPr="00DD47DF">
        <w:rPr>
          <w:noProof/>
        </w:rPr>
        <w:fldChar w:fldCharType="end"/>
      </w:r>
      <w:r w:rsidR="00D93A31" w:rsidRPr="00DD47DF">
        <w:rPr>
          <w:noProof/>
        </w:rPr>
        <w:t>a</w:t>
      </w:r>
      <w:r w:rsidR="00434475" w:rsidRPr="00DD47DF">
        <w:t xml:space="preserve">: </w:t>
      </w:r>
      <w:r w:rsidR="00DD2263" w:rsidRPr="00DD47DF">
        <w:t>Plán financování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10"/>
        <w:gridCol w:w="515"/>
        <w:gridCol w:w="790"/>
        <w:gridCol w:w="755"/>
        <w:gridCol w:w="1061"/>
        <w:gridCol w:w="903"/>
        <w:gridCol w:w="994"/>
        <w:gridCol w:w="994"/>
        <w:gridCol w:w="959"/>
        <w:gridCol w:w="1279"/>
        <w:gridCol w:w="799"/>
        <w:gridCol w:w="914"/>
        <w:gridCol w:w="893"/>
        <w:gridCol w:w="824"/>
        <w:gridCol w:w="918"/>
        <w:gridCol w:w="950"/>
      </w:tblGrid>
      <w:tr w:rsidR="00226BC2" w:rsidRPr="00DD47DF" w14:paraId="69112EBD" w14:textId="77777777" w:rsidTr="00466CFC">
        <w:tc>
          <w:tcPr>
            <w:tcW w:w="249" w:type="pct"/>
            <w:vMerge w:val="restart"/>
            <w:shd w:val="clear" w:color="auto" w:fill="B8CCE4"/>
          </w:tcPr>
          <w:p w14:paraId="45BF728B" w14:textId="77777777" w:rsidR="00226BC2" w:rsidRPr="00DD47DF" w:rsidRDefault="00226BC2" w:rsidP="000435CB">
            <w:pPr>
              <w:pStyle w:val="Tabulka"/>
              <w:keepNext/>
              <w:keepLines/>
              <w:rPr>
                <w:rFonts w:cs="Calibri"/>
                <w:b/>
                <w:sz w:val="16"/>
                <w:szCs w:val="16"/>
              </w:rPr>
            </w:pPr>
            <w:r w:rsidRPr="00DD47DF">
              <w:rPr>
                <w:rFonts w:cs="Calibri"/>
                <w:b/>
                <w:sz w:val="16"/>
                <w:szCs w:val="16"/>
              </w:rPr>
              <w:t>Prioritní osa</w:t>
            </w:r>
          </w:p>
        </w:tc>
        <w:tc>
          <w:tcPr>
            <w:tcW w:w="181" w:type="pct"/>
            <w:vMerge w:val="restart"/>
            <w:shd w:val="clear" w:color="auto" w:fill="B8CCE4"/>
          </w:tcPr>
          <w:p w14:paraId="5C9A175C" w14:textId="77777777" w:rsidR="00226BC2" w:rsidRPr="00DD47DF" w:rsidRDefault="00226BC2" w:rsidP="000435CB">
            <w:pPr>
              <w:pStyle w:val="Tabulka"/>
              <w:keepNext/>
              <w:keepLines/>
              <w:rPr>
                <w:rFonts w:cs="Calibri"/>
                <w:b/>
                <w:sz w:val="16"/>
                <w:szCs w:val="16"/>
              </w:rPr>
            </w:pPr>
            <w:r w:rsidRPr="00DD47DF">
              <w:rPr>
                <w:rFonts w:cs="Calibri"/>
                <w:b/>
                <w:sz w:val="16"/>
                <w:szCs w:val="16"/>
              </w:rPr>
              <w:t>Fond</w:t>
            </w:r>
          </w:p>
        </w:tc>
        <w:tc>
          <w:tcPr>
            <w:tcW w:w="277" w:type="pct"/>
            <w:vMerge w:val="restart"/>
            <w:shd w:val="clear" w:color="auto" w:fill="B8CCE4"/>
          </w:tcPr>
          <w:p w14:paraId="1E7F0E99" w14:textId="77777777" w:rsidR="00226BC2" w:rsidRPr="00DD47DF" w:rsidRDefault="00226BC2" w:rsidP="000435CB">
            <w:pPr>
              <w:pStyle w:val="Tabulka"/>
              <w:keepNext/>
              <w:keepLines/>
              <w:rPr>
                <w:rFonts w:cs="Calibri"/>
                <w:b/>
                <w:sz w:val="16"/>
                <w:szCs w:val="16"/>
              </w:rPr>
            </w:pPr>
            <w:r w:rsidRPr="00DD47DF">
              <w:rPr>
                <w:rFonts w:cs="Calibri"/>
                <w:b/>
                <w:sz w:val="16"/>
                <w:szCs w:val="16"/>
              </w:rPr>
              <w:t xml:space="preserve">Kategorie regionů </w:t>
            </w:r>
          </w:p>
        </w:tc>
        <w:tc>
          <w:tcPr>
            <w:tcW w:w="265" w:type="pct"/>
            <w:vMerge w:val="restart"/>
            <w:shd w:val="clear" w:color="auto" w:fill="B8CCE4"/>
          </w:tcPr>
          <w:p w14:paraId="0B5FC5D2" w14:textId="77777777" w:rsidR="00226BC2" w:rsidRPr="00DD47DF" w:rsidRDefault="00226BC2" w:rsidP="000435CB">
            <w:pPr>
              <w:pStyle w:val="Tabulka"/>
              <w:keepNext/>
              <w:keepLines/>
              <w:rPr>
                <w:rFonts w:cs="Calibri"/>
                <w:b/>
                <w:sz w:val="16"/>
                <w:szCs w:val="16"/>
              </w:rPr>
            </w:pPr>
            <w:r w:rsidRPr="00DD47DF">
              <w:rPr>
                <w:rFonts w:cs="Calibri"/>
                <w:b/>
                <w:sz w:val="16"/>
                <w:szCs w:val="16"/>
              </w:rPr>
              <w:t>Základ pro výpočet podpory Unie</w:t>
            </w:r>
          </w:p>
          <w:p w14:paraId="7434D2A4" w14:textId="77777777" w:rsidR="00226BC2" w:rsidRPr="00DD47DF" w:rsidRDefault="00226BC2" w:rsidP="000435CB">
            <w:pPr>
              <w:pStyle w:val="Tabulka"/>
              <w:keepNext/>
              <w:keepLines/>
              <w:rPr>
                <w:rFonts w:cs="Calibri"/>
                <w:b/>
                <w:sz w:val="16"/>
                <w:szCs w:val="16"/>
              </w:rPr>
            </w:pPr>
            <w:r w:rsidRPr="00DD47DF">
              <w:rPr>
                <w:rFonts w:cs="Calibri"/>
                <w:b/>
                <w:sz w:val="16"/>
                <w:szCs w:val="16"/>
              </w:rPr>
              <w:t>(celkové způsobilé výdaje nebo způsobilé veřejné výdaje)</w:t>
            </w:r>
          </w:p>
        </w:tc>
        <w:tc>
          <w:tcPr>
            <w:tcW w:w="372" w:type="pct"/>
            <w:vMerge w:val="restart"/>
            <w:shd w:val="clear" w:color="auto" w:fill="B8CCE4"/>
          </w:tcPr>
          <w:p w14:paraId="2981D71D" w14:textId="77777777" w:rsidR="00226BC2" w:rsidRPr="00DD47DF" w:rsidRDefault="00226BC2" w:rsidP="000435CB">
            <w:pPr>
              <w:pStyle w:val="Tabulka"/>
              <w:keepNext/>
              <w:keepLines/>
              <w:rPr>
                <w:rFonts w:cs="Calibri"/>
                <w:b/>
                <w:sz w:val="16"/>
                <w:szCs w:val="16"/>
              </w:rPr>
            </w:pPr>
            <w:r w:rsidRPr="00DD47DF">
              <w:rPr>
                <w:rFonts w:cs="Calibri"/>
                <w:b/>
                <w:sz w:val="16"/>
                <w:szCs w:val="16"/>
              </w:rPr>
              <w:t>Podpora Unie</w:t>
            </w:r>
          </w:p>
          <w:p w14:paraId="75263EFC" w14:textId="77777777" w:rsidR="00226BC2" w:rsidRPr="00DD47DF" w:rsidRDefault="00226BC2" w:rsidP="000435CB">
            <w:pPr>
              <w:pStyle w:val="Tabulka"/>
              <w:keepNext/>
              <w:keepLines/>
              <w:jc w:val="left"/>
              <w:rPr>
                <w:rFonts w:cs="Calibri"/>
                <w:b/>
                <w:sz w:val="16"/>
                <w:szCs w:val="16"/>
              </w:rPr>
            </w:pPr>
          </w:p>
        </w:tc>
        <w:tc>
          <w:tcPr>
            <w:tcW w:w="317" w:type="pct"/>
            <w:vMerge w:val="restart"/>
            <w:shd w:val="clear" w:color="auto" w:fill="B8CCE4"/>
          </w:tcPr>
          <w:p w14:paraId="574B4660" w14:textId="77777777" w:rsidR="00226BC2" w:rsidRPr="00DD47DF" w:rsidRDefault="00226BC2" w:rsidP="000435CB">
            <w:pPr>
              <w:pStyle w:val="Tabulka"/>
              <w:keepNext/>
              <w:keepLines/>
              <w:rPr>
                <w:rFonts w:cs="Calibri"/>
                <w:b/>
                <w:sz w:val="16"/>
                <w:szCs w:val="16"/>
              </w:rPr>
            </w:pPr>
            <w:r w:rsidRPr="00DD47DF">
              <w:rPr>
                <w:rFonts w:cs="Calibri"/>
                <w:b/>
                <w:sz w:val="16"/>
                <w:szCs w:val="16"/>
              </w:rPr>
              <w:t>Příspěvek členského státu</w:t>
            </w:r>
          </w:p>
          <w:p w14:paraId="7DD7C263" w14:textId="77777777" w:rsidR="00226BC2" w:rsidRPr="00DD47DF" w:rsidRDefault="00226BC2" w:rsidP="000435CB">
            <w:pPr>
              <w:pStyle w:val="Tabulka"/>
              <w:keepNext/>
              <w:keepLines/>
              <w:jc w:val="left"/>
              <w:rPr>
                <w:rFonts w:cs="Calibri"/>
                <w:b/>
                <w:sz w:val="16"/>
                <w:szCs w:val="16"/>
              </w:rPr>
            </w:pPr>
          </w:p>
        </w:tc>
        <w:tc>
          <w:tcPr>
            <w:tcW w:w="697" w:type="pct"/>
            <w:gridSpan w:val="2"/>
            <w:shd w:val="clear" w:color="auto" w:fill="B8CCE4"/>
          </w:tcPr>
          <w:p w14:paraId="59495749" w14:textId="77777777" w:rsidR="00226BC2" w:rsidRPr="00DD47DF" w:rsidRDefault="00226BC2" w:rsidP="000435CB">
            <w:pPr>
              <w:pStyle w:val="Tabulka"/>
              <w:keepNext/>
              <w:keepLines/>
              <w:rPr>
                <w:rFonts w:cs="Calibri"/>
                <w:b/>
                <w:sz w:val="16"/>
                <w:szCs w:val="16"/>
              </w:rPr>
            </w:pPr>
            <w:r w:rsidRPr="00DD47DF">
              <w:rPr>
                <w:rFonts w:cs="Calibri"/>
                <w:b/>
                <w:sz w:val="16"/>
                <w:szCs w:val="16"/>
              </w:rPr>
              <w:t>Orientační rozdělení příspěvku členského státu</w:t>
            </w:r>
          </w:p>
        </w:tc>
        <w:tc>
          <w:tcPr>
            <w:tcW w:w="336" w:type="pct"/>
            <w:vMerge w:val="restart"/>
            <w:shd w:val="clear" w:color="auto" w:fill="B8CCE4"/>
          </w:tcPr>
          <w:p w14:paraId="6DA66728" w14:textId="77777777" w:rsidR="00226BC2" w:rsidRPr="00DD47DF" w:rsidRDefault="00226BC2" w:rsidP="000435CB">
            <w:pPr>
              <w:pStyle w:val="Tabulka"/>
              <w:keepNext/>
              <w:keepLines/>
              <w:rPr>
                <w:rFonts w:cs="Calibri"/>
                <w:b/>
                <w:sz w:val="16"/>
                <w:szCs w:val="16"/>
              </w:rPr>
            </w:pPr>
            <w:r w:rsidRPr="00DD47DF">
              <w:rPr>
                <w:rFonts w:cs="Calibri"/>
                <w:b/>
                <w:sz w:val="16"/>
                <w:szCs w:val="16"/>
              </w:rPr>
              <w:t>Financování celkem</w:t>
            </w:r>
          </w:p>
        </w:tc>
        <w:tc>
          <w:tcPr>
            <w:tcW w:w="449" w:type="pct"/>
            <w:vMerge w:val="restart"/>
            <w:shd w:val="clear" w:color="auto" w:fill="B8CCE4"/>
          </w:tcPr>
          <w:p w14:paraId="23D048FE" w14:textId="77777777" w:rsidR="00226BC2" w:rsidRPr="00DD47DF" w:rsidRDefault="00226BC2" w:rsidP="000435CB">
            <w:pPr>
              <w:pStyle w:val="Tabulka"/>
              <w:keepNext/>
              <w:keepLines/>
              <w:rPr>
                <w:rFonts w:cs="Calibri"/>
                <w:b/>
                <w:sz w:val="16"/>
                <w:szCs w:val="16"/>
              </w:rPr>
            </w:pPr>
            <w:r w:rsidRPr="00DD47DF">
              <w:rPr>
                <w:rFonts w:cs="Calibri"/>
                <w:b/>
                <w:sz w:val="16"/>
                <w:szCs w:val="16"/>
              </w:rPr>
              <w:t>Míra spolufinancování</w:t>
            </w:r>
          </w:p>
        </w:tc>
        <w:tc>
          <w:tcPr>
            <w:tcW w:w="280" w:type="pct"/>
            <w:vMerge w:val="restart"/>
            <w:shd w:val="clear" w:color="auto" w:fill="B8CCE4"/>
          </w:tcPr>
          <w:p w14:paraId="088CFBA3" w14:textId="77777777" w:rsidR="00226BC2" w:rsidRPr="00DD47DF" w:rsidRDefault="00226BC2" w:rsidP="000435CB">
            <w:pPr>
              <w:pStyle w:val="Tabulka"/>
              <w:keepNext/>
              <w:keepLines/>
              <w:rPr>
                <w:rFonts w:cs="Calibri"/>
                <w:b/>
                <w:sz w:val="16"/>
                <w:szCs w:val="16"/>
              </w:rPr>
            </w:pPr>
            <w:r w:rsidRPr="00DD47DF">
              <w:rPr>
                <w:rFonts w:cs="Calibri"/>
                <w:b/>
                <w:sz w:val="16"/>
                <w:szCs w:val="16"/>
              </w:rPr>
              <w:t>Pro informaci</w:t>
            </w:r>
          </w:p>
          <w:p w14:paraId="239E5B02" w14:textId="77777777" w:rsidR="00226BC2" w:rsidRPr="00DD47DF" w:rsidRDefault="00226BC2" w:rsidP="000435CB">
            <w:pPr>
              <w:pStyle w:val="Tabulka"/>
              <w:keepNext/>
              <w:keepLines/>
              <w:rPr>
                <w:rFonts w:cs="Calibri"/>
                <w:b/>
                <w:sz w:val="16"/>
                <w:szCs w:val="16"/>
              </w:rPr>
            </w:pPr>
          </w:p>
          <w:p w14:paraId="0D161773" w14:textId="77777777" w:rsidR="00226BC2" w:rsidRPr="00DD47DF" w:rsidRDefault="00226BC2" w:rsidP="000435CB">
            <w:pPr>
              <w:pStyle w:val="Tabulka"/>
              <w:keepNext/>
              <w:keepLines/>
              <w:rPr>
                <w:rFonts w:cs="Calibri"/>
                <w:b/>
                <w:sz w:val="16"/>
                <w:szCs w:val="16"/>
              </w:rPr>
            </w:pPr>
            <w:r w:rsidRPr="00DD47DF">
              <w:rPr>
                <w:rFonts w:cs="Calibri"/>
                <w:b/>
                <w:sz w:val="16"/>
                <w:szCs w:val="16"/>
              </w:rPr>
              <w:t>Příspěvky EIB</w:t>
            </w:r>
          </w:p>
        </w:tc>
        <w:tc>
          <w:tcPr>
            <w:tcW w:w="634" w:type="pct"/>
            <w:gridSpan w:val="2"/>
            <w:shd w:val="clear" w:color="auto" w:fill="B8CCE4"/>
          </w:tcPr>
          <w:p w14:paraId="238E4157" w14:textId="77777777" w:rsidR="00226BC2" w:rsidRPr="00DD47DF" w:rsidRDefault="00226BC2" w:rsidP="000435CB">
            <w:pPr>
              <w:pStyle w:val="Tabulka"/>
              <w:keepNext/>
              <w:keepLines/>
              <w:rPr>
                <w:rFonts w:cs="Calibri"/>
                <w:b/>
                <w:sz w:val="16"/>
                <w:szCs w:val="16"/>
              </w:rPr>
            </w:pPr>
            <w:r w:rsidRPr="00DD47DF">
              <w:rPr>
                <w:rFonts w:cs="Calibri"/>
                <w:b/>
                <w:sz w:val="16"/>
                <w:szCs w:val="16"/>
              </w:rPr>
              <w:t>Hlavní příděl (finanční prostředky celkem minus výkonnostní rezerva)</w:t>
            </w:r>
          </w:p>
        </w:tc>
        <w:tc>
          <w:tcPr>
            <w:tcW w:w="611" w:type="pct"/>
            <w:gridSpan w:val="2"/>
            <w:shd w:val="clear" w:color="auto" w:fill="B8CCE4"/>
          </w:tcPr>
          <w:p w14:paraId="236D60AD" w14:textId="77777777" w:rsidR="00226BC2" w:rsidRPr="00DD47DF" w:rsidRDefault="00226BC2" w:rsidP="000435CB">
            <w:pPr>
              <w:pStyle w:val="Tabulka"/>
              <w:keepNext/>
              <w:keepLines/>
              <w:rPr>
                <w:rFonts w:cs="Calibri"/>
                <w:b/>
                <w:sz w:val="16"/>
                <w:szCs w:val="16"/>
              </w:rPr>
            </w:pPr>
            <w:r w:rsidRPr="00DD47DF">
              <w:rPr>
                <w:rFonts w:cs="Calibri"/>
                <w:b/>
                <w:sz w:val="16"/>
                <w:szCs w:val="16"/>
              </w:rPr>
              <w:t>Výkonnostní rezerva</w:t>
            </w:r>
          </w:p>
        </w:tc>
        <w:tc>
          <w:tcPr>
            <w:tcW w:w="333" w:type="pct"/>
            <w:vMerge w:val="restart"/>
            <w:shd w:val="clear" w:color="auto" w:fill="B8CCE4"/>
          </w:tcPr>
          <w:p w14:paraId="36229DEC" w14:textId="77777777" w:rsidR="00226BC2" w:rsidRPr="00DD47DF" w:rsidRDefault="00226BC2" w:rsidP="000435CB">
            <w:pPr>
              <w:pStyle w:val="Tabulka"/>
              <w:keepNext/>
              <w:keepLines/>
              <w:rPr>
                <w:rFonts w:cs="Calibri"/>
                <w:b/>
                <w:sz w:val="16"/>
                <w:szCs w:val="16"/>
              </w:rPr>
            </w:pPr>
            <w:r w:rsidRPr="00DD47DF">
              <w:rPr>
                <w:rFonts w:cs="Calibri"/>
                <w:b/>
                <w:sz w:val="16"/>
                <w:szCs w:val="16"/>
              </w:rPr>
              <w:t>Podíl výkonnostní rezervy (podpora Unie) na celkové unijní podpoře</w:t>
            </w:r>
          </w:p>
        </w:tc>
      </w:tr>
      <w:tr w:rsidR="00226BC2" w:rsidRPr="00DD47DF" w14:paraId="63D8BE8F" w14:textId="77777777" w:rsidTr="00466CFC">
        <w:tc>
          <w:tcPr>
            <w:tcW w:w="249" w:type="pct"/>
            <w:vMerge/>
            <w:shd w:val="clear" w:color="auto" w:fill="auto"/>
          </w:tcPr>
          <w:p w14:paraId="533AF7DA" w14:textId="77777777" w:rsidR="00226BC2" w:rsidRPr="00DD47DF" w:rsidRDefault="00226BC2" w:rsidP="000435CB">
            <w:pPr>
              <w:keepNext/>
              <w:keepLines/>
            </w:pPr>
          </w:p>
        </w:tc>
        <w:tc>
          <w:tcPr>
            <w:tcW w:w="181" w:type="pct"/>
            <w:vMerge/>
            <w:shd w:val="clear" w:color="auto" w:fill="auto"/>
          </w:tcPr>
          <w:p w14:paraId="18435551" w14:textId="77777777" w:rsidR="00226BC2" w:rsidRPr="00DD47DF" w:rsidRDefault="00226BC2" w:rsidP="000435CB">
            <w:pPr>
              <w:keepNext/>
              <w:keepLines/>
            </w:pPr>
          </w:p>
        </w:tc>
        <w:tc>
          <w:tcPr>
            <w:tcW w:w="277" w:type="pct"/>
            <w:vMerge/>
            <w:shd w:val="clear" w:color="auto" w:fill="auto"/>
          </w:tcPr>
          <w:p w14:paraId="6A2CC636" w14:textId="77777777" w:rsidR="00226BC2" w:rsidRPr="00DD47DF" w:rsidRDefault="00226BC2" w:rsidP="000435CB">
            <w:pPr>
              <w:keepNext/>
              <w:keepLines/>
            </w:pPr>
          </w:p>
        </w:tc>
        <w:tc>
          <w:tcPr>
            <w:tcW w:w="265" w:type="pct"/>
            <w:vMerge/>
            <w:shd w:val="clear" w:color="auto" w:fill="auto"/>
          </w:tcPr>
          <w:p w14:paraId="52BCF1E3" w14:textId="77777777" w:rsidR="00226BC2" w:rsidRPr="00DD47DF" w:rsidRDefault="00226BC2" w:rsidP="000435CB">
            <w:pPr>
              <w:keepNext/>
              <w:keepLines/>
            </w:pPr>
          </w:p>
        </w:tc>
        <w:tc>
          <w:tcPr>
            <w:tcW w:w="372" w:type="pct"/>
            <w:vMerge/>
            <w:shd w:val="clear" w:color="auto" w:fill="auto"/>
          </w:tcPr>
          <w:p w14:paraId="35987D5D" w14:textId="77777777" w:rsidR="00226BC2" w:rsidRPr="00DD47DF" w:rsidRDefault="00226BC2" w:rsidP="000435CB">
            <w:pPr>
              <w:pStyle w:val="Tabulka"/>
              <w:keepNext/>
              <w:keepLines/>
              <w:rPr>
                <w:rFonts w:cs="Calibri"/>
                <w:sz w:val="16"/>
                <w:szCs w:val="16"/>
              </w:rPr>
            </w:pPr>
          </w:p>
        </w:tc>
        <w:tc>
          <w:tcPr>
            <w:tcW w:w="317" w:type="pct"/>
            <w:vMerge/>
            <w:shd w:val="clear" w:color="auto" w:fill="auto"/>
          </w:tcPr>
          <w:p w14:paraId="360E21D7" w14:textId="77777777" w:rsidR="00226BC2" w:rsidRPr="00DD47DF" w:rsidRDefault="00226BC2" w:rsidP="000435CB">
            <w:pPr>
              <w:pStyle w:val="Tabulka"/>
              <w:keepNext/>
              <w:keepLines/>
              <w:rPr>
                <w:rFonts w:cs="Calibri"/>
                <w:sz w:val="16"/>
                <w:szCs w:val="16"/>
              </w:rPr>
            </w:pPr>
          </w:p>
        </w:tc>
        <w:tc>
          <w:tcPr>
            <w:tcW w:w="349" w:type="pct"/>
            <w:shd w:val="clear" w:color="auto" w:fill="DBE5F1"/>
          </w:tcPr>
          <w:p w14:paraId="573512C4" w14:textId="77777777" w:rsidR="00226BC2" w:rsidRPr="00DD47DF" w:rsidRDefault="00226BC2" w:rsidP="000435CB">
            <w:pPr>
              <w:pStyle w:val="Tabulka"/>
              <w:keepNext/>
              <w:keepLines/>
              <w:rPr>
                <w:rFonts w:cs="Calibri"/>
                <w:sz w:val="16"/>
                <w:szCs w:val="16"/>
              </w:rPr>
            </w:pPr>
            <w:r w:rsidRPr="00DD47DF">
              <w:rPr>
                <w:rFonts w:cs="Calibri"/>
                <w:sz w:val="16"/>
                <w:szCs w:val="16"/>
              </w:rPr>
              <w:t>Financování z vnitrostátních veřejných zdrojů</w:t>
            </w:r>
          </w:p>
        </w:tc>
        <w:tc>
          <w:tcPr>
            <w:tcW w:w="349" w:type="pct"/>
            <w:shd w:val="clear" w:color="auto" w:fill="DBE5F1"/>
          </w:tcPr>
          <w:p w14:paraId="2A1DC4FE" w14:textId="77777777" w:rsidR="00226BC2" w:rsidRPr="00DD47DF" w:rsidRDefault="00226BC2" w:rsidP="000435CB">
            <w:pPr>
              <w:pStyle w:val="Tabulka"/>
              <w:keepNext/>
              <w:keepLines/>
              <w:rPr>
                <w:rFonts w:cs="Calibri"/>
                <w:sz w:val="16"/>
                <w:szCs w:val="16"/>
              </w:rPr>
            </w:pPr>
            <w:r w:rsidRPr="00DD47DF">
              <w:rPr>
                <w:rFonts w:cs="Calibri"/>
                <w:sz w:val="16"/>
                <w:szCs w:val="16"/>
              </w:rPr>
              <w:t>Financování z vnitrostátních soukromých zdrojů</w:t>
            </w:r>
          </w:p>
        </w:tc>
        <w:tc>
          <w:tcPr>
            <w:tcW w:w="336" w:type="pct"/>
            <w:vMerge/>
            <w:shd w:val="clear" w:color="auto" w:fill="auto"/>
          </w:tcPr>
          <w:p w14:paraId="531B0B4E" w14:textId="77777777" w:rsidR="00226BC2" w:rsidRPr="00DD47DF" w:rsidRDefault="00226BC2" w:rsidP="000435CB">
            <w:pPr>
              <w:pStyle w:val="Tabulka"/>
              <w:keepNext/>
              <w:keepLines/>
              <w:rPr>
                <w:rFonts w:cs="Calibri"/>
                <w:sz w:val="16"/>
                <w:szCs w:val="16"/>
              </w:rPr>
            </w:pPr>
          </w:p>
        </w:tc>
        <w:tc>
          <w:tcPr>
            <w:tcW w:w="449" w:type="pct"/>
            <w:vMerge/>
            <w:shd w:val="clear" w:color="auto" w:fill="auto"/>
          </w:tcPr>
          <w:p w14:paraId="4F8D90AB" w14:textId="77777777" w:rsidR="00226BC2" w:rsidRPr="00DD47DF" w:rsidRDefault="00226BC2" w:rsidP="000435CB">
            <w:pPr>
              <w:pStyle w:val="Tabulka"/>
              <w:keepNext/>
              <w:keepLines/>
              <w:rPr>
                <w:rFonts w:cs="Calibri"/>
                <w:sz w:val="16"/>
                <w:szCs w:val="16"/>
              </w:rPr>
            </w:pPr>
          </w:p>
        </w:tc>
        <w:tc>
          <w:tcPr>
            <w:tcW w:w="280" w:type="pct"/>
            <w:vMerge/>
            <w:shd w:val="clear" w:color="auto" w:fill="auto"/>
          </w:tcPr>
          <w:p w14:paraId="04F3C817" w14:textId="77777777" w:rsidR="00226BC2" w:rsidRPr="00DD47DF" w:rsidRDefault="00226BC2" w:rsidP="000435CB">
            <w:pPr>
              <w:pStyle w:val="Tabulka"/>
              <w:keepNext/>
              <w:keepLines/>
              <w:rPr>
                <w:rFonts w:cs="Calibri"/>
                <w:sz w:val="16"/>
                <w:szCs w:val="16"/>
              </w:rPr>
            </w:pPr>
          </w:p>
        </w:tc>
        <w:tc>
          <w:tcPr>
            <w:tcW w:w="321" w:type="pct"/>
            <w:shd w:val="clear" w:color="auto" w:fill="DBE5F1"/>
          </w:tcPr>
          <w:p w14:paraId="174FD746" w14:textId="77777777" w:rsidR="00226BC2" w:rsidRPr="00DD47DF" w:rsidRDefault="00226BC2" w:rsidP="000435CB">
            <w:pPr>
              <w:pStyle w:val="Tabulka"/>
              <w:keepNext/>
              <w:keepLines/>
              <w:rPr>
                <w:rFonts w:cs="Calibri"/>
                <w:sz w:val="16"/>
                <w:szCs w:val="16"/>
              </w:rPr>
            </w:pPr>
            <w:r w:rsidRPr="00DD47DF">
              <w:rPr>
                <w:rFonts w:cs="Calibri"/>
                <w:sz w:val="16"/>
                <w:szCs w:val="16"/>
              </w:rPr>
              <w:t>Podpora Unie</w:t>
            </w:r>
          </w:p>
          <w:p w14:paraId="6D0265C1" w14:textId="77777777" w:rsidR="00226BC2" w:rsidRPr="00DD47DF" w:rsidRDefault="00226BC2" w:rsidP="000435CB">
            <w:pPr>
              <w:pStyle w:val="Tabulka"/>
              <w:keepNext/>
              <w:keepLines/>
              <w:rPr>
                <w:rFonts w:cs="Calibri"/>
                <w:sz w:val="16"/>
                <w:szCs w:val="16"/>
              </w:rPr>
            </w:pPr>
          </w:p>
        </w:tc>
        <w:tc>
          <w:tcPr>
            <w:tcW w:w="313" w:type="pct"/>
            <w:shd w:val="clear" w:color="auto" w:fill="DBE5F1"/>
          </w:tcPr>
          <w:p w14:paraId="10068857" w14:textId="77777777" w:rsidR="00226BC2" w:rsidRPr="00DD47DF" w:rsidRDefault="00226BC2" w:rsidP="000435CB">
            <w:pPr>
              <w:pStyle w:val="Tabulka"/>
              <w:keepNext/>
              <w:keepLines/>
              <w:rPr>
                <w:rFonts w:cs="Calibri"/>
                <w:sz w:val="16"/>
                <w:szCs w:val="16"/>
              </w:rPr>
            </w:pPr>
            <w:r w:rsidRPr="00DD47DF">
              <w:rPr>
                <w:rFonts w:cs="Calibri"/>
                <w:sz w:val="16"/>
                <w:szCs w:val="16"/>
              </w:rPr>
              <w:t>Příspěvek členského státu</w:t>
            </w:r>
          </w:p>
        </w:tc>
        <w:tc>
          <w:tcPr>
            <w:tcW w:w="289" w:type="pct"/>
            <w:shd w:val="clear" w:color="auto" w:fill="DBE5F1"/>
          </w:tcPr>
          <w:p w14:paraId="65A92262" w14:textId="77777777" w:rsidR="00226BC2" w:rsidRPr="00DD47DF" w:rsidRDefault="00226BC2" w:rsidP="000435CB">
            <w:pPr>
              <w:pStyle w:val="Tabulka"/>
              <w:keepNext/>
              <w:keepLines/>
              <w:rPr>
                <w:rFonts w:cs="Calibri"/>
                <w:sz w:val="16"/>
                <w:szCs w:val="16"/>
              </w:rPr>
            </w:pPr>
            <w:r w:rsidRPr="00DD47DF">
              <w:rPr>
                <w:rFonts w:cs="Calibri"/>
                <w:sz w:val="16"/>
                <w:szCs w:val="16"/>
              </w:rPr>
              <w:t>Podpora Unie</w:t>
            </w:r>
          </w:p>
          <w:p w14:paraId="2498ECF5" w14:textId="77777777" w:rsidR="00226BC2" w:rsidRPr="00DD47DF" w:rsidRDefault="00226BC2" w:rsidP="000435CB">
            <w:pPr>
              <w:pStyle w:val="Tabulka"/>
              <w:keepNext/>
              <w:keepLines/>
              <w:rPr>
                <w:rFonts w:cs="Calibri"/>
                <w:sz w:val="16"/>
                <w:szCs w:val="16"/>
              </w:rPr>
            </w:pPr>
          </w:p>
        </w:tc>
        <w:tc>
          <w:tcPr>
            <w:tcW w:w="322" w:type="pct"/>
            <w:shd w:val="clear" w:color="auto" w:fill="DBE5F1"/>
          </w:tcPr>
          <w:p w14:paraId="19C7474D" w14:textId="77777777" w:rsidR="00226BC2" w:rsidRPr="00DD47DF" w:rsidRDefault="00226BC2" w:rsidP="000435CB">
            <w:pPr>
              <w:pStyle w:val="Tabulka"/>
              <w:keepNext/>
              <w:keepLines/>
              <w:rPr>
                <w:rFonts w:cs="Calibri"/>
                <w:sz w:val="16"/>
                <w:szCs w:val="16"/>
              </w:rPr>
            </w:pPr>
            <w:r w:rsidRPr="00DD47DF">
              <w:rPr>
                <w:rFonts w:cs="Calibri"/>
                <w:sz w:val="16"/>
                <w:szCs w:val="16"/>
              </w:rPr>
              <w:t>Příspěvek členského státu</w:t>
            </w:r>
            <w:r w:rsidRPr="00DD47DF">
              <w:rPr>
                <w:rStyle w:val="Znakapoznpodarou"/>
                <w:rFonts w:cs="Calibri"/>
                <w:sz w:val="16"/>
                <w:szCs w:val="16"/>
                <w:vertAlign w:val="baseline"/>
              </w:rPr>
              <w:t xml:space="preserve"> </w:t>
            </w:r>
          </w:p>
        </w:tc>
        <w:tc>
          <w:tcPr>
            <w:tcW w:w="333" w:type="pct"/>
            <w:vMerge/>
            <w:shd w:val="clear" w:color="auto" w:fill="auto"/>
          </w:tcPr>
          <w:p w14:paraId="0D0715B7" w14:textId="77777777" w:rsidR="00226BC2" w:rsidRPr="00DD47DF" w:rsidRDefault="00226BC2" w:rsidP="000435CB">
            <w:pPr>
              <w:pStyle w:val="Tabulka"/>
              <w:keepNext/>
              <w:keepLines/>
              <w:rPr>
                <w:rFonts w:cs="Calibri"/>
                <w:sz w:val="16"/>
                <w:szCs w:val="16"/>
              </w:rPr>
            </w:pPr>
          </w:p>
        </w:tc>
      </w:tr>
      <w:tr w:rsidR="00226BC2" w:rsidRPr="00DD47DF" w14:paraId="206DB989" w14:textId="77777777" w:rsidTr="00466CFC">
        <w:tc>
          <w:tcPr>
            <w:tcW w:w="249" w:type="pct"/>
            <w:shd w:val="clear" w:color="auto" w:fill="auto"/>
          </w:tcPr>
          <w:p w14:paraId="0D134CD1" w14:textId="77777777" w:rsidR="00226BC2" w:rsidRPr="00DD47DF" w:rsidRDefault="00226BC2" w:rsidP="000435CB"/>
        </w:tc>
        <w:tc>
          <w:tcPr>
            <w:tcW w:w="181" w:type="pct"/>
            <w:shd w:val="clear" w:color="auto" w:fill="auto"/>
          </w:tcPr>
          <w:p w14:paraId="3876B1BD" w14:textId="77777777" w:rsidR="00226BC2" w:rsidRPr="00DD47DF" w:rsidRDefault="00226BC2" w:rsidP="000435CB"/>
        </w:tc>
        <w:tc>
          <w:tcPr>
            <w:tcW w:w="277" w:type="pct"/>
            <w:shd w:val="clear" w:color="auto" w:fill="auto"/>
          </w:tcPr>
          <w:p w14:paraId="3C8D61E6" w14:textId="77777777" w:rsidR="00226BC2" w:rsidRPr="00DD47DF" w:rsidRDefault="00226BC2" w:rsidP="000435CB"/>
        </w:tc>
        <w:tc>
          <w:tcPr>
            <w:tcW w:w="265" w:type="pct"/>
            <w:shd w:val="clear" w:color="auto" w:fill="auto"/>
          </w:tcPr>
          <w:p w14:paraId="16F17DEA" w14:textId="77777777" w:rsidR="00226BC2" w:rsidRPr="00DD47DF" w:rsidRDefault="00226BC2" w:rsidP="000435CB"/>
        </w:tc>
        <w:tc>
          <w:tcPr>
            <w:tcW w:w="372" w:type="pct"/>
            <w:shd w:val="clear" w:color="auto" w:fill="auto"/>
          </w:tcPr>
          <w:p w14:paraId="497826D1" w14:textId="77777777" w:rsidR="00226BC2" w:rsidRPr="00DD47DF" w:rsidRDefault="00226BC2" w:rsidP="000435CB">
            <w:pPr>
              <w:pStyle w:val="Tabulka"/>
              <w:rPr>
                <w:rFonts w:cs="Calibri"/>
                <w:sz w:val="16"/>
                <w:szCs w:val="16"/>
              </w:rPr>
            </w:pPr>
            <w:r w:rsidRPr="00DD47DF">
              <w:rPr>
                <w:rFonts w:cs="Calibri"/>
                <w:sz w:val="16"/>
                <w:szCs w:val="16"/>
              </w:rPr>
              <w:t>(a)</w:t>
            </w:r>
          </w:p>
        </w:tc>
        <w:tc>
          <w:tcPr>
            <w:tcW w:w="317" w:type="pct"/>
            <w:shd w:val="clear" w:color="auto" w:fill="auto"/>
          </w:tcPr>
          <w:p w14:paraId="2175EB3B" w14:textId="77777777" w:rsidR="00226BC2" w:rsidRPr="00DD47DF" w:rsidRDefault="00226BC2" w:rsidP="000435CB">
            <w:pPr>
              <w:pStyle w:val="Tabulka"/>
              <w:rPr>
                <w:rFonts w:cs="Calibri"/>
                <w:sz w:val="16"/>
                <w:szCs w:val="16"/>
              </w:rPr>
            </w:pPr>
            <w:r w:rsidRPr="00DD47DF">
              <w:rPr>
                <w:rFonts w:cs="Calibri"/>
                <w:sz w:val="16"/>
                <w:szCs w:val="16"/>
              </w:rPr>
              <w:t>(b) = (c) + (d))</w:t>
            </w:r>
          </w:p>
        </w:tc>
        <w:tc>
          <w:tcPr>
            <w:tcW w:w="349" w:type="pct"/>
            <w:shd w:val="clear" w:color="auto" w:fill="auto"/>
          </w:tcPr>
          <w:p w14:paraId="43CDFEF7" w14:textId="77777777" w:rsidR="00226BC2" w:rsidRPr="00DD47DF" w:rsidRDefault="00226BC2" w:rsidP="000435CB">
            <w:pPr>
              <w:pStyle w:val="Tabulka"/>
              <w:rPr>
                <w:rFonts w:cs="Calibri"/>
                <w:sz w:val="16"/>
                <w:szCs w:val="16"/>
              </w:rPr>
            </w:pPr>
            <w:r w:rsidRPr="00DD47DF">
              <w:rPr>
                <w:rFonts w:cs="Calibri"/>
                <w:sz w:val="16"/>
                <w:szCs w:val="16"/>
              </w:rPr>
              <w:t>(c)</w:t>
            </w:r>
          </w:p>
        </w:tc>
        <w:tc>
          <w:tcPr>
            <w:tcW w:w="349" w:type="pct"/>
            <w:shd w:val="clear" w:color="auto" w:fill="auto"/>
          </w:tcPr>
          <w:p w14:paraId="50BB1CFA" w14:textId="77777777" w:rsidR="00226BC2" w:rsidRPr="00DD47DF" w:rsidRDefault="00226BC2" w:rsidP="000435CB">
            <w:pPr>
              <w:pStyle w:val="Tabulka"/>
              <w:rPr>
                <w:rFonts w:cs="Calibri"/>
                <w:sz w:val="16"/>
                <w:szCs w:val="16"/>
              </w:rPr>
            </w:pPr>
            <w:r w:rsidRPr="00DD47DF">
              <w:rPr>
                <w:rFonts w:cs="Calibri"/>
                <w:sz w:val="16"/>
                <w:szCs w:val="16"/>
              </w:rPr>
              <w:t>(d)</w:t>
            </w:r>
          </w:p>
        </w:tc>
        <w:tc>
          <w:tcPr>
            <w:tcW w:w="336" w:type="pct"/>
            <w:shd w:val="clear" w:color="auto" w:fill="auto"/>
          </w:tcPr>
          <w:p w14:paraId="35537518" w14:textId="77777777" w:rsidR="00226BC2" w:rsidRPr="00DD47DF" w:rsidRDefault="00226BC2" w:rsidP="000435CB">
            <w:pPr>
              <w:pStyle w:val="Tabulka"/>
              <w:rPr>
                <w:rFonts w:cs="Calibri"/>
                <w:sz w:val="16"/>
                <w:szCs w:val="16"/>
              </w:rPr>
            </w:pPr>
            <w:r w:rsidRPr="00DD47DF">
              <w:rPr>
                <w:rFonts w:cs="Calibri"/>
                <w:sz w:val="16"/>
                <w:szCs w:val="16"/>
              </w:rPr>
              <w:t>(e) = (a) + (b)</w:t>
            </w:r>
          </w:p>
        </w:tc>
        <w:tc>
          <w:tcPr>
            <w:tcW w:w="449" w:type="pct"/>
            <w:shd w:val="clear" w:color="auto" w:fill="auto"/>
          </w:tcPr>
          <w:p w14:paraId="5DBFDE20" w14:textId="77777777" w:rsidR="00226BC2" w:rsidRPr="00DD47DF" w:rsidRDefault="00226BC2" w:rsidP="000435CB">
            <w:pPr>
              <w:pStyle w:val="Tabulka"/>
              <w:rPr>
                <w:rFonts w:cs="Calibri"/>
                <w:sz w:val="16"/>
                <w:szCs w:val="16"/>
              </w:rPr>
            </w:pPr>
            <w:r w:rsidRPr="00DD47DF">
              <w:rPr>
                <w:rFonts w:cs="Calibri"/>
                <w:sz w:val="16"/>
                <w:szCs w:val="16"/>
              </w:rPr>
              <w:t xml:space="preserve">(f) = (a)/(e) </w:t>
            </w:r>
            <w:hyperlink r:id="rId47" w:anchor="E0079#E0079" w:history="1">
              <w:r w:rsidRPr="00DD47DF">
                <w:rPr>
                  <w:rFonts w:cs="Calibri"/>
                  <w:sz w:val="16"/>
                  <w:szCs w:val="16"/>
                  <w:u w:val="single"/>
                </w:rPr>
                <w:t>(2)</w:t>
              </w:r>
            </w:hyperlink>
          </w:p>
        </w:tc>
        <w:tc>
          <w:tcPr>
            <w:tcW w:w="280" w:type="pct"/>
            <w:shd w:val="clear" w:color="auto" w:fill="auto"/>
          </w:tcPr>
          <w:p w14:paraId="24B96B9C" w14:textId="77777777" w:rsidR="00226BC2" w:rsidRPr="00DD47DF" w:rsidRDefault="00226BC2" w:rsidP="000435CB">
            <w:pPr>
              <w:pStyle w:val="Tabulka"/>
              <w:rPr>
                <w:rFonts w:cs="Calibri"/>
                <w:sz w:val="16"/>
                <w:szCs w:val="16"/>
              </w:rPr>
            </w:pPr>
            <w:r w:rsidRPr="00DD47DF">
              <w:rPr>
                <w:rFonts w:cs="Calibri"/>
                <w:sz w:val="16"/>
                <w:szCs w:val="16"/>
              </w:rPr>
              <w:t>(g)</w:t>
            </w:r>
          </w:p>
        </w:tc>
        <w:tc>
          <w:tcPr>
            <w:tcW w:w="321" w:type="pct"/>
            <w:shd w:val="clear" w:color="auto" w:fill="auto"/>
          </w:tcPr>
          <w:p w14:paraId="78620E6B" w14:textId="77777777" w:rsidR="00226BC2" w:rsidRPr="00DD47DF" w:rsidRDefault="00226BC2" w:rsidP="000435CB">
            <w:pPr>
              <w:pStyle w:val="Tabulka"/>
              <w:rPr>
                <w:rFonts w:cs="Calibri"/>
                <w:sz w:val="16"/>
                <w:szCs w:val="16"/>
              </w:rPr>
            </w:pPr>
            <w:r w:rsidRPr="00DD47DF">
              <w:rPr>
                <w:rFonts w:cs="Calibri"/>
                <w:sz w:val="16"/>
                <w:szCs w:val="16"/>
              </w:rPr>
              <w:t>(h)=(a)-(j)</w:t>
            </w:r>
          </w:p>
        </w:tc>
        <w:tc>
          <w:tcPr>
            <w:tcW w:w="313" w:type="pct"/>
            <w:shd w:val="clear" w:color="auto" w:fill="auto"/>
          </w:tcPr>
          <w:p w14:paraId="64D01B66" w14:textId="77777777" w:rsidR="00226BC2" w:rsidRPr="00DD47DF" w:rsidRDefault="00226BC2" w:rsidP="000435CB">
            <w:pPr>
              <w:pStyle w:val="Tabulka"/>
              <w:rPr>
                <w:rFonts w:cs="Calibri"/>
                <w:sz w:val="16"/>
                <w:szCs w:val="16"/>
              </w:rPr>
            </w:pPr>
            <w:r w:rsidRPr="00DD47DF">
              <w:rPr>
                <w:rFonts w:cs="Calibri"/>
                <w:sz w:val="16"/>
                <w:szCs w:val="16"/>
              </w:rPr>
              <w:t>(i) = (b) – (k)</w:t>
            </w:r>
          </w:p>
        </w:tc>
        <w:tc>
          <w:tcPr>
            <w:tcW w:w="289" w:type="pct"/>
            <w:shd w:val="clear" w:color="auto" w:fill="auto"/>
          </w:tcPr>
          <w:p w14:paraId="1EB81410" w14:textId="77777777" w:rsidR="00226BC2" w:rsidRPr="00DD47DF" w:rsidRDefault="00226BC2" w:rsidP="000435CB">
            <w:pPr>
              <w:pStyle w:val="Tabulka"/>
              <w:rPr>
                <w:rFonts w:cs="Calibri"/>
                <w:sz w:val="16"/>
                <w:szCs w:val="16"/>
              </w:rPr>
            </w:pPr>
            <w:r w:rsidRPr="00DD47DF">
              <w:rPr>
                <w:rFonts w:cs="Calibri"/>
                <w:sz w:val="16"/>
                <w:szCs w:val="16"/>
              </w:rPr>
              <w:t>(j)</w:t>
            </w:r>
          </w:p>
        </w:tc>
        <w:tc>
          <w:tcPr>
            <w:tcW w:w="322" w:type="pct"/>
            <w:shd w:val="clear" w:color="auto" w:fill="auto"/>
          </w:tcPr>
          <w:p w14:paraId="16E674E5" w14:textId="77777777" w:rsidR="00226BC2" w:rsidRPr="00DD47DF" w:rsidRDefault="00226BC2" w:rsidP="000435CB">
            <w:pPr>
              <w:pStyle w:val="Tabulka"/>
              <w:rPr>
                <w:rFonts w:cs="Calibri"/>
                <w:sz w:val="16"/>
                <w:szCs w:val="16"/>
              </w:rPr>
            </w:pPr>
            <w:r w:rsidRPr="00DD47DF">
              <w:rPr>
                <w:rFonts w:cs="Calibri"/>
                <w:sz w:val="16"/>
                <w:szCs w:val="16"/>
              </w:rPr>
              <w:t>(k)= (b) * ((j)/(a))</w:t>
            </w:r>
          </w:p>
        </w:tc>
        <w:tc>
          <w:tcPr>
            <w:tcW w:w="333" w:type="pct"/>
            <w:shd w:val="clear" w:color="auto" w:fill="auto"/>
          </w:tcPr>
          <w:p w14:paraId="221F28D2" w14:textId="77777777" w:rsidR="00226BC2" w:rsidRPr="00DD47DF" w:rsidRDefault="00226BC2" w:rsidP="000435CB">
            <w:pPr>
              <w:pStyle w:val="Tabulka"/>
              <w:rPr>
                <w:rFonts w:cs="Calibri"/>
                <w:sz w:val="16"/>
                <w:szCs w:val="16"/>
              </w:rPr>
            </w:pPr>
            <w:r w:rsidRPr="00DD47DF">
              <w:rPr>
                <w:rFonts w:cs="Calibri"/>
                <w:sz w:val="16"/>
                <w:szCs w:val="16"/>
              </w:rPr>
              <w:t>(l) =(j)/(a) *100</w:t>
            </w:r>
          </w:p>
        </w:tc>
      </w:tr>
      <w:tr w:rsidR="00CE6DD0" w:rsidRPr="00DD47DF" w14:paraId="67479B3A" w14:textId="77777777" w:rsidTr="00466CFC">
        <w:tc>
          <w:tcPr>
            <w:tcW w:w="249" w:type="pct"/>
            <w:shd w:val="clear" w:color="auto" w:fill="auto"/>
          </w:tcPr>
          <w:p w14:paraId="2C738DEB" w14:textId="77777777" w:rsidR="00CE6DD0" w:rsidRPr="00DD47DF" w:rsidRDefault="00CE6DD0" w:rsidP="000435CB">
            <w:pPr>
              <w:pStyle w:val="Tabulka"/>
              <w:rPr>
                <w:rFonts w:cs="Calibri"/>
                <w:sz w:val="16"/>
                <w:szCs w:val="16"/>
              </w:rPr>
            </w:pPr>
            <w:r w:rsidRPr="00DD47DF">
              <w:rPr>
                <w:rFonts w:cs="Calibri"/>
                <w:iCs/>
                <w:sz w:val="16"/>
                <w:szCs w:val="16"/>
              </w:rPr>
              <w:t>Prioritní osa 1</w:t>
            </w:r>
          </w:p>
          <w:p w14:paraId="68183F58" w14:textId="77777777" w:rsidR="00CE6DD0" w:rsidRPr="00DD47DF" w:rsidRDefault="00CE6DD0" w:rsidP="000435CB">
            <w:pPr>
              <w:pStyle w:val="Tabulka"/>
              <w:rPr>
                <w:rFonts w:cs="Calibri"/>
                <w:sz w:val="16"/>
                <w:szCs w:val="16"/>
              </w:rPr>
            </w:pPr>
          </w:p>
        </w:tc>
        <w:tc>
          <w:tcPr>
            <w:tcW w:w="181" w:type="pct"/>
            <w:shd w:val="clear" w:color="auto" w:fill="auto"/>
          </w:tcPr>
          <w:p w14:paraId="0542FE0C" w14:textId="77777777" w:rsidR="00CE6DD0" w:rsidRPr="00DD47DF" w:rsidRDefault="00CE6DD0" w:rsidP="000435CB">
            <w:pPr>
              <w:pStyle w:val="Tabulka"/>
              <w:rPr>
                <w:rFonts w:cs="Calibri"/>
                <w:sz w:val="16"/>
                <w:szCs w:val="16"/>
              </w:rPr>
            </w:pPr>
            <w:r w:rsidRPr="00DD47DF">
              <w:rPr>
                <w:rFonts w:cs="Calibri"/>
                <w:sz w:val="16"/>
                <w:szCs w:val="16"/>
              </w:rPr>
              <w:t>EFRR</w:t>
            </w:r>
          </w:p>
        </w:tc>
        <w:tc>
          <w:tcPr>
            <w:tcW w:w="277" w:type="pct"/>
            <w:shd w:val="clear" w:color="auto" w:fill="auto"/>
          </w:tcPr>
          <w:p w14:paraId="7618B520" w14:textId="77777777" w:rsidR="00CE6DD0" w:rsidRPr="00DD47DF" w:rsidRDefault="00CE6DD0" w:rsidP="000435CB">
            <w:pPr>
              <w:pStyle w:val="Tabulka"/>
              <w:rPr>
                <w:rFonts w:cs="Calibri"/>
                <w:sz w:val="16"/>
                <w:szCs w:val="16"/>
              </w:rPr>
            </w:pPr>
            <w:r w:rsidRPr="00DD47DF">
              <w:rPr>
                <w:rFonts w:cs="Calibri"/>
                <w:sz w:val="16"/>
                <w:szCs w:val="16"/>
              </w:rPr>
              <w:t>Méně rozvinuté regiony</w:t>
            </w:r>
          </w:p>
        </w:tc>
        <w:tc>
          <w:tcPr>
            <w:tcW w:w="265" w:type="pct"/>
            <w:shd w:val="clear" w:color="auto" w:fill="auto"/>
          </w:tcPr>
          <w:p w14:paraId="2CE97141" w14:textId="77777777" w:rsidR="00CE6DD0" w:rsidRPr="00DD47DF" w:rsidRDefault="00CE6DD0" w:rsidP="000435CB">
            <w:pPr>
              <w:pStyle w:val="Tabulka"/>
              <w:rPr>
                <w:rFonts w:cs="Calibri"/>
                <w:sz w:val="16"/>
                <w:szCs w:val="16"/>
              </w:rPr>
            </w:pPr>
            <w:r w:rsidRPr="00DD47DF">
              <w:rPr>
                <w:rFonts w:cs="Calibri"/>
                <w:sz w:val="16"/>
              </w:rPr>
              <w:t>celkové způsobilé výdaje</w:t>
            </w:r>
          </w:p>
        </w:tc>
        <w:tc>
          <w:tcPr>
            <w:tcW w:w="372" w:type="pct"/>
            <w:shd w:val="clear" w:color="auto" w:fill="auto"/>
          </w:tcPr>
          <w:p w14:paraId="12AAA25B" w14:textId="77777777" w:rsidR="00CE6DD0" w:rsidRPr="00DD47DF" w:rsidRDefault="00CE6DD0" w:rsidP="000435CB">
            <w:pPr>
              <w:pStyle w:val="Tabulka"/>
              <w:jc w:val="right"/>
              <w:rPr>
                <w:rFonts w:cs="Calibri"/>
                <w:sz w:val="16"/>
              </w:rPr>
            </w:pPr>
            <w:r w:rsidRPr="00DD47DF">
              <w:rPr>
                <w:rFonts w:cs="Calibri"/>
                <w:sz w:val="16"/>
              </w:rPr>
              <w:t>1 352 544 411</w:t>
            </w:r>
          </w:p>
        </w:tc>
        <w:tc>
          <w:tcPr>
            <w:tcW w:w="317" w:type="pct"/>
            <w:shd w:val="clear" w:color="auto" w:fill="auto"/>
          </w:tcPr>
          <w:p w14:paraId="37234B6F" w14:textId="742CDFDD" w:rsidR="00CE6DD0" w:rsidRPr="00DD47DF" w:rsidRDefault="00DA382E" w:rsidP="000435CB">
            <w:pPr>
              <w:pStyle w:val="Tabulka"/>
              <w:jc w:val="right"/>
              <w:rPr>
                <w:rFonts w:cs="Calibri"/>
                <w:sz w:val="16"/>
              </w:rPr>
            </w:pPr>
            <w:r w:rsidRPr="00700E39">
              <w:rPr>
                <w:rFonts w:cs="Calibri"/>
                <w:sz w:val="16"/>
              </w:rPr>
              <w:t>1 429 754 496</w:t>
            </w:r>
          </w:p>
        </w:tc>
        <w:tc>
          <w:tcPr>
            <w:tcW w:w="349" w:type="pct"/>
            <w:shd w:val="clear" w:color="auto" w:fill="auto"/>
          </w:tcPr>
          <w:p w14:paraId="6011BB03" w14:textId="78950AA2" w:rsidR="00CE6DD0" w:rsidRPr="00DD47DF" w:rsidRDefault="00DA382E" w:rsidP="000435CB">
            <w:pPr>
              <w:jc w:val="right"/>
              <w:rPr>
                <w:rFonts w:cs="Calibri"/>
                <w:sz w:val="16"/>
                <w:szCs w:val="22"/>
              </w:rPr>
            </w:pPr>
            <w:r w:rsidRPr="00700E39">
              <w:rPr>
                <w:rFonts w:cs="Calibri"/>
                <w:sz w:val="16"/>
                <w:szCs w:val="22"/>
              </w:rPr>
              <w:t>80 554 068</w:t>
            </w:r>
          </w:p>
        </w:tc>
        <w:tc>
          <w:tcPr>
            <w:tcW w:w="349" w:type="pct"/>
            <w:shd w:val="clear" w:color="auto" w:fill="auto"/>
          </w:tcPr>
          <w:p w14:paraId="23404C31" w14:textId="08C5D1AE" w:rsidR="00CE6DD0" w:rsidRPr="00DD47DF" w:rsidRDefault="00DA382E" w:rsidP="000435CB">
            <w:pPr>
              <w:jc w:val="right"/>
              <w:rPr>
                <w:rFonts w:cs="Calibri"/>
                <w:sz w:val="16"/>
                <w:szCs w:val="22"/>
              </w:rPr>
            </w:pPr>
            <w:r w:rsidRPr="00700E39">
              <w:rPr>
                <w:rFonts w:cs="Calibri"/>
                <w:sz w:val="16"/>
                <w:szCs w:val="22"/>
              </w:rPr>
              <w:t>1 349 200 428</w:t>
            </w:r>
          </w:p>
        </w:tc>
        <w:tc>
          <w:tcPr>
            <w:tcW w:w="336" w:type="pct"/>
            <w:shd w:val="clear" w:color="auto" w:fill="auto"/>
          </w:tcPr>
          <w:p w14:paraId="74B7AF11" w14:textId="17EBB0DA" w:rsidR="00CE6DD0" w:rsidRPr="00DD47DF" w:rsidRDefault="00DA382E" w:rsidP="000435CB">
            <w:pPr>
              <w:jc w:val="right"/>
              <w:rPr>
                <w:rFonts w:cs="Calibri"/>
                <w:sz w:val="16"/>
                <w:szCs w:val="22"/>
              </w:rPr>
            </w:pPr>
            <w:r w:rsidRPr="00700E39">
              <w:rPr>
                <w:rFonts w:cs="Calibri"/>
                <w:sz w:val="16"/>
                <w:szCs w:val="22"/>
              </w:rPr>
              <w:t>2 782 298 907</w:t>
            </w:r>
          </w:p>
        </w:tc>
        <w:tc>
          <w:tcPr>
            <w:tcW w:w="449" w:type="pct"/>
            <w:shd w:val="clear" w:color="auto" w:fill="auto"/>
          </w:tcPr>
          <w:p w14:paraId="45C41304" w14:textId="47EC6380" w:rsidR="00CE6DD0" w:rsidRPr="00DD47DF" w:rsidRDefault="00DA382E" w:rsidP="000435CB">
            <w:pPr>
              <w:jc w:val="right"/>
              <w:rPr>
                <w:rFonts w:cs="Calibri"/>
                <w:sz w:val="16"/>
                <w:szCs w:val="22"/>
              </w:rPr>
            </w:pPr>
            <w:r w:rsidRPr="00700E39">
              <w:rPr>
                <w:rFonts w:cs="Calibri"/>
                <w:sz w:val="16"/>
                <w:szCs w:val="22"/>
              </w:rPr>
              <w:t>48,61</w:t>
            </w:r>
            <w:r w:rsidR="00CE6DD0" w:rsidRPr="00DD47DF">
              <w:rPr>
                <w:rFonts w:cs="Calibri"/>
                <w:sz w:val="16"/>
                <w:szCs w:val="22"/>
              </w:rPr>
              <w:t>%</w:t>
            </w:r>
          </w:p>
        </w:tc>
        <w:tc>
          <w:tcPr>
            <w:tcW w:w="280" w:type="pct"/>
            <w:shd w:val="clear" w:color="auto" w:fill="auto"/>
          </w:tcPr>
          <w:p w14:paraId="0E1A5367" w14:textId="77777777" w:rsidR="00CE6DD0" w:rsidRPr="00DD47DF" w:rsidRDefault="00CE6DD0" w:rsidP="000435CB">
            <w:pPr>
              <w:pStyle w:val="Tabulka"/>
              <w:jc w:val="right"/>
              <w:rPr>
                <w:rFonts w:cs="Calibri"/>
                <w:sz w:val="16"/>
              </w:rPr>
            </w:pPr>
          </w:p>
        </w:tc>
        <w:tc>
          <w:tcPr>
            <w:tcW w:w="321" w:type="pct"/>
            <w:shd w:val="clear" w:color="auto" w:fill="auto"/>
          </w:tcPr>
          <w:p w14:paraId="22FE4CD1" w14:textId="77777777" w:rsidR="00CE6DD0" w:rsidRPr="00DD47DF" w:rsidRDefault="00CE6DD0" w:rsidP="000435CB">
            <w:pPr>
              <w:jc w:val="right"/>
              <w:rPr>
                <w:rFonts w:cs="Calibri"/>
                <w:sz w:val="16"/>
                <w:szCs w:val="22"/>
              </w:rPr>
            </w:pPr>
            <w:r w:rsidRPr="00DD47DF">
              <w:rPr>
                <w:rFonts w:cs="Calibri"/>
                <w:sz w:val="16"/>
                <w:szCs w:val="22"/>
              </w:rPr>
              <w:t>1 268 544 411</w:t>
            </w:r>
          </w:p>
        </w:tc>
        <w:tc>
          <w:tcPr>
            <w:tcW w:w="313" w:type="pct"/>
            <w:shd w:val="clear" w:color="auto" w:fill="auto"/>
          </w:tcPr>
          <w:p w14:paraId="10D5C2D3" w14:textId="52B20A34" w:rsidR="00CE6DD0" w:rsidRPr="00DD47DF" w:rsidRDefault="00DA382E" w:rsidP="000435CB">
            <w:pPr>
              <w:jc w:val="right"/>
              <w:rPr>
                <w:rFonts w:cs="Calibri"/>
                <w:sz w:val="16"/>
                <w:szCs w:val="22"/>
              </w:rPr>
            </w:pPr>
            <w:r w:rsidRPr="00700E39">
              <w:rPr>
                <w:rFonts w:cs="Calibri"/>
                <w:sz w:val="16"/>
                <w:szCs w:val="22"/>
              </w:rPr>
              <w:t>1 340 959 351</w:t>
            </w:r>
          </w:p>
        </w:tc>
        <w:tc>
          <w:tcPr>
            <w:tcW w:w="289" w:type="pct"/>
            <w:shd w:val="clear" w:color="auto" w:fill="auto"/>
          </w:tcPr>
          <w:p w14:paraId="739FC468" w14:textId="77777777" w:rsidR="00CE6DD0" w:rsidRPr="00DD47DF" w:rsidRDefault="00CE6DD0" w:rsidP="000435CB">
            <w:pPr>
              <w:jc w:val="right"/>
              <w:rPr>
                <w:rFonts w:cs="Calibri"/>
                <w:sz w:val="16"/>
                <w:szCs w:val="22"/>
              </w:rPr>
            </w:pPr>
            <w:r w:rsidRPr="00DD47DF">
              <w:rPr>
                <w:rFonts w:cs="Calibri"/>
                <w:sz w:val="16"/>
                <w:szCs w:val="22"/>
              </w:rPr>
              <w:t>84 000 000</w:t>
            </w:r>
          </w:p>
        </w:tc>
        <w:tc>
          <w:tcPr>
            <w:tcW w:w="322" w:type="pct"/>
            <w:shd w:val="clear" w:color="auto" w:fill="auto"/>
          </w:tcPr>
          <w:p w14:paraId="533ECCFB" w14:textId="133E4B87" w:rsidR="00CE6DD0" w:rsidRPr="00DD47DF" w:rsidRDefault="00DA382E" w:rsidP="000435CB">
            <w:pPr>
              <w:jc w:val="right"/>
              <w:rPr>
                <w:rFonts w:cs="Calibri"/>
                <w:sz w:val="16"/>
                <w:szCs w:val="22"/>
              </w:rPr>
            </w:pPr>
            <w:r w:rsidRPr="00700E39">
              <w:rPr>
                <w:rFonts w:cs="Calibri"/>
                <w:sz w:val="16"/>
                <w:szCs w:val="22"/>
              </w:rPr>
              <w:t>88 795 145</w:t>
            </w:r>
          </w:p>
        </w:tc>
        <w:tc>
          <w:tcPr>
            <w:tcW w:w="333" w:type="pct"/>
            <w:shd w:val="clear" w:color="auto" w:fill="auto"/>
          </w:tcPr>
          <w:p w14:paraId="2B4A951F" w14:textId="77777777" w:rsidR="00CE6DD0" w:rsidRPr="00DD47DF" w:rsidRDefault="00CE6DD0" w:rsidP="000435CB">
            <w:pPr>
              <w:pStyle w:val="Tabulka"/>
              <w:jc w:val="right"/>
              <w:rPr>
                <w:rFonts w:cs="Calibri"/>
                <w:sz w:val="16"/>
              </w:rPr>
            </w:pPr>
            <w:r w:rsidRPr="00DD47DF">
              <w:rPr>
                <w:rFonts w:cs="Calibri"/>
                <w:sz w:val="16"/>
              </w:rPr>
              <w:t>6,21</w:t>
            </w:r>
          </w:p>
        </w:tc>
      </w:tr>
      <w:tr w:rsidR="00CE6DD0" w:rsidRPr="00DD47DF" w14:paraId="45218197" w14:textId="77777777" w:rsidTr="00466CFC">
        <w:tc>
          <w:tcPr>
            <w:tcW w:w="249" w:type="pct"/>
            <w:shd w:val="clear" w:color="auto" w:fill="auto"/>
          </w:tcPr>
          <w:p w14:paraId="411AFF86" w14:textId="77777777" w:rsidR="00CE6DD0" w:rsidRPr="00DD47DF" w:rsidRDefault="00CE6DD0" w:rsidP="000435CB">
            <w:pPr>
              <w:pStyle w:val="Tabulka"/>
              <w:rPr>
                <w:rFonts w:cs="Calibri"/>
                <w:i/>
                <w:iCs/>
                <w:sz w:val="16"/>
                <w:szCs w:val="16"/>
              </w:rPr>
            </w:pPr>
            <w:r w:rsidRPr="00DD47DF">
              <w:rPr>
                <w:rFonts w:cs="Calibri"/>
                <w:bCs/>
                <w:sz w:val="16"/>
                <w:szCs w:val="16"/>
              </w:rPr>
              <w:t>Prioritní osa 2</w:t>
            </w:r>
          </w:p>
        </w:tc>
        <w:tc>
          <w:tcPr>
            <w:tcW w:w="181" w:type="pct"/>
            <w:shd w:val="clear" w:color="auto" w:fill="auto"/>
          </w:tcPr>
          <w:p w14:paraId="43C99065" w14:textId="77777777" w:rsidR="00CE6DD0" w:rsidRPr="00DD47DF" w:rsidRDefault="00CE6DD0" w:rsidP="000435CB">
            <w:pPr>
              <w:pStyle w:val="Tabulka"/>
              <w:rPr>
                <w:rFonts w:cs="Calibri"/>
                <w:sz w:val="16"/>
                <w:szCs w:val="16"/>
              </w:rPr>
            </w:pPr>
            <w:r w:rsidRPr="00DD47DF">
              <w:rPr>
                <w:rFonts w:cs="Calibri"/>
                <w:sz w:val="16"/>
                <w:szCs w:val="16"/>
              </w:rPr>
              <w:t>EFRR</w:t>
            </w:r>
          </w:p>
        </w:tc>
        <w:tc>
          <w:tcPr>
            <w:tcW w:w="277" w:type="pct"/>
            <w:shd w:val="clear" w:color="auto" w:fill="auto"/>
          </w:tcPr>
          <w:p w14:paraId="26B54EEE" w14:textId="77777777" w:rsidR="00CE6DD0" w:rsidRPr="00DD47DF" w:rsidRDefault="00CE6DD0" w:rsidP="000435CB">
            <w:pPr>
              <w:pStyle w:val="Tabulka"/>
              <w:rPr>
                <w:rFonts w:cs="Calibri"/>
                <w:sz w:val="16"/>
                <w:szCs w:val="16"/>
              </w:rPr>
            </w:pPr>
            <w:r w:rsidRPr="00DD47DF">
              <w:rPr>
                <w:rFonts w:cs="Calibri"/>
                <w:sz w:val="16"/>
                <w:szCs w:val="16"/>
              </w:rPr>
              <w:t>Méně rozvinuté regiony</w:t>
            </w:r>
          </w:p>
        </w:tc>
        <w:tc>
          <w:tcPr>
            <w:tcW w:w="265" w:type="pct"/>
            <w:shd w:val="clear" w:color="auto" w:fill="auto"/>
          </w:tcPr>
          <w:p w14:paraId="14A1CAF1" w14:textId="77777777" w:rsidR="00CE6DD0" w:rsidRPr="00DD47DF" w:rsidRDefault="00CE6DD0" w:rsidP="000435CB">
            <w:pPr>
              <w:pStyle w:val="Tabulka"/>
              <w:rPr>
                <w:rFonts w:cs="Calibri"/>
                <w:sz w:val="16"/>
                <w:szCs w:val="16"/>
              </w:rPr>
            </w:pPr>
            <w:r w:rsidRPr="00DD47DF">
              <w:rPr>
                <w:rFonts w:cs="Calibri"/>
                <w:sz w:val="16"/>
              </w:rPr>
              <w:t>celkové způsobilé výdaje</w:t>
            </w:r>
          </w:p>
        </w:tc>
        <w:tc>
          <w:tcPr>
            <w:tcW w:w="372" w:type="pct"/>
            <w:shd w:val="clear" w:color="auto" w:fill="auto"/>
          </w:tcPr>
          <w:p w14:paraId="1DF34829" w14:textId="77777777" w:rsidR="00CE6DD0" w:rsidRPr="00DD47DF" w:rsidRDefault="00CE6DD0" w:rsidP="000435CB">
            <w:pPr>
              <w:pStyle w:val="Tabulka"/>
              <w:jc w:val="right"/>
              <w:rPr>
                <w:rFonts w:cs="Calibri"/>
                <w:sz w:val="16"/>
              </w:rPr>
            </w:pPr>
            <w:r w:rsidRPr="00DD47DF">
              <w:rPr>
                <w:rFonts w:cs="Calibri"/>
                <w:sz w:val="16"/>
              </w:rPr>
              <w:t>892 130 143</w:t>
            </w:r>
          </w:p>
        </w:tc>
        <w:tc>
          <w:tcPr>
            <w:tcW w:w="317" w:type="pct"/>
            <w:shd w:val="clear" w:color="auto" w:fill="auto"/>
          </w:tcPr>
          <w:p w14:paraId="192400BF" w14:textId="57E43D54" w:rsidR="00CE6DD0" w:rsidRPr="00DD47DF" w:rsidRDefault="00DA382E" w:rsidP="000435CB">
            <w:pPr>
              <w:pStyle w:val="Tabulka"/>
              <w:jc w:val="right"/>
              <w:rPr>
                <w:rFonts w:cs="Calibri"/>
                <w:sz w:val="16"/>
              </w:rPr>
            </w:pPr>
            <w:r w:rsidRPr="00700E39">
              <w:rPr>
                <w:rFonts w:cs="Calibri"/>
                <w:sz w:val="16"/>
              </w:rPr>
              <w:t>1 000 900 721</w:t>
            </w:r>
          </w:p>
        </w:tc>
        <w:tc>
          <w:tcPr>
            <w:tcW w:w="349" w:type="pct"/>
            <w:shd w:val="clear" w:color="auto" w:fill="auto"/>
          </w:tcPr>
          <w:p w14:paraId="153D6D8A" w14:textId="77777777" w:rsidR="00CE6DD0" w:rsidRPr="00DD47DF" w:rsidRDefault="00CE6DD0" w:rsidP="000435CB">
            <w:pPr>
              <w:pStyle w:val="Tabulka"/>
              <w:jc w:val="right"/>
              <w:rPr>
                <w:rFonts w:cs="Calibri"/>
                <w:sz w:val="16"/>
              </w:rPr>
            </w:pPr>
            <w:r w:rsidRPr="00DD47DF">
              <w:rPr>
                <w:rFonts w:cs="Calibri"/>
                <w:sz w:val="16"/>
              </w:rPr>
              <w:t>9 909 680</w:t>
            </w:r>
          </w:p>
        </w:tc>
        <w:tc>
          <w:tcPr>
            <w:tcW w:w="349" w:type="pct"/>
            <w:shd w:val="clear" w:color="auto" w:fill="auto"/>
          </w:tcPr>
          <w:p w14:paraId="70A00BEA" w14:textId="6A119DB3" w:rsidR="00CE6DD0" w:rsidRPr="00DD47DF" w:rsidRDefault="00DA382E" w:rsidP="000435CB">
            <w:pPr>
              <w:pStyle w:val="Tabulka"/>
              <w:jc w:val="right"/>
              <w:rPr>
                <w:rFonts w:cs="Calibri"/>
                <w:sz w:val="16"/>
              </w:rPr>
            </w:pPr>
            <w:r w:rsidRPr="00700E39">
              <w:rPr>
                <w:rFonts w:cs="Calibri"/>
                <w:sz w:val="16"/>
              </w:rPr>
              <w:t>990 991 041</w:t>
            </w:r>
          </w:p>
        </w:tc>
        <w:tc>
          <w:tcPr>
            <w:tcW w:w="336" w:type="pct"/>
            <w:shd w:val="clear" w:color="auto" w:fill="auto"/>
          </w:tcPr>
          <w:p w14:paraId="46F60678" w14:textId="40DBC23B" w:rsidR="00CE6DD0" w:rsidRPr="00DD47DF" w:rsidRDefault="00DA382E" w:rsidP="000435CB">
            <w:pPr>
              <w:pStyle w:val="Tabulka"/>
              <w:jc w:val="right"/>
              <w:rPr>
                <w:rFonts w:cs="Calibri"/>
                <w:sz w:val="16"/>
              </w:rPr>
            </w:pPr>
            <w:r w:rsidRPr="00700E39">
              <w:rPr>
                <w:rFonts w:cs="Calibri"/>
                <w:sz w:val="16"/>
              </w:rPr>
              <w:t>1 893 030 864</w:t>
            </w:r>
          </w:p>
        </w:tc>
        <w:tc>
          <w:tcPr>
            <w:tcW w:w="449" w:type="pct"/>
            <w:shd w:val="clear" w:color="auto" w:fill="auto"/>
          </w:tcPr>
          <w:p w14:paraId="67630A2D" w14:textId="49B721FB" w:rsidR="00CE6DD0" w:rsidRPr="00DD47DF" w:rsidRDefault="00DA382E" w:rsidP="000435CB">
            <w:pPr>
              <w:pStyle w:val="Tabulka"/>
              <w:jc w:val="right"/>
              <w:rPr>
                <w:rFonts w:cs="Calibri"/>
                <w:sz w:val="16"/>
              </w:rPr>
            </w:pPr>
            <w:r w:rsidRPr="00700E39">
              <w:rPr>
                <w:rFonts w:cs="Calibri"/>
                <w:sz w:val="16"/>
              </w:rPr>
              <w:t>47,13</w:t>
            </w:r>
            <w:r w:rsidR="00CE6DD0" w:rsidRPr="00DD47DF">
              <w:rPr>
                <w:rFonts w:cs="Calibri"/>
                <w:sz w:val="16"/>
              </w:rPr>
              <w:t>%</w:t>
            </w:r>
          </w:p>
        </w:tc>
        <w:tc>
          <w:tcPr>
            <w:tcW w:w="280" w:type="pct"/>
            <w:shd w:val="clear" w:color="auto" w:fill="auto"/>
          </w:tcPr>
          <w:p w14:paraId="5D8A3F5B" w14:textId="77777777" w:rsidR="00CE6DD0" w:rsidRPr="00DD47DF" w:rsidRDefault="00CE6DD0" w:rsidP="000435CB">
            <w:pPr>
              <w:pStyle w:val="Tabulka"/>
              <w:jc w:val="right"/>
              <w:rPr>
                <w:rFonts w:cs="Calibri"/>
                <w:sz w:val="16"/>
              </w:rPr>
            </w:pPr>
          </w:p>
        </w:tc>
        <w:tc>
          <w:tcPr>
            <w:tcW w:w="321" w:type="pct"/>
            <w:shd w:val="clear" w:color="auto" w:fill="auto"/>
          </w:tcPr>
          <w:p w14:paraId="1BAD6C30" w14:textId="77777777" w:rsidR="00CE6DD0" w:rsidRPr="00DD47DF" w:rsidRDefault="00CE6DD0" w:rsidP="00CE2FC5">
            <w:pPr>
              <w:jc w:val="right"/>
              <w:rPr>
                <w:rFonts w:cs="Calibri"/>
                <w:sz w:val="16"/>
                <w:szCs w:val="22"/>
              </w:rPr>
            </w:pPr>
            <w:r w:rsidRPr="00DD47DF">
              <w:rPr>
                <w:rFonts w:cs="Calibri"/>
                <w:sz w:val="16"/>
                <w:szCs w:val="22"/>
              </w:rPr>
              <w:t>836 266 38</w:t>
            </w:r>
            <w:r w:rsidR="00CE2FC5" w:rsidRPr="00DD47DF">
              <w:rPr>
                <w:rFonts w:cs="Calibri"/>
                <w:sz w:val="16"/>
                <w:szCs w:val="22"/>
              </w:rPr>
              <w:t>6</w:t>
            </w:r>
          </w:p>
        </w:tc>
        <w:tc>
          <w:tcPr>
            <w:tcW w:w="313" w:type="pct"/>
            <w:shd w:val="clear" w:color="auto" w:fill="auto"/>
          </w:tcPr>
          <w:p w14:paraId="671C3704" w14:textId="119F7E24" w:rsidR="00CE6DD0" w:rsidRPr="00DD47DF" w:rsidRDefault="00DA382E" w:rsidP="00CE6DD0">
            <w:pPr>
              <w:jc w:val="right"/>
              <w:rPr>
                <w:rFonts w:cs="Calibri"/>
                <w:sz w:val="16"/>
                <w:szCs w:val="22"/>
              </w:rPr>
            </w:pPr>
            <w:r w:rsidRPr="00700E39">
              <w:rPr>
                <w:rFonts w:cs="Calibri"/>
                <w:sz w:val="16"/>
                <w:szCs w:val="22"/>
              </w:rPr>
              <w:t>938 225 925</w:t>
            </w:r>
          </w:p>
        </w:tc>
        <w:tc>
          <w:tcPr>
            <w:tcW w:w="289" w:type="pct"/>
            <w:shd w:val="clear" w:color="auto" w:fill="auto"/>
          </w:tcPr>
          <w:p w14:paraId="40777C87" w14:textId="77777777" w:rsidR="00CE6DD0" w:rsidRPr="00DD47DF" w:rsidRDefault="00CE6DD0" w:rsidP="00CE2FC5">
            <w:pPr>
              <w:jc w:val="right"/>
              <w:rPr>
                <w:rFonts w:cs="Calibri"/>
                <w:sz w:val="16"/>
                <w:szCs w:val="22"/>
              </w:rPr>
            </w:pPr>
            <w:r w:rsidRPr="00DD47DF">
              <w:rPr>
                <w:rFonts w:cs="Calibri"/>
                <w:sz w:val="16"/>
                <w:szCs w:val="22"/>
              </w:rPr>
              <w:t>55 863 75</w:t>
            </w:r>
            <w:r w:rsidR="00CE2FC5" w:rsidRPr="00DD47DF">
              <w:rPr>
                <w:rFonts w:cs="Calibri"/>
                <w:sz w:val="16"/>
                <w:szCs w:val="22"/>
              </w:rPr>
              <w:t>7</w:t>
            </w:r>
          </w:p>
        </w:tc>
        <w:tc>
          <w:tcPr>
            <w:tcW w:w="322" w:type="pct"/>
            <w:shd w:val="clear" w:color="auto" w:fill="auto"/>
          </w:tcPr>
          <w:p w14:paraId="42F12C59" w14:textId="2EB6EA65" w:rsidR="00CE6DD0" w:rsidRPr="00DD47DF" w:rsidRDefault="00DA382E" w:rsidP="00CE6DD0">
            <w:pPr>
              <w:jc w:val="right"/>
              <w:rPr>
                <w:rFonts w:cs="Calibri"/>
                <w:sz w:val="16"/>
                <w:szCs w:val="22"/>
              </w:rPr>
            </w:pPr>
            <w:r w:rsidRPr="00700E39">
              <w:rPr>
                <w:rFonts w:cs="Calibri"/>
                <w:sz w:val="16"/>
                <w:szCs w:val="22"/>
              </w:rPr>
              <w:t>62 674 796</w:t>
            </w:r>
          </w:p>
        </w:tc>
        <w:tc>
          <w:tcPr>
            <w:tcW w:w="333" w:type="pct"/>
            <w:shd w:val="clear" w:color="auto" w:fill="auto"/>
          </w:tcPr>
          <w:p w14:paraId="393F1BFD" w14:textId="77777777" w:rsidR="00CE6DD0" w:rsidRPr="00DD47DF" w:rsidRDefault="00CE6DD0" w:rsidP="00CE6DD0">
            <w:pPr>
              <w:jc w:val="right"/>
              <w:rPr>
                <w:rFonts w:cs="Calibri"/>
                <w:sz w:val="16"/>
                <w:szCs w:val="22"/>
              </w:rPr>
            </w:pPr>
            <w:r w:rsidRPr="00DD47DF">
              <w:rPr>
                <w:rFonts w:cs="Calibri"/>
                <w:sz w:val="16"/>
                <w:szCs w:val="22"/>
              </w:rPr>
              <w:t>6,26</w:t>
            </w:r>
          </w:p>
        </w:tc>
      </w:tr>
      <w:tr w:rsidR="00CE6DD0" w:rsidRPr="00DD47DF" w14:paraId="68422CEC" w14:textId="77777777" w:rsidTr="00466CFC">
        <w:tc>
          <w:tcPr>
            <w:tcW w:w="249" w:type="pct"/>
            <w:shd w:val="clear" w:color="auto" w:fill="auto"/>
          </w:tcPr>
          <w:p w14:paraId="31755F0A" w14:textId="77777777" w:rsidR="00CE6DD0" w:rsidRPr="00DD47DF" w:rsidRDefault="00CE6DD0" w:rsidP="000435CB">
            <w:pPr>
              <w:pStyle w:val="Tabulka"/>
              <w:rPr>
                <w:rFonts w:cs="Calibri"/>
                <w:i/>
                <w:iCs/>
                <w:sz w:val="16"/>
                <w:szCs w:val="16"/>
              </w:rPr>
            </w:pPr>
            <w:r w:rsidRPr="00DD47DF">
              <w:rPr>
                <w:rFonts w:cs="Calibri"/>
                <w:bCs/>
                <w:sz w:val="16"/>
                <w:szCs w:val="16"/>
              </w:rPr>
              <w:t>Prioritní osa 3</w:t>
            </w:r>
          </w:p>
        </w:tc>
        <w:tc>
          <w:tcPr>
            <w:tcW w:w="181" w:type="pct"/>
            <w:shd w:val="clear" w:color="auto" w:fill="auto"/>
          </w:tcPr>
          <w:p w14:paraId="7ECBCCA9" w14:textId="77777777" w:rsidR="00CE6DD0" w:rsidRPr="00DD47DF" w:rsidRDefault="00CE6DD0" w:rsidP="000435CB">
            <w:pPr>
              <w:pStyle w:val="Tabulka"/>
              <w:rPr>
                <w:rFonts w:cs="Calibri"/>
                <w:sz w:val="16"/>
                <w:szCs w:val="16"/>
              </w:rPr>
            </w:pPr>
            <w:r w:rsidRPr="00DD47DF">
              <w:rPr>
                <w:rFonts w:cs="Calibri"/>
                <w:sz w:val="16"/>
                <w:szCs w:val="16"/>
              </w:rPr>
              <w:t>EFRR</w:t>
            </w:r>
          </w:p>
        </w:tc>
        <w:tc>
          <w:tcPr>
            <w:tcW w:w="277" w:type="pct"/>
            <w:shd w:val="clear" w:color="auto" w:fill="auto"/>
          </w:tcPr>
          <w:p w14:paraId="6B775AEA" w14:textId="77777777" w:rsidR="00CE6DD0" w:rsidRPr="00DD47DF" w:rsidRDefault="00CE6DD0" w:rsidP="000435CB">
            <w:pPr>
              <w:pStyle w:val="Tabulka"/>
              <w:rPr>
                <w:rFonts w:cs="Calibri"/>
                <w:sz w:val="16"/>
                <w:szCs w:val="16"/>
              </w:rPr>
            </w:pPr>
            <w:r w:rsidRPr="00DD47DF">
              <w:rPr>
                <w:rFonts w:cs="Calibri"/>
                <w:sz w:val="16"/>
                <w:szCs w:val="16"/>
              </w:rPr>
              <w:t>Méně rozvinuté regiony</w:t>
            </w:r>
          </w:p>
        </w:tc>
        <w:tc>
          <w:tcPr>
            <w:tcW w:w="265" w:type="pct"/>
            <w:shd w:val="clear" w:color="auto" w:fill="auto"/>
          </w:tcPr>
          <w:p w14:paraId="5CE7B605" w14:textId="77777777" w:rsidR="00CE6DD0" w:rsidRPr="00DD47DF" w:rsidRDefault="00CE6DD0" w:rsidP="000435CB">
            <w:pPr>
              <w:pStyle w:val="Tabulka"/>
              <w:rPr>
                <w:rFonts w:cs="Calibri"/>
                <w:sz w:val="16"/>
                <w:szCs w:val="16"/>
              </w:rPr>
            </w:pPr>
            <w:r w:rsidRPr="00DD47DF">
              <w:rPr>
                <w:rFonts w:cs="Calibri"/>
                <w:sz w:val="16"/>
              </w:rPr>
              <w:t>celkové způsobilé výdaje</w:t>
            </w:r>
          </w:p>
        </w:tc>
        <w:tc>
          <w:tcPr>
            <w:tcW w:w="372" w:type="pct"/>
            <w:shd w:val="clear" w:color="auto" w:fill="auto"/>
          </w:tcPr>
          <w:p w14:paraId="403ED720" w14:textId="77777777" w:rsidR="00CE6DD0" w:rsidRPr="00DD47DF" w:rsidRDefault="00CE6DD0" w:rsidP="000435CB">
            <w:pPr>
              <w:pStyle w:val="Tabulka"/>
              <w:jc w:val="right"/>
              <w:rPr>
                <w:rFonts w:cs="Calibri"/>
                <w:sz w:val="16"/>
              </w:rPr>
            </w:pPr>
            <w:r w:rsidRPr="00DD47DF">
              <w:rPr>
                <w:rFonts w:cs="Calibri"/>
                <w:sz w:val="16"/>
              </w:rPr>
              <w:t>1 217 129 658</w:t>
            </w:r>
          </w:p>
        </w:tc>
        <w:tc>
          <w:tcPr>
            <w:tcW w:w="317" w:type="pct"/>
            <w:shd w:val="clear" w:color="auto" w:fill="auto"/>
          </w:tcPr>
          <w:p w14:paraId="45CFC363" w14:textId="3A4AEAD3" w:rsidR="00CE6DD0" w:rsidRPr="00DD47DF" w:rsidRDefault="00DA382E" w:rsidP="000435CB">
            <w:pPr>
              <w:pStyle w:val="Tabulka"/>
              <w:jc w:val="right"/>
              <w:rPr>
                <w:rFonts w:cs="Calibri"/>
                <w:sz w:val="16"/>
              </w:rPr>
            </w:pPr>
            <w:r w:rsidRPr="00700E39">
              <w:rPr>
                <w:rFonts w:cs="Calibri"/>
                <w:sz w:val="16"/>
              </w:rPr>
              <w:t>1 783 675 597</w:t>
            </w:r>
          </w:p>
        </w:tc>
        <w:tc>
          <w:tcPr>
            <w:tcW w:w="349" w:type="pct"/>
            <w:shd w:val="clear" w:color="auto" w:fill="auto"/>
          </w:tcPr>
          <w:p w14:paraId="4E8781DC" w14:textId="77777777" w:rsidR="00CE6DD0" w:rsidRPr="00DD47DF" w:rsidRDefault="00501978" w:rsidP="000435CB">
            <w:pPr>
              <w:pStyle w:val="Tabulka"/>
              <w:jc w:val="right"/>
              <w:rPr>
                <w:rFonts w:cs="Calibri"/>
                <w:sz w:val="16"/>
              </w:rPr>
            </w:pPr>
            <w:r w:rsidRPr="00DD47DF">
              <w:rPr>
                <w:rFonts w:cs="Calibri"/>
                <w:sz w:val="16"/>
              </w:rPr>
              <w:t>0</w:t>
            </w:r>
          </w:p>
        </w:tc>
        <w:tc>
          <w:tcPr>
            <w:tcW w:w="349" w:type="pct"/>
            <w:shd w:val="clear" w:color="auto" w:fill="auto"/>
          </w:tcPr>
          <w:p w14:paraId="3F8DA70B" w14:textId="671F7B17" w:rsidR="00CE6DD0" w:rsidRPr="00DD47DF" w:rsidRDefault="00DA382E" w:rsidP="000435CB">
            <w:pPr>
              <w:pStyle w:val="Tabulka"/>
              <w:jc w:val="right"/>
              <w:rPr>
                <w:rFonts w:cs="Calibri"/>
                <w:sz w:val="16"/>
              </w:rPr>
            </w:pPr>
            <w:r w:rsidRPr="00700E39">
              <w:rPr>
                <w:rFonts w:cs="Calibri"/>
                <w:sz w:val="16"/>
              </w:rPr>
              <w:t>1 783 675 597</w:t>
            </w:r>
          </w:p>
        </w:tc>
        <w:tc>
          <w:tcPr>
            <w:tcW w:w="336" w:type="pct"/>
            <w:shd w:val="clear" w:color="auto" w:fill="auto"/>
          </w:tcPr>
          <w:p w14:paraId="384E2DD5" w14:textId="57300EED" w:rsidR="00CE6DD0" w:rsidRPr="00DD47DF" w:rsidRDefault="00DA382E" w:rsidP="000435CB">
            <w:pPr>
              <w:pStyle w:val="Tabulka"/>
              <w:jc w:val="right"/>
              <w:rPr>
                <w:rFonts w:cs="Calibri"/>
                <w:sz w:val="16"/>
              </w:rPr>
            </w:pPr>
            <w:r w:rsidRPr="00700E39">
              <w:rPr>
                <w:rFonts w:cs="Calibri"/>
                <w:sz w:val="16"/>
              </w:rPr>
              <w:t>3 000 805 255</w:t>
            </w:r>
          </w:p>
        </w:tc>
        <w:tc>
          <w:tcPr>
            <w:tcW w:w="449" w:type="pct"/>
            <w:shd w:val="clear" w:color="auto" w:fill="auto"/>
          </w:tcPr>
          <w:p w14:paraId="2A41203E" w14:textId="69B991AE" w:rsidR="00CE6DD0" w:rsidRPr="00DD47DF" w:rsidRDefault="00DA382E" w:rsidP="000435CB">
            <w:pPr>
              <w:pStyle w:val="Tabulka"/>
              <w:jc w:val="right"/>
              <w:rPr>
                <w:rFonts w:cs="Calibri"/>
                <w:sz w:val="16"/>
              </w:rPr>
            </w:pPr>
            <w:r w:rsidRPr="00700E39">
              <w:rPr>
                <w:rFonts w:cs="Calibri"/>
                <w:sz w:val="16"/>
              </w:rPr>
              <w:t>40,56</w:t>
            </w:r>
            <w:r w:rsidR="00CE6DD0" w:rsidRPr="00DD47DF">
              <w:rPr>
                <w:rFonts w:cs="Calibri"/>
                <w:sz w:val="16"/>
              </w:rPr>
              <w:t>%</w:t>
            </w:r>
          </w:p>
        </w:tc>
        <w:tc>
          <w:tcPr>
            <w:tcW w:w="280" w:type="pct"/>
            <w:shd w:val="clear" w:color="auto" w:fill="auto"/>
          </w:tcPr>
          <w:p w14:paraId="1F7EB887" w14:textId="77777777" w:rsidR="00CE6DD0" w:rsidRPr="00DD47DF" w:rsidRDefault="00CE6DD0" w:rsidP="000435CB">
            <w:pPr>
              <w:pStyle w:val="Tabulka"/>
              <w:jc w:val="right"/>
              <w:rPr>
                <w:rFonts w:cs="Calibri"/>
                <w:sz w:val="16"/>
              </w:rPr>
            </w:pPr>
          </w:p>
        </w:tc>
        <w:tc>
          <w:tcPr>
            <w:tcW w:w="321" w:type="pct"/>
            <w:shd w:val="clear" w:color="auto" w:fill="auto"/>
          </w:tcPr>
          <w:p w14:paraId="5B79C9E4" w14:textId="77777777" w:rsidR="00CE6DD0" w:rsidRPr="00DD47DF" w:rsidRDefault="00CE6DD0" w:rsidP="00CE6DD0">
            <w:pPr>
              <w:jc w:val="right"/>
              <w:rPr>
                <w:rFonts w:cs="Calibri"/>
                <w:sz w:val="16"/>
                <w:szCs w:val="22"/>
              </w:rPr>
            </w:pPr>
            <w:r w:rsidRPr="00DD47DF">
              <w:rPr>
                <w:rFonts w:cs="Calibri"/>
                <w:sz w:val="16"/>
                <w:szCs w:val="22"/>
              </w:rPr>
              <w:t>1 141 129 658</w:t>
            </w:r>
          </w:p>
        </w:tc>
        <w:tc>
          <w:tcPr>
            <w:tcW w:w="313" w:type="pct"/>
            <w:shd w:val="clear" w:color="auto" w:fill="auto"/>
          </w:tcPr>
          <w:p w14:paraId="6A43082B" w14:textId="0F16BC85" w:rsidR="00CE6DD0" w:rsidRPr="00DD47DF" w:rsidRDefault="00DA382E" w:rsidP="00CE6DD0">
            <w:pPr>
              <w:jc w:val="right"/>
              <w:rPr>
                <w:rFonts w:cs="Calibri"/>
                <w:sz w:val="16"/>
                <w:szCs w:val="22"/>
              </w:rPr>
            </w:pPr>
            <w:r w:rsidRPr="00700E39">
              <w:rPr>
                <w:rFonts w:cs="Calibri"/>
                <w:sz w:val="16"/>
                <w:szCs w:val="22"/>
              </w:rPr>
              <w:t>1 672 299 340</w:t>
            </w:r>
          </w:p>
        </w:tc>
        <w:tc>
          <w:tcPr>
            <w:tcW w:w="289" w:type="pct"/>
            <w:shd w:val="clear" w:color="auto" w:fill="auto"/>
          </w:tcPr>
          <w:p w14:paraId="289D3962" w14:textId="77777777" w:rsidR="00CE6DD0" w:rsidRPr="00DD47DF" w:rsidRDefault="00CE6DD0" w:rsidP="00CE6DD0">
            <w:pPr>
              <w:jc w:val="right"/>
              <w:rPr>
                <w:rFonts w:cs="Calibri"/>
                <w:sz w:val="16"/>
                <w:szCs w:val="22"/>
              </w:rPr>
            </w:pPr>
            <w:r w:rsidRPr="00DD47DF">
              <w:rPr>
                <w:rFonts w:cs="Calibri"/>
                <w:sz w:val="16"/>
                <w:szCs w:val="22"/>
              </w:rPr>
              <w:t>76 000 000</w:t>
            </w:r>
          </w:p>
        </w:tc>
        <w:tc>
          <w:tcPr>
            <w:tcW w:w="322" w:type="pct"/>
            <w:shd w:val="clear" w:color="auto" w:fill="auto"/>
          </w:tcPr>
          <w:p w14:paraId="32AF1D53" w14:textId="764AFAE7" w:rsidR="00CE6DD0" w:rsidRPr="00DD47DF" w:rsidRDefault="00DA382E" w:rsidP="00CE6DD0">
            <w:pPr>
              <w:jc w:val="right"/>
              <w:rPr>
                <w:rFonts w:cs="Calibri"/>
                <w:sz w:val="16"/>
                <w:szCs w:val="22"/>
              </w:rPr>
            </w:pPr>
            <w:r w:rsidRPr="00700E39">
              <w:rPr>
                <w:rFonts w:cs="Calibri"/>
                <w:sz w:val="16"/>
                <w:szCs w:val="22"/>
              </w:rPr>
              <w:t>111 376 257</w:t>
            </w:r>
          </w:p>
        </w:tc>
        <w:tc>
          <w:tcPr>
            <w:tcW w:w="333" w:type="pct"/>
            <w:shd w:val="clear" w:color="auto" w:fill="auto"/>
          </w:tcPr>
          <w:p w14:paraId="0304BFE4" w14:textId="77777777" w:rsidR="00CE6DD0" w:rsidRPr="00DD47DF" w:rsidRDefault="00CE6DD0" w:rsidP="00CE6DD0">
            <w:pPr>
              <w:jc w:val="right"/>
              <w:rPr>
                <w:rFonts w:cs="Calibri"/>
                <w:sz w:val="16"/>
                <w:szCs w:val="22"/>
              </w:rPr>
            </w:pPr>
            <w:r w:rsidRPr="00DD47DF">
              <w:rPr>
                <w:rFonts w:cs="Calibri"/>
                <w:sz w:val="16"/>
                <w:szCs w:val="22"/>
              </w:rPr>
              <w:t>6,24</w:t>
            </w:r>
          </w:p>
        </w:tc>
      </w:tr>
      <w:tr w:rsidR="00CE6DD0" w:rsidRPr="00DD47DF" w14:paraId="0DC968FA" w14:textId="77777777" w:rsidTr="00466CFC">
        <w:tc>
          <w:tcPr>
            <w:tcW w:w="249" w:type="pct"/>
            <w:shd w:val="clear" w:color="auto" w:fill="auto"/>
          </w:tcPr>
          <w:p w14:paraId="4DC24230" w14:textId="77777777" w:rsidR="00CE6DD0" w:rsidRPr="00DD47DF" w:rsidRDefault="00CE6DD0" w:rsidP="000435CB">
            <w:pPr>
              <w:pStyle w:val="Tabulka"/>
              <w:rPr>
                <w:rFonts w:cs="Calibri"/>
                <w:bCs/>
                <w:sz w:val="16"/>
                <w:szCs w:val="16"/>
              </w:rPr>
            </w:pPr>
            <w:r w:rsidRPr="00DD47DF">
              <w:rPr>
                <w:rFonts w:cs="Calibri"/>
                <w:bCs/>
                <w:sz w:val="16"/>
                <w:szCs w:val="16"/>
              </w:rPr>
              <w:t>Prioritní osa 4</w:t>
            </w:r>
          </w:p>
        </w:tc>
        <w:tc>
          <w:tcPr>
            <w:tcW w:w="181" w:type="pct"/>
            <w:shd w:val="clear" w:color="auto" w:fill="auto"/>
          </w:tcPr>
          <w:p w14:paraId="3071FDDC" w14:textId="77777777" w:rsidR="00CE6DD0" w:rsidRPr="00DD47DF" w:rsidRDefault="00CE6DD0" w:rsidP="000435CB">
            <w:pPr>
              <w:pStyle w:val="Tabulka"/>
              <w:rPr>
                <w:rFonts w:cs="Calibri"/>
                <w:i/>
                <w:iCs/>
                <w:sz w:val="16"/>
                <w:szCs w:val="16"/>
              </w:rPr>
            </w:pPr>
            <w:r w:rsidRPr="00DD47DF">
              <w:rPr>
                <w:rFonts w:cs="Calibri"/>
                <w:sz w:val="16"/>
                <w:szCs w:val="16"/>
              </w:rPr>
              <w:t>EFRR</w:t>
            </w:r>
          </w:p>
        </w:tc>
        <w:tc>
          <w:tcPr>
            <w:tcW w:w="277" w:type="pct"/>
            <w:shd w:val="clear" w:color="auto" w:fill="auto"/>
          </w:tcPr>
          <w:p w14:paraId="2024B345" w14:textId="77777777" w:rsidR="00CE6DD0" w:rsidRPr="00DD47DF" w:rsidRDefault="00CE6DD0" w:rsidP="000435CB">
            <w:pPr>
              <w:pStyle w:val="Tabulka"/>
              <w:rPr>
                <w:rFonts w:cs="Calibri"/>
                <w:sz w:val="16"/>
                <w:szCs w:val="16"/>
              </w:rPr>
            </w:pPr>
            <w:r w:rsidRPr="00DD47DF">
              <w:rPr>
                <w:rFonts w:cs="Calibri"/>
                <w:sz w:val="16"/>
                <w:szCs w:val="16"/>
              </w:rPr>
              <w:t>Méně rozvinuté regiony</w:t>
            </w:r>
          </w:p>
        </w:tc>
        <w:tc>
          <w:tcPr>
            <w:tcW w:w="265" w:type="pct"/>
            <w:shd w:val="clear" w:color="auto" w:fill="auto"/>
          </w:tcPr>
          <w:p w14:paraId="3AFE2972" w14:textId="77777777" w:rsidR="00CE6DD0" w:rsidRPr="00DD47DF" w:rsidRDefault="00CE6DD0" w:rsidP="000435CB">
            <w:pPr>
              <w:pStyle w:val="Tabulka"/>
              <w:rPr>
                <w:rFonts w:cs="Calibri"/>
                <w:sz w:val="16"/>
                <w:szCs w:val="16"/>
              </w:rPr>
            </w:pPr>
            <w:r w:rsidRPr="00DD47DF">
              <w:rPr>
                <w:rFonts w:cs="Calibri"/>
                <w:sz w:val="16"/>
              </w:rPr>
              <w:t>celkové způsobilé výdaje</w:t>
            </w:r>
          </w:p>
        </w:tc>
        <w:tc>
          <w:tcPr>
            <w:tcW w:w="372" w:type="pct"/>
            <w:shd w:val="clear" w:color="auto" w:fill="auto"/>
          </w:tcPr>
          <w:p w14:paraId="4388C9EA" w14:textId="77777777" w:rsidR="00CE6DD0" w:rsidRPr="00DD47DF" w:rsidRDefault="00CE6DD0" w:rsidP="000435CB">
            <w:pPr>
              <w:pStyle w:val="Tabulka"/>
              <w:jc w:val="right"/>
              <w:rPr>
                <w:rFonts w:cs="Calibri"/>
                <w:sz w:val="16"/>
              </w:rPr>
            </w:pPr>
            <w:r w:rsidRPr="00DD47DF">
              <w:rPr>
                <w:rFonts w:cs="Calibri"/>
                <w:sz w:val="16"/>
              </w:rPr>
              <w:t>743 657 589</w:t>
            </w:r>
          </w:p>
        </w:tc>
        <w:tc>
          <w:tcPr>
            <w:tcW w:w="317" w:type="pct"/>
            <w:shd w:val="clear" w:color="auto" w:fill="auto"/>
          </w:tcPr>
          <w:p w14:paraId="71B6E521" w14:textId="35885FC9" w:rsidR="00CE6DD0" w:rsidRPr="00DD47DF" w:rsidRDefault="00AE4256" w:rsidP="000435CB">
            <w:pPr>
              <w:pStyle w:val="Tabulka"/>
              <w:jc w:val="right"/>
              <w:rPr>
                <w:rFonts w:cs="Calibri"/>
                <w:sz w:val="16"/>
              </w:rPr>
            </w:pPr>
            <w:r w:rsidRPr="00700E39">
              <w:rPr>
                <w:rFonts w:cs="Calibri"/>
                <w:sz w:val="16"/>
              </w:rPr>
              <w:t>397 354 723</w:t>
            </w:r>
          </w:p>
        </w:tc>
        <w:tc>
          <w:tcPr>
            <w:tcW w:w="349" w:type="pct"/>
            <w:shd w:val="clear" w:color="auto" w:fill="auto"/>
          </w:tcPr>
          <w:p w14:paraId="10811C00" w14:textId="77777777" w:rsidR="00CE6DD0" w:rsidRPr="00DD47DF" w:rsidRDefault="00CE6DD0" w:rsidP="000435CB">
            <w:pPr>
              <w:pStyle w:val="Tabulka"/>
              <w:jc w:val="right"/>
              <w:rPr>
                <w:rFonts w:cs="Calibri"/>
                <w:sz w:val="16"/>
              </w:rPr>
            </w:pPr>
            <w:r w:rsidRPr="00DD47DF">
              <w:rPr>
                <w:rFonts w:cs="Calibri"/>
                <w:sz w:val="16"/>
              </w:rPr>
              <w:t>0</w:t>
            </w:r>
          </w:p>
        </w:tc>
        <w:tc>
          <w:tcPr>
            <w:tcW w:w="349" w:type="pct"/>
            <w:shd w:val="clear" w:color="auto" w:fill="auto"/>
          </w:tcPr>
          <w:p w14:paraId="441BECF7" w14:textId="4BCF8333" w:rsidR="00CE6DD0" w:rsidRPr="00DD47DF" w:rsidRDefault="00AE4256" w:rsidP="000435CB">
            <w:pPr>
              <w:pStyle w:val="Tabulka"/>
              <w:jc w:val="right"/>
              <w:rPr>
                <w:rFonts w:cs="Calibri"/>
                <w:sz w:val="16"/>
              </w:rPr>
            </w:pPr>
            <w:r w:rsidRPr="00700E39">
              <w:rPr>
                <w:rFonts w:cs="Calibri"/>
                <w:sz w:val="16"/>
              </w:rPr>
              <w:t>397 354 723</w:t>
            </w:r>
          </w:p>
        </w:tc>
        <w:tc>
          <w:tcPr>
            <w:tcW w:w="336" w:type="pct"/>
            <w:shd w:val="clear" w:color="auto" w:fill="auto"/>
          </w:tcPr>
          <w:p w14:paraId="7E5E85B6" w14:textId="7646C1E4" w:rsidR="00CE6DD0" w:rsidRPr="00DD47DF" w:rsidRDefault="00AE4256" w:rsidP="000435CB">
            <w:pPr>
              <w:pStyle w:val="Tabulka"/>
              <w:jc w:val="right"/>
              <w:rPr>
                <w:rFonts w:cs="Calibri"/>
                <w:sz w:val="16"/>
              </w:rPr>
            </w:pPr>
            <w:r w:rsidRPr="00700E39">
              <w:rPr>
                <w:rFonts w:cs="Calibri"/>
                <w:sz w:val="16"/>
              </w:rPr>
              <w:t>1 141 012 312</w:t>
            </w:r>
          </w:p>
        </w:tc>
        <w:tc>
          <w:tcPr>
            <w:tcW w:w="449" w:type="pct"/>
            <w:shd w:val="clear" w:color="auto" w:fill="auto"/>
          </w:tcPr>
          <w:p w14:paraId="0B3C89FC" w14:textId="13893AD9" w:rsidR="00CE6DD0" w:rsidRPr="00DD47DF" w:rsidRDefault="00AE4256" w:rsidP="000435CB">
            <w:pPr>
              <w:pStyle w:val="Tabulka"/>
              <w:jc w:val="right"/>
              <w:rPr>
                <w:rFonts w:cs="Calibri"/>
                <w:sz w:val="16"/>
              </w:rPr>
            </w:pPr>
            <w:r w:rsidRPr="00700E39">
              <w:rPr>
                <w:rFonts w:cs="Calibri"/>
                <w:sz w:val="16"/>
              </w:rPr>
              <w:t>65,18</w:t>
            </w:r>
            <w:r w:rsidR="00CE6DD0" w:rsidRPr="00DD47DF">
              <w:rPr>
                <w:rFonts w:cs="Calibri"/>
                <w:sz w:val="16"/>
              </w:rPr>
              <w:t>%</w:t>
            </w:r>
          </w:p>
        </w:tc>
        <w:tc>
          <w:tcPr>
            <w:tcW w:w="280" w:type="pct"/>
            <w:shd w:val="clear" w:color="auto" w:fill="auto"/>
          </w:tcPr>
          <w:p w14:paraId="2C864D8F" w14:textId="77777777" w:rsidR="00CE6DD0" w:rsidRPr="00DD47DF" w:rsidRDefault="00CE6DD0" w:rsidP="000435CB">
            <w:pPr>
              <w:pStyle w:val="Tabulka"/>
              <w:jc w:val="right"/>
              <w:rPr>
                <w:rFonts w:cs="Calibri"/>
                <w:sz w:val="16"/>
              </w:rPr>
            </w:pPr>
          </w:p>
        </w:tc>
        <w:tc>
          <w:tcPr>
            <w:tcW w:w="321" w:type="pct"/>
            <w:shd w:val="clear" w:color="auto" w:fill="auto"/>
          </w:tcPr>
          <w:p w14:paraId="375A2597" w14:textId="77777777" w:rsidR="00CE6DD0" w:rsidRPr="00DD47DF" w:rsidRDefault="00CE6DD0" w:rsidP="00CE6DD0">
            <w:pPr>
              <w:jc w:val="right"/>
              <w:rPr>
                <w:rFonts w:cs="Calibri"/>
                <w:sz w:val="16"/>
                <w:szCs w:val="22"/>
              </w:rPr>
            </w:pPr>
            <w:r w:rsidRPr="00DD47DF">
              <w:rPr>
                <w:rFonts w:cs="Calibri"/>
                <w:sz w:val="16"/>
                <w:szCs w:val="22"/>
              </w:rPr>
              <w:t>699 657 589</w:t>
            </w:r>
          </w:p>
        </w:tc>
        <w:tc>
          <w:tcPr>
            <w:tcW w:w="313" w:type="pct"/>
            <w:shd w:val="clear" w:color="auto" w:fill="auto"/>
          </w:tcPr>
          <w:p w14:paraId="1860E601" w14:textId="12A3436B" w:rsidR="00CE6DD0" w:rsidRPr="00DD47DF" w:rsidRDefault="00AE4256" w:rsidP="00CE6DD0">
            <w:pPr>
              <w:jc w:val="right"/>
              <w:rPr>
                <w:rFonts w:cs="Calibri"/>
                <w:sz w:val="16"/>
                <w:szCs w:val="22"/>
              </w:rPr>
            </w:pPr>
            <w:r w:rsidRPr="00700E39">
              <w:rPr>
                <w:rFonts w:cs="Calibri"/>
                <w:sz w:val="16"/>
                <w:szCs w:val="22"/>
              </w:rPr>
              <w:t>373 844 430</w:t>
            </w:r>
          </w:p>
        </w:tc>
        <w:tc>
          <w:tcPr>
            <w:tcW w:w="289" w:type="pct"/>
            <w:shd w:val="clear" w:color="auto" w:fill="auto"/>
          </w:tcPr>
          <w:p w14:paraId="5864672A" w14:textId="77777777" w:rsidR="00CE6DD0" w:rsidRPr="00DD47DF" w:rsidRDefault="00CE6DD0" w:rsidP="00CE6DD0">
            <w:pPr>
              <w:jc w:val="right"/>
              <w:rPr>
                <w:rFonts w:cs="Calibri"/>
                <w:sz w:val="16"/>
                <w:szCs w:val="22"/>
              </w:rPr>
            </w:pPr>
            <w:r w:rsidRPr="00DD47DF">
              <w:rPr>
                <w:rFonts w:cs="Calibri"/>
                <w:sz w:val="16"/>
                <w:szCs w:val="22"/>
              </w:rPr>
              <w:t>44 000 000</w:t>
            </w:r>
          </w:p>
        </w:tc>
        <w:tc>
          <w:tcPr>
            <w:tcW w:w="322" w:type="pct"/>
            <w:shd w:val="clear" w:color="auto" w:fill="auto"/>
          </w:tcPr>
          <w:p w14:paraId="1ED695F2" w14:textId="1C5E1646" w:rsidR="00CE6DD0" w:rsidRPr="00DD47DF" w:rsidRDefault="00AE4256" w:rsidP="00CE6DD0">
            <w:pPr>
              <w:jc w:val="right"/>
              <w:rPr>
                <w:rFonts w:cs="Calibri"/>
                <w:sz w:val="16"/>
                <w:szCs w:val="22"/>
              </w:rPr>
            </w:pPr>
            <w:r w:rsidRPr="00700E39">
              <w:rPr>
                <w:rFonts w:cs="Calibri"/>
                <w:sz w:val="16"/>
                <w:szCs w:val="22"/>
              </w:rPr>
              <w:t>23 510 293</w:t>
            </w:r>
          </w:p>
        </w:tc>
        <w:tc>
          <w:tcPr>
            <w:tcW w:w="333" w:type="pct"/>
            <w:shd w:val="clear" w:color="auto" w:fill="auto"/>
          </w:tcPr>
          <w:p w14:paraId="294316AB" w14:textId="77777777" w:rsidR="00CE6DD0" w:rsidRPr="00DD47DF" w:rsidRDefault="00CE6DD0" w:rsidP="00CE6DD0">
            <w:pPr>
              <w:jc w:val="right"/>
              <w:rPr>
                <w:rFonts w:cs="Calibri"/>
                <w:sz w:val="16"/>
                <w:szCs w:val="22"/>
              </w:rPr>
            </w:pPr>
            <w:r w:rsidRPr="00DD47DF">
              <w:rPr>
                <w:rFonts w:cs="Calibri"/>
                <w:sz w:val="16"/>
                <w:szCs w:val="22"/>
              </w:rPr>
              <w:t>5,92</w:t>
            </w:r>
          </w:p>
        </w:tc>
      </w:tr>
      <w:tr w:rsidR="00CE6DD0" w:rsidRPr="00DD47DF" w14:paraId="5BDB4F54" w14:textId="77777777" w:rsidTr="00466CFC">
        <w:tc>
          <w:tcPr>
            <w:tcW w:w="249" w:type="pct"/>
            <w:shd w:val="clear" w:color="auto" w:fill="auto"/>
          </w:tcPr>
          <w:p w14:paraId="02CD03E9" w14:textId="77777777" w:rsidR="00CE6DD0" w:rsidRPr="00DD47DF" w:rsidRDefault="00CE6DD0" w:rsidP="000435CB">
            <w:pPr>
              <w:pStyle w:val="Tabulka"/>
              <w:rPr>
                <w:rFonts w:cs="Calibri"/>
                <w:bCs/>
                <w:sz w:val="16"/>
                <w:szCs w:val="16"/>
              </w:rPr>
            </w:pPr>
            <w:r w:rsidRPr="00DD47DF">
              <w:rPr>
                <w:rFonts w:cs="Calibri"/>
                <w:bCs/>
                <w:sz w:val="16"/>
                <w:szCs w:val="16"/>
              </w:rPr>
              <w:t>Prioritní osa 5</w:t>
            </w:r>
          </w:p>
        </w:tc>
        <w:tc>
          <w:tcPr>
            <w:tcW w:w="181" w:type="pct"/>
            <w:shd w:val="clear" w:color="auto" w:fill="auto"/>
          </w:tcPr>
          <w:p w14:paraId="0E1BA0E5" w14:textId="77777777" w:rsidR="00CE6DD0" w:rsidRPr="00DD47DF" w:rsidRDefault="00CE6DD0" w:rsidP="000435CB">
            <w:pPr>
              <w:pStyle w:val="Tabulka"/>
              <w:rPr>
                <w:rFonts w:cs="Calibri"/>
                <w:sz w:val="16"/>
                <w:szCs w:val="16"/>
              </w:rPr>
            </w:pPr>
            <w:r w:rsidRPr="00DD47DF">
              <w:rPr>
                <w:rFonts w:cs="Calibri"/>
                <w:sz w:val="16"/>
                <w:szCs w:val="16"/>
              </w:rPr>
              <w:t>EFRR</w:t>
            </w:r>
          </w:p>
        </w:tc>
        <w:tc>
          <w:tcPr>
            <w:tcW w:w="277" w:type="pct"/>
            <w:shd w:val="clear" w:color="auto" w:fill="auto"/>
          </w:tcPr>
          <w:p w14:paraId="54F81ADA" w14:textId="77777777" w:rsidR="00CE6DD0" w:rsidRPr="00DD47DF" w:rsidRDefault="00CE6DD0" w:rsidP="000435CB">
            <w:pPr>
              <w:pStyle w:val="Tabulka"/>
              <w:rPr>
                <w:rFonts w:cs="Calibri"/>
                <w:sz w:val="16"/>
                <w:szCs w:val="16"/>
              </w:rPr>
            </w:pPr>
            <w:r w:rsidRPr="00DD47DF">
              <w:rPr>
                <w:rFonts w:cs="Calibri"/>
                <w:sz w:val="16"/>
                <w:szCs w:val="16"/>
              </w:rPr>
              <w:t>Méně rozvinuté regiony</w:t>
            </w:r>
          </w:p>
        </w:tc>
        <w:tc>
          <w:tcPr>
            <w:tcW w:w="265" w:type="pct"/>
            <w:shd w:val="clear" w:color="auto" w:fill="auto"/>
          </w:tcPr>
          <w:p w14:paraId="4D2B0DBD" w14:textId="77777777" w:rsidR="00CE6DD0" w:rsidRPr="00DD47DF" w:rsidRDefault="00CE6DD0" w:rsidP="000435CB">
            <w:pPr>
              <w:pStyle w:val="Tabulka"/>
              <w:rPr>
                <w:rFonts w:cs="Calibri"/>
                <w:sz w:val="16"/>
                <w:szCs w:val="16"/>
              </w:rPr>
            </w:pPr>
            <w:r w:rsidRPr="00DD47DF">
              <w:rPr>
                <w:rFonts w:cs="Calibri"/>
                <w:sz w:val="16"/>
              </w:rPr>
              <w:t>celkové způsobilé výdaje</w:t>
            </w:r>
          </w:p>
        </w:tc>
        <w:tc>
          <w:tcPr>
            <w:tcW w:w="372" w:type="pct"/>
            <w:shd w:val="clear" w:color="auto" w:fill="auto"/>
          </w:tcPr>
          <w:p w14:paraId="07BADEC2" w14:textId="77777777" w:rsidR="00CE6DD0" w:rsidRPr="00DD47DF" w:rsidRDefault="00CE6DD0" w:rsidP="000435CB">
            <w:pPr>
              <w:pStyle w:val="Tabulka"/>
              <w:jc w:val="right"/>
              <w:rPr>
                <w:rFonts w:cs="Calibri"/>
                <w:sz w:val="16"/>
              </w:rPr>
            </w:pPr>
            <w:r w:rsidRPr="00DD47DF">
              <w:rPr>
                <w:rFonts w:cs="Calibri"/>
                <w:sz w:val="16"/>
              </w:rPr>
              <w:t>125 600 816</w:t>
            </w:r>
          </w:p>
        </w:tc>
        <w:tc>
          <w:tcPr>
            <w:tcW w:w="317" w:type="pct"/>
            <w:shd w:val="clear" w:color="auto" w:fill="auto"/>
          </w:tcPr>
          <w:p w14:paraId="27007CD0" w14:textId="77777777" w:rsidR="00CE6DD0" w:rsidRPr="00DD47DF" w:rsidRDefault="00CE6DD0" w:rsidP="000435CB">
            <w:pPr>
              <w:pStyle w:val="Tabulka"/>
              <w:jc w:val="right"/>
              <w:rPr>
                <w:rFonts w:cs="Calibri"/>
                <w:sz w:val="16"/>
              </w:rPr>
            </w:pPr>
            <w:r w:rsidRPr="00DD47DF">
              <w:rPr>
                <w:rFonts w:cs="Calibri"/>
                <w:sz w:val="16"/>
              </w:rPr>
              <w:t>22 164 850</w:t>
            </w:r>
          </w:p>
        </w:tc>
        <w:tc>
          <w:tcPr>
            <w:tcW w:w="349" w:type="pct"/>
            <w:shd w:val="clear" w:color="auto" w:fill="auto"/>
          </w:tcPr>
          <w:p w14:paraId="58C10437" w14:textId="77777777" w:rsidR="00CE6DD0" w:rsidRPr="00DD47DF" w:rsidRDefault="00CE6DD0" w:rsidP="000435CB">
            <w:pPr>
              <w:pStyle w:val="Tabulka"/>
              <w:jc w:val="right"/>
              <w:rPr>
                <w:rFonts w:cs="Calibri"/>
                <w:sz w:val="16"/>
              </w:rPr>
            </w:pPr>
            <w:r w:rsidRPr="00DD47DF">
              <w:rPr>
                <w:rFonts w:cs="Calibri"/>
                <w:sz w:val="16"/>
              </w:rPr>
              <w:t>22 164 850</w:t>
            </w:r>
          </w:p>
        </w:tc>
        <w:tc>
          <w:tcPr>
            <w:tcW w:w="349" w:type="pct"/>
            <w:shd w:val="clear" w:color="auto" w:fill="auto"/>
          </w:tcPr>
          <w:p w14:paraId="7FCB84D9" w14:textId="77777777" w:rsidR="00CE6DD0" w:rsidRPr="00DD47DF" w:rsidRDefault="00CE6DD0" w:rsidP="000435CB">
            <w:pPr>
              <w:pStyle w:val="Tabulka"/>
              <w:jc w:val="right"/>
              <w:rPr>
                <w:rFonts w:cs="Calibri"/>
                <w:sz w:val="16"/>
              </w:rPr>
            </w:pPr>
            <w:r w:rsidRPr="00DD47DF">
              <w:rPr>
                <w:rFonts w:cs="Calibri"/>
                <w:sz w:val="16"/>
              </w:rPr>
              <w:t>0</w:t>
            </w:r>
          </w:p>
        </w:tc>
        <w:tc>
          <w:tcPr>
            <w:tcW w:w="336" w:type="pct"/>
            <w:shd w:val="clear" w:color="auto" w:fill="auto"/>
          </w:tcPr>
          <w:p w14:paraId="3DB474FD" w14:textId="77777777" w:rsidR="00CE6DD0" w:rsidRPr="00DD47DF" w:rsidRDefault="00CE6DD0" w:rsidP="000435CB">
            <w:pPr>
              <w:pStyle w:val="Tabulka"/>
              <w:jc w:val="right"/>
              <w:rPr>
                <w:rFonts w:cs="Calibri"/>
                <w:sz w:val="16"/>
              </w:rPr>
            </w:pPr>
            <w:r w:rsidRPr="00DD47DF">
              <w:rPr>
                <w:rFonts w:cs="Calibri"/>
                <w:sz w:val="16"/>
              </w:rPr>
              <w:t>147 765 666</w:t>
            </w:r>
          </w:p>
        </w:tc>
        <w:tc>
          <w:tcPr>
            <w:tcW w:w="449" w:type="pct"/>
            <w:shd w:val="clear" w:color="auto" w:fill="auto"/>
          </w:tcPr>
          <w:p w14:paraId="4EF8E700" w14:textId="77777777" w:rsidR="00CE6DD0" w:rsidRPr="00DD47DF" w:rsidRDefault="00CE6DD0" w:rsidP="000435CB">
            <w:pPr>
              <w:pStyle w:val="Tabulka"/>
              <w:jc w:val="right"/>
              <w:rPr>
                <w:rFonts w:cs="Calibri"/>
                <w:sz w:val="16"/>
              </w:rPr>
            </w:pPr>
            <w:r w:rsidRPr="00DD47DF">
              <w:rPr>
                <w:rFonts w:cs="Calibri"/>
                <w:sz w:val="16"/>
              </w:rPr>
              <w:t>85,00%</w:t>
            </w:r>
          </w:p>
        </w:tc>
        <w:tc>
          <w:tcPr>
            <w:tcW w:w="280" w:type="pct"/>
            <w:shd w:val="clear" w:color="auto" w:fill="auto"/>
          </w:tcPr>
          <w:p w14:paraId="3DC2C3B7" w14:textId="77777777" w:rsidR="00CE6DD0" w:rsidRPr="00DD47DF" w:rsidRDefault="00CE6DD0" w:rsidP="000435CB">
            <w:pPr>
              <w:pStyle w:val="Tabulka"/>
              <w:jc w:val="right"/>
              <w:rPr>
                <w:rFonts w:cs="Calibri"/>
                <w:sz w:val="16"/>
              </w:rPr>
            </w:pPr>
          </w:p>
        </w:tc>
        <w:tc>
          <w:tcPr>
            <w:tcW w:w="321" w:type="pct"/>
            <w:shd w:val="clear" w:color="auto" w:fill="auto"/>
          </w:tcPr>
          <w:p w14:paraId="73DB1FB7" w14:textId="77777777" w:rsidR="00CE6DD0" w:rsidRPr="00DD47DF" w:rsidRDefault="00CE6DD0" w:rsidP="00CE6DD0">
            <w:pPr>
              <w:jc w:val="right"/>
              <w:rPr>
                <w:rFonts w:cs="Calibri"/>
                <w:sz w:val="16"/>
                <w:szCs w:val="22"/>
              </w:rPr>
            </w:pPr>
            <w:r w:rsidRPr="00DD47DF">
              <w:rPr>
                <w:rFonts w:cs="Calibri"/>
                <w:sz w:val="16"/>
                <w:szCs w:val="22"/>
              </w:rPr>
              <w:t>125 600 816</w:t>
            </w:r>
          </w:p>
        </w:tc>
        <w:tc>
          <w:tcPr>
            <w:tcW w:w="313" w:type="pct"/>
            <w:shd w:val="clear" w:color="auto" w:fill="auto"/>
          </w:tcPr>
          <w:p w14:paraId="385CA053" w14:textId="77777777" w:rsidR="00CE6DD0" w:rsidRPr="00DD47DF" w:rsidRDefault="00CE6DD0" w:rsidP="00CE6DD0">
            <w:pPr>
              <w:jc w:val="right"/>
              <w:rPr>
                <w:rFonts w:cs="Calibri"/>
                <w:sz w:val="16"/>
                <w:szCs w:val="22"/>
              </w:rPr>
            </w:pPr>
            <w:r w:rsidRPr="00DD47DF">
              <w:rPr>
                <w:rFonts w:cs="Calibri"/>
                <w:sz w:val="16"/>
                <w:szCs w:val="22"/>
              </w:rPr>
              <w:t>22 164 850</w:t>
            </w:r>
          </w:p>
        </w:tc>
        <w:tc>
          <w:tcPr>
            <w:tcW w:w="289" w:type="pct"/>
            <w:shd w:val="clear" w:color="auto" w:fill="auto"/>
          </w:tcPr>
          <w:p w14:paraId="547F58E8" w14:textId="77777777" w:rsidR="00CE6DD0" w:rsidRPr="00DD47DF" w:rsidRDefault="00CE6DD0" w:rsidP="00CE6DD0">
            <w:pPr>
              <w:jc w:val="right"/>
              <w:rPr>
                <w:rFonts w:cs="Calibri"/>
                <w:sz w:val="16"/>
                <w:szCs w:val="22"/>
              </w:rPr>
            </w:pPr>
            <w:r w:rsidRPr="00DD47DF">
              <w:rPr>
                <w:rFonts w:cs="Calibri"/>
                <w:sz w:val="16"/>
                <w:szCs w:val="22"/>
              </w:rPr>
              <w:t>0</w:t>
            </w:r>
          </w:p>
        </w:tc>
        <w:tc>
          <w:tcPr>
            <w:tcW w:w="322" w:type="pct"/>
            <w:shd w:val="clear" w:color="auto" w:fill="auto"/>
          </w:tcPr>
          <w:p w14:paraId="3482A46F" w14:textId="77777777" w:rsidR="00CE6DD0" w:rsidRPr="00DD47DF" w:rsidRDefault="00CE6DD0" w:rsidP="00CE6DD0">
            <w:pPr>
              <w:jc w:val="right"/>
              <w:rPr>
                <w:rFonts w:cs="Calibri"/>
                <w:sz w:val="16"/>
                <w:szCs w:val="22"/>
              </w:rPr>
            </w:pPr>
            <w:r w:rsidRPr="00DD47DF">
              <w:rPr>
                <w:rFonts w:cs="Calibri"/>
                <w:sz w:val="16"/>
                <w:szCs w:val="22"/>
              </w:rPr>
              <w:t>0</w:t>
            </w:r>
          </w:p>
        </w:tc>
        <w:tc>
          <w:tcPr>
            <w:tcW w:w="333" w:type="pct"/>
            <w:shd w:val="clear" w:color="auto" w:fill="auto"/>
          </w:tcPr>
          <w:p w14:paraId="12EAFC3C" w14:textId="77777777" w:rsidR="00CE6DD0" w:rsidRPr="00DD47DF" w:rsidRDefault="00CE6DD0" w:rsidP="00CE6DD0">
            <w:pPr>
              <w:jc w:val="right"/>
              <w:rPr>
                <w:rFonts w:cs="Calibri"/>
                <w:sz w:val="16"/>
                <w:szCs w:val="22"/>
              </w:rPr>
            </w:pPr>
            <w:r w:rsidRPr="00DD47DF">
              <w:rPr>
                <w:rFonts w:cs="Calibri"/>
                <w:sz w:val="16"/>
                <w:szCs w:val="22"/>
              </w:rPr>
              <w:t>0,00</w:t>
            </w:r>
          </w:p>
        </w:tc>
      </w:tr>
      <w:tr w:rsidR="00CE6DD0" w:rsidRPr="00DD47DF" w14:paraId="06EECC7B" w14:textId="77777777" w:rsidTr="00466CFC">
        <w:tc>
          <w:tcPr>
            <w:tcW w:w="249" w:type="pct"/>
            <w:shd w:val="clear" w:color="auto" w:fill="DBE5F1"/>
          </w:tcPr>
          <w:p w14:paraId="077F38F0" w14:textId="77777777" w:rsidR="00CE6DD0" w:rsidRPr="00DD47DF" w:rsidRDefault="00CE6DD0" w:rsidP="000435CB">
            <w:pPr>
              <w:pStyle w:val="Tabulka"/>
              <w:rPr>
                <w:rFonts w:cs="Calibri"/>
                <w:sz w:val="16"/>
                <w:szCs w:val="16"/>
              </w:rPr>
            </w:pPr>
            <w:r w:rsidRPr="00DD47DF">
              <w:rPr>
                <w:rFonts w:cs="Calibri"/>
                <w:bCs/>
                <w:sz w:val="16"/>
                <w:szCs w:val="16"/>
              </w:rPr>
              <w:t>Celkem</w:t>
            </w:r>
          </w:p>
        </w:tc>
        <w:tc>
          <w:tcPr>
            <w:tcW w:w="181" w:type="pct"/>
            <w:shd w:val="clear" w:color="auto" w:fill="DBE5F1"/>
          </w:tcPr>
          <w:p w14:paraId="36B8067C" w14:textId="77777777" w:rsidR="00CE6DD0" w:rsidRPr="00DD47DF" w:rsidRDefault="00CE6DD0" w:rsidP="000435CB">
            <w:pPr>
              <w:pStyle w:val="Tabulka"/>
              <w:rPr>
                <w:rFonts w:cs="Calibri"/>
                <w:sz w:val="16"/>
                <w:szCs w:val="16"/>
              </w:rPr>
            </w:pPr>
            <w:r w:rsidRPr="00DD47DF">
              <w:rPr>
                <w:rFonts w:cs="Calibri"/>
                <w:sz w:val="16"/>
                <w:szCs w:val="16"/>
              </w:rPr>
              <w:t>EFRR</w:t>
            </w:r>
          </w:p>
        </w:tc>
        <w:tc>
          <w:tcPr>
            <w:tcW w:w="277" w:type="pct"/>
            <w:shd w:val="clear" w:color="auto" w:fill="DBE5F1"/>
          </w:tcPr>
          <w:p w14:paraId="4CDD9ED5" w14:textId="77777777" w:rsidR="00CE6DD0" w:rsidRPr="00DD47DF" w:rsidRDefault="00CE6DD0" w:rsidP="000435CB">
            <w:pPr>
              <w:pStyle w:val="Tabulka"/>
              <w:rPr>
                <w:rFonts w:cs="Calibri"/>
                <w:sz w:val="16"/>
                <w:szCs w:val="16"/>
              </w:rPr>
            </w:pPr>
            <w:r w:rsidRPr="00DD47DF">
              <w:rPr>
                <w:rFonts w:cs="Calibri"/>
                <w:sz w:val="16"/>
                <w:szCs w:val="16"/>
              </w:rPr>
              <w:t>Méně rozvinuté regiony</w:t>
            </w:r>
          </w:p>
        </w:tc>
        <w:tc>
          <w:tcPr>
            <w:tcW w:w="265" w:type="pct"/>
            <w:shd w:val="clear" w:color="auto" w:fill="DBE5F1"/>
          </w:tcPr>
          <w:p w14:paraId="6D233EC6" w14:textId="77777777" w:rsidR="00CE6DD0" w:rsidRPr="00DD47DF" w:rsidRDefault="00CE6DD0" w:rsidP="000435CB">
            <w:pPr>
              <w:pStyle w:val="Tabulka"/>
              <w:rPr>
                <w:rFonts w:cs="Calibri"/>
                <w:sz w:val="16"/>
                <w:szCs w:val="16"/>
              </w:rPr>
            </w:pPr>
          </w:p>
        </w:tc>
        <w:tc>
          <w:tcPr>
            <w:tcW w:w="372" w:type="pct"/>
            <w:shd w:val="clear" w:color="auto" w:fill="DBE5F1"/>
          </w:tcPr>
          <w:p w14:paraId="7C2C1342" w14:textId="77777777" w:rsidR="00CE6DD0" w:rsidRPr="00DD47DF" w:rsidRDefault="00CE6DD0" w:rsidP="000435CB">
            <w:pPr>
              <w:pStyle w:val="Tabulka"/>
              <w:jc w:val="right"/>
              <w:rPr>
                <w:rFonts w:cs="Calibri"/>
                <w:sz w:val="16"/>
              </w:rPr>
            </w:pPr>
            <w:r w:rsidRPr="00DD47DF">
              <w:rPr>
                <w:rFonts w:cs="Calibri"/>
                <w:sz w:val="16"/>
              </w:rPr>
              <w:t>4 331 062 617</w:t>
            </w:r>
          </w:p>
        </w:tc>
        <w:tc>
          <w:tcPr>
            <w:tcW w:w="317" w:type="pct"/>
            <w:shd w:val="clear" w:color="auto" w:fill="DBE5F1"/>
          </w:tcPr>
          <w:p w14:paraId="41EBC961" w14:textId="608929F5" w:rsidR="00CE6DD0" w:rsidRPr="00DD47DF" w:rsidRDefault="00AE4256" w:rsidP="000435CB">
            <w:pPr>
              <w:pStyle w:val="Tabulka"/>
              <w:jc w:val="right"/>
              <w:rPr>
                <w:rFonts w:cs="Calibri"/>
                <w:sz w:val="16"/>
              </w:rPr>
            </w:pPr>
            <w:r w:rsidRPr="00700E39">
              <w:rPr>
                <w:rFonts w:cs="Calibri"/>
                <w:sz w:val="16"/>
              </w:rPr>
              <w:t>4 633 850 387</w:t>
            </w:r>
          </w:p>
        </w:tc>
        <w:tc>
          <w:tcPr>
            <w:tcW w:w="349" w:type="pct"/>
            <w:shd w:val="clear" w:color="auto" w:fill="DBE5F1"/>
          </w:tcPr>
          <w:p w14:paraId="0D997891" w14:textId="091B947E" w:rsidR="00CE6DD0" w:rsidRPr="00DD47DF" w:rsidRDefault="00AE4256" w:rsidP="000435CB">
            <w:pPr>
              <w:pStyle w:val="Tabulka"/>
              <w:jc w:val="right"/>
              <w:rPr>
                <w:rFonts w:cs="Calibri"/>
                <w:sz w:val="16"/>
              </w:rPr>
            </w:pPr>
            <w:r w:rsidRPr="00700E39">
              <w:rPr>
                <w:rFonts w:cs="Calibri"/>
                <w:sz w:val="16"/>
              </w:rPr>
              <w:t>112 628 598</w:t>
            </w:r>
          </w:p>
        </w:tc>
        <w:tc>
          <w:tcPr>
            <w:tcW w:w="349" w:type="pct"/>
            <w:shd w:val="clear" w:color="auto" w:fill="DBE5F1"/>
          </w:tcPr>
          <w:p w14:paraId="53B2FC7C" w14:textId="021C5C40" w:rsidR="00CE6DD0" w:rsidRPr="00DD47DF" w:rsidRDefault="00AE4256" w:rsidP="000435CB">
            <w:pPr>
              <w:pStyle w:val="Tabulka"/>
              <w:jc w:val="right"/>
              <w:rPr>
                <w:rFonts w:cs="Calibri"/>
                <w:sz w:val="16"/>
              </w:rPr>
            </w:pPr>
            <w:r w:rsidRPr="00700E39">
              <w:rPr>
                <w:rFonts w:cs="Calibri"/>
                <w:sz w:val="16"/>
              </w:rPr>
              <w:t>4 521 221 789</w:t>
            </w:r>
          </w:p>
        </w:tc>
        <w:tc>
          <w:tcPr>
            <w:tcW w:w="336" w:type="pct"/>
            <w:shd w:val="clear" w:color="auto" w:fill="DBE5F1"/>
          </w:tcPr>
          <w:p w14:paraId="148D0887" w14:textId="150BB8C0" w:rsidR="00CE6DD0" w:rsidRPr="00DD47DF" w:rsidRDefault="00AE4256" w:rsidP="000435CB">
            <w:pPr>
              <w:pStyle w:val="Tabulka"/>
              <w:jc w:val="right"/>
              <w:rPr>
                <w:rFonts w:cs="Calibri"/>
                <w:sz w:val="16"/>
              </w:rPr>
            </w:pPr>
            <w:r w:rsidRPr="00700E39">
              <w:rPr>
                <w:rFonts w:cs="Calibri"/>
                <w:sz w:val="16"/>
              </w:rPr>
              <w:t>8 964 913 004</w:t>
            </w:r>
          </w:p>
        </w:tc>
        <w:tc>
          <w:tcPr>
            <w:tcW w:w="449" w:type="pct"/>
            <w:shd w:val="clear" w:color="auto" w:fill="DBE5F1"/>
          </w:tcPr>
          <w:p w14:paraId="018CD09A" w14:textId="7DBB6BC0" w:rsidR="00CE6DD0" w:rsidRPr="00DD47DF" w:rsidRDefault="00AE4256" w:rsidP="000435CB">
            <w:pPr>
              <w:pStyle w:val="Tabulka"/>
              <w:jc w:val="right"/>
              <w:rPr>
                <w:rFonts w:cs="Calibri"/>
                <w:sz w:val="16"/>
              </w:rPr>
            </w:pPr>
            <w:r w:rsidRPr="00700E39">
              <w:rPr>
                <w:rFonts w:cs="Calibri"/>
                <w:sz w:val="16"/>
              </w:rPr>
              <w:t>48,31</w:t>
            </w:r>
            <w:r w:rsidR="00CE6DD0" w:rsidRPr="00DD47DF">
              <w:rPr>
                <w:rFonts w:cs="Calibri"/>
                <w:sz w:val="16"/>
              </w:rPr>
              <w:t>%</w:t>
            </w:r>
          </w:p>
        </w:tc>
        <w:tc>
          <w:tcPr>
            <w:tcW w:w="280" w:type="pct"/>
            <w:shd w:val="clear" w:color="auto" w:fill="DBE5F1"/>
          </w:tcPr>
          <w:p w14:paraId="122B6835" w14:textId="77777777" w:rsidR="00CE6DD0" w:rsidRPr="00DD47DF" w:rsidRDefault="00CE6DD0" w:rsidP="000435CB">
            <w:pPr>
              <w:pStyle w:val="Tabulka"/>
              <w:jc w:val="right"/>
              <w:rPr>
                <w:rFonts w:cs="Calibri"/>
                <w:sz w:val="16"/>
              </w:rPr>
            </w:pPr>
          </w:p>
        </w:tc>
        <w:tc>
          <w:tcPr>
            <w:tcW w:w="321" w:type="pct"/>
            <w:shd w:val="clear" w:color="auto" w:fill="DBE5F1"/>
          </w:tcPr>
          <w:p w14:paraId="26497EF1" w14:textId="77777777" w:rsidR="00CE6DD0" w:rsidRPr="00DD47DF" w:rsidRDefault="00CE6DD0" w:rsidP="00CE2FC5">
            <w:pPr>
              <w:jc w:val="right"/>
              <w:rPr>
                <w:rFonts w:cs="Calibri"/>
                <w:sz w:val="16"/>
                <w:szCs w:val="22"/>
              </w:rPr>
            </w:pPr>
            <w:r w:rsidRPr="00DD47DF">
              <w:rPr>
                <w:rFonts w:cs="Calibri"/>
                <w:sz w:val="16"/>
                <w:szCs w:val="22"/>
              </w:rPr>
              <w:t>4 071 198 8</w:t>
            </w:r>
            <w:r w:rsidR="00CE2FC5" w:rsidRPr="00DD47DF">
              <w:rPr>
                <w:rFonts w:cs="Calibri"/>
                <w:sz w:val="16"/>
                <w:szCs w:val="22"/>
              </w:rPr>
              <w:t>60</w:t>
            </w:r>
          </w:p>
        </w:tc>
        <w:tc>
          <w:tcPr>
            <w:tcW w:w="313" w:type="pct"/>
            <w:shd w:val="clear" w:color="auto" w:fill="DBE5F1"/>
          </w:tcPr>
          <w:p w14:paraId="6C979FAE" w14:textId="15F60B15" w:rsidR="00CE6DD0" w:rsidRPr="00DD47DF" w:rsidRDefault="00AE4256" w:rsidP="00CE2FC5">
            <w:pPr>
              <w:jc w:val="right"/>
              <w:rPr>
                <w:rFonts w:cs="Calibri"/>
                <w:sz w:val="16"/>
                <w:szCs w:val="22"/>
              </w:rPr>
            </w:pPr>
            <w:r w:rsidRPr="00700E39">
              <w:rPr>
                <w:rFonts w:cs="Calibri"/>
                <w:sz w:val="16"/>
                <w:szCs w:val="22"/>
              </w:rPr>
              <w:t>4 347 493 896</w:t>
            </w:r>
          </w:p>
        </w:tc>
        <w:tc>
          <w:tcPr>
            <w:tcW w:w="289" w:type="pct"/>
            <w:shd w:val="clear" w:color="auto" w:fill="DBE5F1"/>
          </w:tcPr>
          <w:p w14:paraId="0FD5BA48" w14:textId="77777777" w:rsidR="00CE6DD0" w:rsidRPr="00DD47DF" w:rsidRDefault="00CE6DD0" w:rsidP="00CE2FC5">
            <w:pPr>
              <w:jc w:val="right"/>
              <w:rPr>
                <w:rFonts w:cs="Calibri"/>
                <w:sz w:val="16"/>
                <w:szCs w:val="22"/>
              </w:rPr>
            </w:pPr>
            <w:r w:rsidRPr="00DD47DF">
              <w:rPr>
                <w:rFonts w:cs="Calibri"/>
                <w:sz w:val="16"/>
                <w:szCs w:val="22"/>
              </w:rPr>
              <w:t>259 863 75</w:t>
            </w:r>
            <w:r w:rsidR="00CE2FC5" w:rsidRPr="00DD47DF">
              <w:rPr>
                <w:rFonts w:cs="Calibri"/>
                <w:sz w:val="16"/>
                <w:szCs w:val="22"/>
              </w:rPr>
              <w:t>7</w:t>
            </w:r>
          </w:p>
        </w:tc>
        <w:tc>
          <w:tcPr>
            <w:tcW w:w="322" w:type="pct"/>
            <w:shd w:val="clear" w:color="auto" w:fill="DBE5F1"/>
          </w:tcPr>
          <w:p w14:paraId="155812C8" w14:textId="1B13E5D2" w:rsidR="00CE6DD0" w:rsidRPr="00DD47DF" w:rsidRDefault="00AE4256" w:rsidP="00CE6DD0">
            <w:pPr>
              <w:jc w:val="right"/>
              <w:rPr>
                <w:rFonts w:cs="Calibri"/>
                <w:sz w:val="16"/>
                <w:szCs w:val="22"/>
              </w:rPr>
            </w:pPr>
            <w:r w:rsidRPr="00700E39">
              <w:rPr>
                <w:rFonts w:cs="Calibri"/>
                <w:sz w:val="16"/>
                <w:szCs w:val="22"/>
              </w:rPr>
              <w:t>286 356 491</w:t>
            </w:r>
          </w:p>
        </w:tc>
        <w:tc>
          <w:tcPr>
            <w:tcW w:w="333" w:type="pct"/>
            <w:shd w:val="clear" w:color="auto" w:fill="DBE5F1"/>
          </w:tcPr>
          <w:p w14:paraId="6ED54617" w14:textId="77777777" w:rsidR="00CE6DD0" w:rsidRPr="00DD47DF" w:rsidRDefault="00CE6DD0" w:rsidP="00CE6DD0">
            <w:pPr>
              <w:jc w:val="right"/>
              <w:rPr>
                <w:rFonts w:cs="Calibri"/>
                <w:sz w:val="16"/>
                <w:szCs w:val="22"/>
              </w:rPr>
            </w:pPr>
            <w:r w:rsidRPr="00DD47DF">
              <w:rPr>
                <w:rFonts w:cs="Calibri"/>
                <w:sz w:val="16"/>
                <w:szCs w:val="22"/>
              </w:rPr>
              <w:t>6,00</w:t>
            </w:r>
          </w:p>
        </w:tc>
      </w:tr>
    </w:tbl>
    <w:p w14:paraId="1227425C" w14:textId="77777777" w:rsidR="00285BA0" w:rsidRPr="00DD47DF" w:rsidRDefault="00467D73" w:rsidP="00070EE7">
      <w:pPr>
        <w:pStyle w:val="Titulek"/>
        <w:keepNext/>
        <w:keepLines/>
      </w:pPr>
      <w:r w:rsidRPr="00DD47DF">
        <w:lastRenderedPageBreak/>
        <w:t xml:space="preserve">Tabulka </w:t>
      </w:r>
      <w:r w:rsidR="002756E7" w:rsidRPr="00DD47DF">
        <w:fldChar w:fldCharType="begin"/>
      </w:r>
      <w:r w:rsidR="000E35F2" w:rsidRPr="00DD47DF">
        <w:instrText xml:space="preserve"> SEQ Tabulka \* ARABIC \r18 </w:instrText>
      </w:r>
      <w:r w:rsidR="002756E7" w:rsidRPr="00DD47DF">
        <w:fldChar w:fldCharType="separate"/>
      </w:r>
      <w:r w:rsidR="00117847">
        <w:rPr>
          <w:noProof/>
        </w:rPr>
        <w:t>18</w:t>
      </w:r>
      <w:r w:rsidR="002756E7" w:rsidRPr="00DD47DF">
        <w:rPr>
          <w:noProof/>
        </w:rPr>
        <w:fldChar w:fldCharType="end"/>
      </w:r>
      <w:r w:rsidRPr="00DD47DF">
        <w:rPr>
          <w:noProof/>
        </w:rPr>
        <w:t>c</w:t>
      </w:r>
      <w:r w:rsidRPr="00DD47DF">
        <w:t>:</w:t>
      </w:r>
      <w:r w:rsidRPr="00DD47DF">
        <w:rPr>
          <w:color w:val="FF0000"/>
        </w:rPr>
        <w:t xml:space="preserve"> </w:t>
      </w:r>
      <w:r w:rsidR="00833413" w:rsidRPr="00DD47DF">
        <w:t>Rozdělení plánu financování podle prioritní osy, fondu, kategorie regionů a tematického cíle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3"/>
        <w:gridCol w:w="1071"/>
        <w:gridCol w:w="3044"/>
        <w:gridCol w:w="2076"/>
        <w:gridCol w:w="1715"/>
        <w:gridCol w:w="2895"/>
        <w:gridCol w:w="1896"/>
      </w:tblGrid>
      <w:tr w:rsidR="00833413" w:rsidRPr="00DD47DF" w14:paraId="5CC198C2" w14:textId="77777777">
        <w:trPr>
          <w:jc w:val="center"/>
        </w:trPr>
        <w:tc>
          <w:tcPr>
            <w:tcW w:w="579" w:type="pct"/>
            <w:shd w:val="clear" w:color="auto" w:fill="B8CCE4"/>
            <w:vAlign w:val="center"/>
          </w:tcPr>
          <w:p w14:paraId="07297554" w14:textId="77777777" w:rsidR="00833413" w:rsidRPr="00DD47DF" w:rsidRDefault="00833413" w:rsidP="00070EE7">
            <w:pPr>
              <w:pStyle w:val="Tabulka"/>
              <w:keepNext/>
              <w:keepLines/>
              <w:rPr>
                <w:rFonts w:cs="Calibri"/>
                <w:b/>
              </w:rPr>
            </w:pPr>
            <w:r w:rsidRPr="00DD47DF">
              <w:rPr>
                <w:rFonts w:cs="Calibri"/>
                <w:b/>
              </w:rPr>
              <w:t>Prioritní osa</w:t>
            </w:r>
          </w:p>
        </w:tc>
        <w:tc>
          <w:tcPr>
            <w:tcW w:w="373" w:type="pct"/>
            <w:shd w:val="clear" w:color="auto" w:fill="B8CCE4"/>
            <w:vAlign w:val="center"/>
          </w:tcPr>
          <w:p w14:paraId="5C86C9F1" w14:textId="77777777" w:rsidR="00833413" w:rsidRPr="00DD47DF" w:rsidRDefault="00833413" w:rsidP="00DA6FAB">
            <w:pPr>
              <w:pStyle w:val="Tabulka"/>
              <w:keepNext/>
              <w:keepLines/>
              <w:rPr>
                <w:rFonts w:cs="Calibri"/>
                <w:b/>
              </w:rPr>
            </w:pPr>
            <w:r w:rsidRPr="00DD47DF">
              <w:rPr>
                <w:rFonts w:cs="Calibri"/>
                <w:b/>
              </w:rPr>
              <w:t>Fond</w:t>
            </w:r>
          </w:p>
        </w:tc>
        <w:tc>
          <w:tcPr>
            <w:tcW w:w="1060" w:type="pct"/>
            <w:shd w:val="clear" w:color="auto" w:fill="B8CCE4"/>
            <w:vAlign w:val="center"/>
          </w:tcPr>
          <w:p w14:paraId="39FE05C2" w14:textId="77777777" w:rsidR="00833413" w:rsidRPr="00DD47DF" w:rsidRDefault="00833413" w:rsidP="00070EE7">
            <w:pPr>
              <w:pStyle w:val="Tabulka"/>
              <w:keepNext/>
              <w:keepLines/>
              <w:rPr>
                <w:rFonts w:cs="Calibri"/>
                <w:b/>
              </w:rPr>
            </w:pPr>
            <w:r w:rsidRPr="00DD47DF">
              <w:rPr>
                <w:rFonts w:cs="Calibri"/>
                <w:b/>
              </w:rPr>
              <w:t>Kategorie regionů</w:t>
            </w:r>
          </w:p>
        </w:tc>
        <w:tc>
          <w:tcPr>
            <w:tcW w:w="723" w:type="pct"/>
            <w:shd w:val="clear" w:color="auto" w:fill="B8CCE4"/>
            <w:vAlign w:val="center"/>
          </w:tcPr>
          <w:p w14:paraId="612FA9D5" w14:textId="77777777" w:rsidR="00833413" w:rsidRPr="00DD47DF" w:rsidRDefault="00833413" w:rsidP="00070EE7">
            <w:pPr>
              <w:pStyle w:val="Tabulka"/>
              <w:keepNext/>
              <w:keepLines/>
              <w:rPr>
                <w:rFonts w:cs="Calibri"/>
                <w:b/>
              </w:rPr>
            </w:pPr>
            <w:r w:rsidRPr="00DD47DF">
              <w:rPr>
                <w:rFonts w:cs="Calibri"/>
                <w:b/>
              </w:rPr>
              <w:t>Tematický cíl</w:t>
            </w:r>
          </w:p>
        </w:tc>
        <w:tc>
          <w:tcPr>
            <w:tcW w:w="597" w:type="pct"/>
            <w:shd w:val="clear" w:color="auto" w:fill="B8CCE4"/>
            <w:vAlign w:val="center"/>
          </w:tcPr>
          <w:p w14:paraId="7C933FB8" w14:textId="77777777" w:rsidR="00833413" w:rsidRPr="00DD47DF" w:rsidRDefault="00833413" w:rsidP="00070EE7">
            <w:pPr>
              <w:pStyle w:val="Tabulka"/>
              <w:keepNext/>
              <w:keepLines/>
              <w:rPr>
                <w:rFonts w:cs="Calibri"/>
                <w:b/>
              </w:rPr>
            </w:pPr>
            <w:r w:rsidRPr="00DD47DF">
              <w:rPr>
                <w:rFonts w:cs="Calibri"/>
                <w:b/>
              </w:rPr>
              <w:t>Podpora Unie</w:t>
            </w:r>
          </w:p>
        </w:tc>
        <w:tc>
          <w:tcPr>
            <w:tcW w:w="1008" w:type="pct"/>
            <w:shd w:val="clear" w:color="auto" w:fill="B8CCE4"/>
            <w:vAlign w:val="center"/>
          </w:tcPr>
          <w:p w14:paraId="380072E6" w14:textId="77777777" w:rsidR="00833413" w:rsidRPr="00DD47DF" w:rsidRDefault="00833413" w:rsidP="00833413">
            <w:pPr>
              <w:pStyle w:val="Tabulka"/>
              <w:keepNext/>
              <w:keepLines/>
              <w:rPr>
                <w:rFonts w:cs="Calibri"/>
                <w:b/>
              </w:rPr>
            </w:pPr>
            <w:r w:rsidRPr="00DD47DF">
              <w:rPr>
                <w:rFonts w:cs="Calibri"/>
                <w:b/>
              </w:rPr>
              <w:t>Příspěvek členského státu</w:t>
            </w:r>
          </w:p>
        </w:tc>
        <w:tc>
          <w:tcPr>
            <w:tcW w:w="660" w:type="pct"/>
            <w:shd w:val="clear" w:color="auto" w:fill="B8CCE4"/>
            <w:vAlign w:val="center"/>
          </w:tcPr>
          <w:p w14:paraId="0444C18B" w14:textId="77777777" w:rsidR="00833413" w:rsidRPr="00DD47DF" w:rsidRDefault="00833413" w:rsidP="00833413">
            <w:pPr>
              <w:pStyle w:val="Tabulka"/>
              <w:keepNext/>
              <w:keepLines/>
              <w:rPr>
                <w:rFonts w:cs="Calibri"/>
                <w:b/>
              </w:rPr>
            </w:pPr>
            <w:r w:rsidRPr="00DD47DF">
              <w:rPr>
                <w:rFonts w:cs="Calibri"/>
                <w:b/>
              </w:rPr>
              <w:t>Financování celkem</w:t>
            </w:r>
          </w:p>
        </w:tc>
      </w:tr>
      <w:tr w:rsidR="002E41FF" w:rsidRPr="00DD47DF" w14:paraId="13B6B5DF" w14:textId="77777777">
        <w:trPr>
          <w:jc w:val="center"/>
        </w:trPr>
        <w:tc>
          <w:tcPr>
            <w:tcW w:w="579" w:type="pct"/>
            <w:shd w:val="clear" w:color="auto" w:fill="auto"/>
            <w:vAlign w:val="center"/>
          </w:tcPr>
          <w:p w14:paraId="0A0E2B36" w14:textId="77777777" w:rsidR="002E41FF" w:rsidRPr="00DD47DF" w:rsidRDefault="002E41FF" w:rsidP="00467D73">
            <w:pPr>
              <w:pStyle w:val="Tabulka"/>
              <w:jc w:val="left"/>
              <w:rPr>
                <w:rFonts w:cs="Calibri"/>
              </w:rPr>
            </w:pPr>
            <w:r w:rsidRPr="00DD47DF">
              <w:rPr>
                <w:rFonts w:cs="Calibri"/>
              </w:rPr>
              <w:t>Prioritní osa 1</w:t>
            </w:r>
          </w:p>
        </w:tc>
        <w:tc>
          <w:tcPr>
            <w:tcW w:w="373" w:type="pct"/>
            <w:shd w:val="clear" w:color="auto" w:fill="auto"/>
            <w:vAlign w:val="center"/>
          </w:tcPr>
          <w:p w14:paraId="5C9C7D33" w14:textId="77777777" w:rsidR="002E41FF" w:rsidRPr="00DD47DF" w:rsidRDefault="002E41FF" w:rsidP="00467D73">
            <w:pPr>
              <w:pStyle w:val="Tabulka"/>
              <w:rPr>
                <w:rFonts w:cs="Calibri"/>
              </w:rPr>
            </w:pPr>
            <w:r w:rsidRPr="00DD47DF">
              <w:rPr>
                <w:rFonts w:cs="Calibri"/>
              </w:rPr>
              <w:t>EFRR</w:t>
            </w:r>
          </w:p>
        </w:tc>
        <w:tc>
          <w:tcPr>
            <w:tcW w:w="1060" w:type="pct"/>
            <w:shd w:val="clear" w:color="auto" w:fill="auto"/>
            <w:vAlign w:val="center"/>
          </w:tcPr>
          <w:p w14:paraId="7A7BEB69" w14:textId="77777777" w:rsidR="002E41FF" w:rsidRPr="00DD47DF" w:rsidRDefault="002E41FF" w:rsidP="00467D73">
            <w:pPr>
              <w:pStyle w:val="Tabulka"/>
              <w:rPr>
                <w:rFonts w:cs="Calibri"/>
              </w:rPr>
            </w:pPr>
            <w:r w:rsidRPr="00DD47DF">
              <w:rPr>
                <w:rFonts w:cs="Calibri"/>
              </w:rPr>
              <w:t>Méně rozvinuté regiony</w:t>
            </w:r>
          </w:p>
        </w:tc>
        <w:tc>
          <w:tcPr>
            <w:tcW w:w="723" w:type="pct"/>
            <w:shd w:val="clear" w:color="auto" w:fill="auto"/>
            <w:vAlign w:val="center"/>
          </w:tcPr>
          <w:p w14:paraId="7F030BD5" w14:textId="77777777" w:rsidR="002E41FF" w:rsidRPr="00DD47DF" w:rsidRDefault="002E41FF" w:rsidP="00467D73">
            <w:pPr>
              <w:pStyle w:val="Tabulka"/>
              <w:rPr>
                <w:rFonts w:cs="Calibri"/>
              </w:rPr>
            </w:pPr>
            <w:r w:rsidRPr="00DD47DF">
              <w:rPr>
                <w:rFonts w:cs="Calibri"/>
              </w:rPr>
              <w:t>Tematický cíl 1</w:t>
            </w:r>
          </w:p>
        </w:tc>
        <w:tc>
          <w:tcPr>
            <w:tcW w:w="597" w:type="pct"/>
            <w:shd w:val="clear" w:color="auto" w:fill="auto"/>
            <w:vAlign w:val="center"/>
          </w:tcPr>
          <w:p w14:paraId="32E9F1C7" w14:textId="77777777" w:rsidR="002E41FF" w:rsidRPr="00DD47DF" w:rsidRDefault="00F0670B" w:rsidP="00165558">
            <w:pPr>
              <w:pStyle w:val="Tabulka"/>
              <w:jc w:val="right"/>
              <w:rPr>
                <w:rFonts w:cs="Calibri"/>
              </w:rPr>
            </w:pPr>
            <w:r w:rsidRPr="00DD47DF">
              <w:rPr>
                <w:rFonts w:cs="Calibri"/>
              </w:rPr>
              <w:t>1 352 544 411</w:t>
            </w:r>
          </w:p>
        </w:tc>
        <w:tc>
          <w:tcPr>
            <w:tcW w:w="1008" w:type="pct"/>
            <w:shd w:val="clear" w:color="auto" w:fill="auto"/>
            <w:vAlign w:val="center"/>
          </w:tcPr>
          <w:p w14:paraId="53ED1B76" w14:textId="65645DD0" w:rsidR="002E41FF" w:rsidRPr="00DD47DF" w:rsidRDefault="00705069" w:rsidP="002E41FF">
            <w:pPr>
              <w:pStyle w:val="Tabulka"/>
              <w:jc w:val="right"/>
              <w:rPr>
                <w:rFonts w:cs="Calibri"/>
              </w:rPr>
            </w:pPr>
            <w:r w:rsidRPr="00700E39">
              <w:rPr>
                <w:rFonts w:cs="Calibri"/>
              </w:rPr>
              <w:t>1 429 754 496</w:t>
            </w:r>
          </w:p>
        </w:tc>
        <w:tc>
          <w:tcPr>
            <w:tcW w:w="660" w:type="pct"/>
            <w:shd w:val="clear" w:color="auto" w:fill="auto"/>
            <w:vAlign w:val="center"/>
          </w:tcPr>
          <w:p w14:paraId="4A43523C" w14:textId="566FDB10" w:rsidR="002E41FF" w:rsidRPr="00DD47DF" w:rsidRDefault="00705069" w:rsidP="00E469B5">
            <w:pPr>
              <w:pStyle w:val="Tabulka"/>
              <w:jc w:val="right"/>
              <w:rPr>
                <w:rFonts w:cs="Calibri"/>
              </w:rPr>
            </w:pPr>
            <w:r w:rsidRPr="00700E39">
              <w:rPr>
                <w:rFonts w:cs="Calibri"/>
              </w:rPr>
              <w:t>2 782 298 907</w:t>
            </w:r>
          </w:p>
        </w:tc>
      </w:tr>
      <w:tr w:rsidR="002E41FF" w:rsidRPr="00DD47DF" w14:paraId="0CED515A" w14:textId="77777777">
        <w:trPr>
          <w:jc w:val="center"/>
        </w:trPr>
        <w:tc>
          <w:tcPr>
            <w:tcW w:w="579" w:type="pct"/>
            <w:shd w:val="clear" w:color="auto" w:fill="auto"/>
            <w:vAlign w:val="center"/>
          </w:tcPr>
          <w:p w14:paraId="636BD8F8" w14:textId="77777777" w:rsidR="002E41FF" w:rsidRPr="00DD47DF" w:rsidRDefault="002E41FF" w:rsidP="00467D73">
            <w:pPr>
              <w:pStyle w:val="Tabulka"/>
              <w:jc w:val="left"/>
              <w:rPr>
                <w:rFonts w:cs="Calibri"/>
              </w:rPr>
            </w:pPr>
            <w:r w:rsidRPr="00DD47DF">
              <w:rPr>
                <w:rFonts w:cs="Calibri"/>
              </w:rPr>
              <w:t>Prioritní osa 2</w:t>
            </w:r>
          </w:p>
        </w:tc>
        <w:tc>
          <w:tcPr>
            <w:tcW w:w="373" w:type="pct"/>
            <w:shd w:val="clear" w:color="auto" w:fill="auto"/>
            <w:vAlign w:val="center"/>
          </w:tcPr>
          <w:p w14:paraId="3B6F7B55" w14:textId="77777777" w:rsidR="002E41FF" w:rsidRPr="00DD47DF" w:rsidRDefault="002E41FF" w:rsidP="00467D73">
            <w:pPr>
              <w:pStyle w:val="Tabulka"/>
              <w:rPr>
                <w:rFonts w:cs="Calibri"/>
              </w:rPr>
            </w:pPr>
            <w:r w:rsidRPr="00DD47DF">
              <w:rPr>
                <w:rFonts w:cs="Calibri"/>
              </w:rPr>
              <w:t>EFRR</w:t>
            </w:r>
          </w:p>
        </w:tc>
        <w:tc>
          <w:tcPr>
            <w:tcW w:w="1060" w:type="pct"/>
            <w:shd w:val="clear" w:color="auto" w:fill="auto"/>
            <w:vAlign w:val="center"/>
          </w:tcPr>
          <w:p w14:paraId="3EDB5288" w14:textId="77777777" w:rsidR="002E41FF" w:rsidRPr="00DD47DF" w:rsidRDefault="002E41FF" w:rsidP="00467D73">
            <w:pPr>
              <w:pStyle w:val="Tabulka"/>
              <w:rPr>
                <w:rFonts w:cs="Calibri"/>
              </w:rPr>
            </w:pPr>
            <w:r w:rsidRPr="00DD47DF">
              <w:rPr>
                <w:rFonts w:cs="Calibri"/>
              </w:rPr>
              <w:t>Méně rozvinuté regiony</w:t>
            </w:r>
          </w:p>
        </w:tc>
        <w:tc>
          <w:tcPr>
            <w:tcW w:w="723" w:type="pct"/>
            <w:shd w:val="clear" w:color="auto" w:fill="auto"/>
            <w:vAlign w:val="center"/>
          </w:tcPr>
          <w:p w14:paraId="7EF9FF66" w14:textId="77777777" w:rsidR="002E41FF" w:rsidRPr="00DD47DF" w:rsidRDefault="002E41FF" w:rsidP="00467D73">
            <w:pPr>
              <w:pStyle w:val="Tabulka"/>
              <w:rPr>
                <w:rFonts w:cs="Calibri"/>
              </w:rPr>
            </w:pPr>
            <w:r w:rsidRPr="00DD47DF">
              <w:rPr>
                <w:rFonts w:cs="Calibri"/>
              </w:rPr>
              <w:t>Tematický cíl 3</w:t>
            </w:r>
          </w:p>
        </w:tc>
        <w:tc>
          <w:tcPr>
            <w:tcW w:w="597" w:type="pct"/>
            <w:shd w:val="clear" w:color="auto" w:fill="auto"/>
            <w:vAlign w:val="center"/>
          </w:tcPr>
          <w:p w14:paraId="57C7DDA5" w14:textId="77777777" w:rsidR="002E41FF" w:rsidRPr="00DD47DF" w:rsidRDefault="002E41FF" w:rsidP="00165558">
            <w:pPr>
              <w:pStyle w:val="Tabulka"/>
              <w:jc w:val="right"/>
              <w:rPr>
                <w:rFonts w:cs="Calibri"/>
              </w:rPr>
            </w:pPr>
            <w:r w:rsidRPr="00DD47DF">
              <w:rPr>
                <w:rFonts w:cs="Calibri"/>
              </w:rPr>
              <w:t>892 130 143</w:t>
            </w:r>
          </w:p>
        </w:tc>
        <w:tc>
          <w:tcPr>
            <w:tcW w:w="1008" w:type="pct"/>
            <w:shd w:val="clear" w:color="auto" w:fill="auto"/>
            <w:vAlign w:val="center"/>
          </w:tcPr>
          <w:p w14:paraId="298EEADE" w14:textId="1C33E13C" w:rsidR="002E41FF" w:rsidRPr="00DD47DF" w:rsidRDefault="00705069" w:rsidP="002E41FF">
            <w:pPr>
              <w:pStyle w:val="Tabulka"/>
              <w:jc w:val="right"/>
              <w:rPr>
                <w:rFonts w:cs="Calibri"/>
              </w:rPr>
            </w:pPr>
            <w:r w:rsidRPr="00700E39">
              <w:rPr>
                <w:rFonts w:cs="Calibri"/>
              </w:rPr>
              <w:t>1 000 900 721</w:t>
            </w:r>
          </w:p>
        </w:tc>
        <w:tc>
          <w:tcPr>
            <w:tcW w:w="660" w:type="pct"/>
            <w:shd w:val="clear" w:color="auto" w:fill="auto"/>
            <w:vAlign w:val="center"/>
          </w:tcPr>
          <w:p w14:paraId="6AD51E03" w14:textId="0D548E45" w:rsidR="002E41FF" w:rsidRPr="00DD47DF" w:rsidRDefault="00705069" w:rsidP="002E41FF">
            <w:pPr>
              <w:pStyle w:val="Tabulka"/>
              <w:jc w:val="right"/>
              <w:rPr>
                <w:rFonts w:cs="Calibri"/>
              </w:rPr>
            </w:pPr>
            <w:r w:rsidRPr="00700E39">
              <w:rPr>
                <w:rFonts w:cs="Calibri"/>
              </w:rPr>
              <w:t>1 893 030 864</w:t>
            </w:r>
          </w:p>
        </w:tc>
      </w:tr>
      <w:tr w:rsidR="002E41FF" w:rsidRPr="00DD47DF" w14:paraId="2752BAF3" w14:textId="77777777" w:rsidTr="002E41FF">
        <w:trPr>
          <w:jc w:val="center"/>
        </w:trPr>
        <w:tc>
          <w:tcPr>
            <w:tcW w:w="579" w:type="pct"/>
            <w:vMerge w:val="restart"/>
            <w:shd w:val="clear" w:color="auto" w:fill="auto"/>
            <w:vAlign w:val="center"/>
          </w:tcPr>
          <w:p w14:paraId="0756B1B5" w14:textId="77777777" w:rsidR="002E41FF" w:rsidRPr="00DD47DF" w:rsidRDefault="002E41FF" w:rsidP="00467D73">
            <w:pPr>
              <w:pStyle w:val="Tabulka"/>
              <w:jc w:val="left"/>
              <w:rPr>
                <w:rFonts w:cs="Calibri"/>
              </w:rPr>
            </w:pPr>
            <w:r w:rsidRPr="00DD47DF">
              <w:rPr>
                <w:rFonts w:cs="Calibri"/>
              </w:rPr>
              <w:t>Prioritní osa 3</w:t>
            </w:r>
          </w:p>
        </w:tc>
        <w:tc>
          <w:tcPr>
            <w:tcW w:w="373" w:type="pct"/>
            <w:vMerge w:val="restart"/>
            <w:shd w:val="clear" w:color="auto" w:fill="auto"/>
            <w:vAlign w:val="center"/>
          </w:tcPr>
          <w:p w14:paraId="23EC0F39" w14:textId="77777777" w:rsidR="002E41FF" w:rsidRPr="00DD47DF" w:rsidRDefault="002E41FF" w:rsidP="00467D73">
            <w:pPr>
              <w:pStyle w:val="Tabulka"/>
              <w:rPr>
                <w:rFonts w:cs="Calibri"/>
              </w:rPr>
            </w:pPr>
            <w:r w:rsidRPr="00DD47DF">
              <w:rPr>
                <w:rFonts w:cs="Calibri"/>
              </w:rPr>
              <w:t>EFRR</w:t>
            </w:r>
          </w:p>
        </w:tc>
        <w:tc>
          <w:tcPr>
            <w:tcW w:w="1060" w:type="pct"/>
            <w:vMerge w:val="restart"/>
            <w:shd w:val="clear" w:color="auto" w:fill="auto"/>
            <w:vAlign w:val="center"/>
          </w:tcPr>
          <w:p w14:paraId="3210C677" w14:textId="77777777" w:rsidR="002E41FF" w:rsidRPr="00DD47DF" w:rsidRDefault="002E41FF" w:rsidP="00467D73">
            <w:pPr>
              <w:pStyle w:val="Tabulka"/>
              <w:rPr>
                <w:rFonts w:cs="Calibri"/>
              </w:rPr>
            </w:pPr>
            <w:r w:rsidRPr="00DD47DF">
              <w:rPr>
                <w:rFonts w:cs="Calibri"/>
              </w:rPr>
              <w:t>Méně rozvinuté regiony</w:t>
            </w:r>
          </w:p>
        </w:tc>
        <w:tc>
          <w:tcPr>
            <w:tcW w:w="723" w:type="pct"/>
            <w:shd w:val="clear" w:color="auto" w:fill="auto"/>
            <w:vAlign w:val="center"/>
          </w:tcPr>
          <w:p w14:paraId="489A8504" w14:textId="77777777" w:rsidR="002E41FF" w:rsidRPr="00DD47DF" w:rsidRDefault="002E41FF" w:rsidP="00467D73">
            <w:pPr>
              <w:pStyle w:val="Tabulka"/>
              <w:rPr>
                <w:rFonts w:cs="Calibri"/>
              </w:rPr>
            </w:pPr>
            <w:r w:rsidRPr="00DD47DF">
              <w:rPr>
                <w:rFonts w:cs="Calibri"/>
              </w:rPr>
              <w:t>Tematický cíl 4</w:t>
            </w:r>
          </w:p>
        </w:tc>
        <w:tc>
          <w:tcPr>
            <w:tcW w:w="597" w:type="pct"/>
            <w:shd w:val="clear" w:color="auto" w:fill="auto"/>
            <w:vAlign w:val="center"/>
          </w:tcPr>
          <w:p w14:paraId="6AEDD6B9" w14:textId="7FE2ADE0" w:rsidR="002E41FF" w:rsidRPr="00DD47DF" w:rsidRDefault="00705069" w:rsidP="00165558">
            <w:pPr>
              <w:pStyle w:val="Tabulka"/>
              <w:jc w:val="right"/>
              <w:rPr>
                <w:rFonts w:cs="Calibri"/>
              </w:rPr>
            </w:pPr>
            <w:r w:rsidRPr="00700E39">
              <w:rPr>
                <w:rFonts w:cs="Calibri"/>
              </w:rPr>
              <w:t>1 058 595 959</w:t>
            </w:r>
          </w:p>
        </w:tc>
        <w:tc>
          <w:tcPr>
            <w:tcW w:w="1008" w:type="pct"/>
            <w:shd w:val="clear" w:color="auto" w:fill="auto"/>
            <w:vAlign w:val="center"/>
          </w:tcPr>
          <w:p w14:paraId="4153631B" w14:textId="36356F26" w:rsidR="002E41FF" w:rsidRPr="00DD47DF" w:rsidRDefault="00705069" w:rsidP="002E41FF">
            <w:pPr>
              <w:pStyle w:val="Tabulka"/>
              <w:jc w:val="right"/>
              <w:rPr>
                <w:rFonts w:cs="Calibri"/>
              </w:rPr>
            </w:pPr>
            <w:r w:rsidRPr="00700E39">
              <w:rPr>
                <w:rFonts w:cs="Calibri"/>
              </w:rPr>
              <w:t>1 551 348 097</w:t>
            </w:r>
          </w:p>
        </w:tc>
        <w:tc>
          <w:tcPr>
            <w:tcW w:w="660" w:type="pct"/>
            <w:shd w:val="clear" w:color="auto" w:fill="auto"/>
            <w:vAlign w:val="center"/>
          </w:tcPr>
          <w:p w14:paraId="370DCBDD" w14:textId="3AF5D98D" w:rsidR="002E41FF" w:rsidRPr="00DD47DF" w:rsidRDefault="00705069" w:rsidP="002E41FF">
            <w:pPr>
              <w:pStyle w:val="Tabulka"/>
              <w:jc w:val="right"/>
              <w:rPr>
                <w:rFonts w:cs="Calibri"/>
              </w:rPr>
            </w:pPr>
            <w:r w:rsidRPr="00700E39">
              <w:rPr>
                <w:rFonts w:cs="Calibri"/>
              </w:rPr>
              <w:t>2 609 944 056</w:t>
            </w:r>
          </w:p>
        </w:tc>
      </w:tr>
      <w:tr w:rsidR="002E41FF" w:rsidRPr="00DD47DF" w14:paraId="5ED58E9B" w14:textId="77777777">
        <w:trPr>
          <w:jc w:val="center"/>
        </w:trPr>
        <w:tc>
          <w:tcPr>
            <w:tcW w:w="579" w:type="pct"/>
            <w:vMerge/>
            <w:shd w:val="clear" w:color="auto" w:fill="auto"/>
            <w:vAlign w:val="center"/>
          </w:tcPr>
          <w:p w14:paraId="2BDAB1B4" w14:textId="77777777" w:rsidR="002E41FF" w:rsidRPr="00DD47DF" w:rsidRDefault="002E41FF" w:rsidP="00467D73">
            <w:pPr>
              <w:pStyle w:val="Tabulka"/>
              <w:jc w:val="left"/>
              <w:rPr>
                <w:rFonts w:cs="Calibri"/>
              </w:rPr>
            </w:pPr>
          </w:p>
        </w:tc>
        <w:tc>
          <w:tcPr>
            <w:tcW w:w="373" w:type="pct"/>
            <w:vMerge/>
            <w:shd w:val="clear" w:color="auto" w:fill="auto"/>
            <w:vAlign w:val="center"/>
          </w:tcPr>
          <w:p w14:paraId="7FE00D6B" w14:textId="77777777" w:rsidR="002E41FF" w:rsidRPr="00DD47DF" w:rsidRDefault="002E41FF" w:rsidP="004D0CBC">
            <w:pPr>
              <w:pStyle w:val="Tabulka"/>
              <w:rPr>
                <w:rFonts w:cs="Calibri"/>
              </w:rPr>
            </w:pPr>
          </w:p>
        </w:tc>
        <w:tc>
          <w:tcPr>
            <w:tcW w:w="1060" w:type="pct"/>
            <w:vMerge/>
            <w:shd w:val="clear" w:color="auto" w:fill="auto"/>
            <w:vAlign w:val="center"/>
          </w:tcPr>
          <w:p w14:paraId="516FC991" w14:textId="77777777" w:rsidR="002E41FF" w:rsidRPr="00DD47DF" w:rsidRDefault="002E41FF" w:rsidP="004D0CBC">
            <w:pPr>
              <w:pStyle w:val="Tabulka"/>
              <w:rPr>
                <w:rFonts w:cs="Calibri"/>
              </w:rPr>
            </w:pPr>
          </w:p>
        </w:tc>
        <w:tc>
          <w:tcPr>
            <w:tcW w:w="723" w:type="pct"/>
            <w:shd w:val="clear" w:color="auto" w:fill="auto"/>
            <w:vAlign w:val="center"/>
          </w:tcPr>
          <w:p w14:paraId="489497B7" w14:textId="77777777" w:rsidR="002E41FF" w:rsidRPr="00DD47DF" w:rsidRDefault="002E41FF" w:rsidP="004D0CBC">
            <w:pPr>
              <w:pStyle w:val="Tabulka"/>
              <w:rPr>
                <w:rFonts w:cs="Calibri"/>
              </w:rPr>
            </w:pPr>
            <w:r w:rsidRPr="00DD47DF">
              <w:rPr>
                <w:rFonts w:cs="Calibri"/>
              </w:rPr>
              <w:t>Tematický cíl 7</w:t>
            </w:r>
          </w:p>
        </w:tc>
        <w:tc>
          <w:tcPr>
            <w:tcW w:w="597" w:type="pct"/>
            <w:shd w:val="clear" w:color="auto" w:fill="auto"/>
            <w:vAlign w:val="center"/>
          </w:tcPr>
          <w:p w14:paraId="078D31BC" w14:textId="04A7BA69" w:rsidR="002E41FF" w:rsidRPr="00DD47DF" w:rsidRDefault="00705069" w:rsidP="00165558">
            <w:pPr>
              <w:pStyle w:val="Tabulka"/>
              <w:jc w:val="right"/>
              <w:rPr>
                <w:rFonts w:cs="Calibri"/>
              </w:rPr>
            </w:pPr>
            <w:r w:rsidRPr="00700E39">
              <w:rPr>
                <w:rFonts w:cs="Calibri"/>
              </w:rPr>
              <w:t>158 533 699</w:t>
            </w:r>
          </w:p>
        </w:tc>
        <w:tc>
          <w:tcPr>
            <w:tcW w:w="1008" w:type="pct"/>
            <w:shd w:val="clear" w:color="auto" w:fill="auto"/>
            <w:vAlign w:val="center"/>
          </w:tcPr>
          <w:p w14:paraId="4EB99C23" w14:textId="31A70CDC" w:rsidR="002E41FF" w:rsidRPr="00DD47DF" w:rsidRDefault="00705069" w:rsidP="002E41FF">
            <w:pPr>
              <w:pStyle w:val="Tabulka"/>
              <w:jc w:val="right"/>
              <w:rPr>
                <w:rFonts w:cs="Calibri"/>
              </w:rPr>
            </w:pPr>
            <w:r w:rsidRPr="00700E39">
              <w:rPr>
                <w:rFonts w:cs="Calibri"/>
              </w:rPr>
              <w:t>232 327 500</w:t>
            </w:r>
          </w:p>
        </w:tc>
        <w:tc>
          <w:tcPr>
            <w:tcW w:w="660" w:type="pct"/>
            <w:shd w:val="clear" w:color="auto" w:fill="auto"/>
            <w:vAlign w:val="center"/>
          </w:tcPr>
          <w:p w14:paraId="41A7D650" w14:textId="70A52F08" w:rsidR="002E41FF" w:rsidRPr="00DD47DF" w:rsidRDefault="00705069" w:rsidP="002E41FF">
            <w:pPr>
              <w:pStyle w:val="Tabulka"/>
              <w:jc w:val="right"/>
              <w:rPr>
                <w:rFonts w:cs="Calibri"/>
              </w:rPr>
            </w:pPr>
            <w:r w:rsidRPr="00700E39">
              <w:rPr>
                <w:rFonts w:cs="Calibri"/>
              </w:rPr>
              <w:t>390 861 199</w:t>
            </w:r>
          </w:p>
        </w:tc>
      </w:tr>
      <w:tr w:rsidR="002E41FF" w:rsidRPr="00DD47DF" w14:paraId="06D3EAB0" w14:textId="77777777">
        <w:trPr>
          <w:jc w:val="center"/>
        </w:trPr>
        <w:tc>
          <w:tcPr>
            <w:tcW w:w="579" w:type="pct"/>
            <w:shd w:val="clear" w:color="auto" w:fill="auto"/>
            <w:vAlign w:val="center"/>
          </w:tcPr>
          <w:p w14:paraId="41CCBE74" w14:textId="77777777" w:rsidR="002E41FF" w:rsidRPr="00DD47DF" w:rsidRDefault="002E41FF" w:rsidP="00030CAB">
            <w:pPr>
              <w:pStyle w:val="Tabulka"/>
              <w:jc w:val="left"/>
              <w:rPr>
                <w:rFonts w:cs="Calibri"/>
              </w:rPr>
            </w:pPr>
            <w:r w:rsidRPr="00DD47DF">
              <w:rPr>
                <w:rFonts w:cs="Calibri"/>
              </w:rPr>
              <w:t>Prioritní osa 4</w:t>
            </w:r>
          </w:p>
        </w:tc>
        <w:tc>
          <w:tcPr>
            <w:tcW w:w="373" w:type="pct"/>
            <w:shd w:val="clear" w:color="auto" w:fill="auto"/>
            <w:vAlign w:val="center"/>
          </w:tcPr>
          <w:p w14:paraId="66B3426D" w14:textId="77777777" w:rsidR="002E41FF" w:rsidRPr="00DD47DF" w:rsidRDefault="002E41FF" w:rsidP="00030CAB">
            <w:pPr>
              <w:pStyle w:val="Tabulka"/>
              <w:rPr>
                <w:rFonts w:cs="Calibri"/>
              </w:rPr>
            </w:pPr>
            <w:r w:rsidRPr="00DD47DF">
              <w:rPr>
                <w:rFonts w:cs="Calibri"/>
              </w:rPr>
              <w:t>EFRR</w:t>
            </w:r>
          </w:p>
        </w:tc>
        <w:tc>
          <w:tcPr>
            <w:tcW w:w="1060" w:type="pct"/>
            <w:shd w:val="clear" w:color="auto" w:fill="auto"/>
            <w:vAlign w:val="center"/>
          </w:tcPr>
          <w:p w14:paraId="06084B15" w14:textId="77777777" w:rsidR="002E41FF" w:rsidRPr="00DD47DF" w:rsidRDefault="002E41FF" w:rsidP="00030CAB">
            <w:pPr>
              <w:pStyle w:val="Tabulka"/>
              <w:rPr>
                <w:rFonts w:cs="Calibri"/>
              </w:rPr>
            </w:pPr>
            <w:r w:rsidRPr="00DD47DF">
              <w:rPr>
                <w:rFonts w:cs="Calibri"/>
              </w:rPr>
              <w:t>Méně rozvinuté regiony</w:t>
            </w:r>
          </w:p>
        </w:tc>
        <w:tc>
          <w:tcPr>
            <w:tcW w:w="723" w:type="pct"/>
            <w:shd w:val="clear" w:color="auto" w:fill="auto"/>
            <w:vAlign w:val="center"/>
          </w:tcPr>
          <w:p w14:paraId="0735254C" w14:textId="77777777" w:rsidR="002E41FF" w:rsidRPr="00DD47DF" w:rsidRDefault="002E41FF" w:rsidP="00030CAB">
            <w:pPr>
              <w:pStyle w:val="Tabulka"/>
              <w:rPr>
                <w:rFonts w:cs="Calibri"/>
              </w:rPr>
            </w:pPr>
            <w:r w:rsidRPr="00DD47DF">
              <w:rPr>
                <w:rFonts w:cs="Calibri"/>
              </w:rPr>
              <w:t>Tematický cíl 2</w:t>
            </w:r>
          </w:p>
        </w:tc>
        <w:tc>
          <w:tcPr>
            <w:tcW w:w="597" w:type="pct"/>
            <w:shd w:val="clear" w:color="auto" w:fill="auto"/>
            <w:vAlign w:val="center"/>
          </w:tcPr>
          <w:p w14:paraId="1CE47EB9" w14:textId="77777777" w:rsidR="002E41FF" w:rsidRPr="00DD47DF" w:rsidRDefault="002E41FF" w:rsidP="00165558">
            <w:pPr>
              <w:pStyle w:val="Tabulka"/>
              <w:jc w:val="right"/>
              <w:rPr>
                <w:rFonts w:cs="Calibri"/>
              </w:rPr>
            </w:pPr>
            <w:r w:rsidRPr="00DD47DF">
              <w:rPr>
                <w:rFonts w:cs="Calibri"/>
              </w:rPr>
              <w:t>743 657 589</w:t>
            </w:r>
          </w:p>
        </w:tc>
        <w:tc>
          <w:tcPr>
            <w:tcW w:w="1008" w:type="pct"/>
            <w:shd w:val="clear" w:color="auto" w:fill="auto"/>
            <w:vAlign w:val="center"/>
          </w:tcPr>
          <w:p w14:paraId="04DE35D5" w14:textId="0C0A4151" w:rsidR="002E41FF" w:rsidRPr="00DD47DF" w:rsidRDefault="00705069" w:rsidP="002E41FF">
            <w:pPr>
              <w:pStyle w:val="Tabulka"/>
              <w:jc w:val="right"/>
              <w:rPr>
                <w:rFonts w:cs="Calibri"/>
              </w:rPr>
            </w:pPr>
            <w:r w:rsidRPr="00700E39">
              <w:rPr>
                <w:rFonts w:cs="Calibri"/>
              </w:rPr>
              <w:t>397 354 723</w:t>
            </w:r>
          </w:p>
        </w:tc>
        <w:tc>
          <w:tcPr>
            <w:tcW w:w="660" w:type="pct"/>
            <w:shd w:val="clear" w:color="auto" w:fill="auto"/>
            <w:vAlign w:val="center"/>
          </w:tcPr>
          <w:p w14:paraId="5BC3EFD0" w14:textId="00787A33" w:rsidR="002E41FF" w:rsidRPr="00DD47DF" w:rsidRDefault="00705069" w:rsidP="002E41FF">
            <w:pPr>
              <w:pStyle w:val="Tabulka"/>
              <w:jc w:val="right"/>
              <w:rPr>
                <w:rFonts w:cs="Calibri"/>
              </w:rPr>
            </w:pPr>
            <w:r w:rsidRPr="00700E39">
              <w:rPr>
                <w:rFonts w:cs="Calibri"/>
              </w:rPr>
              <w:t>1 141 012 312</w:t>
            </w:r>
          </w:p>
        </w:tc>
      </w:tr>
      <w:tr w:rsidR="002E41FF" w:rsidRPr="00DD47DF" w14:paraId="6536D755" w14:textId="77777777">
        <w:trPr>
          <w:jc w:val="center"/>
        </w:trPr>
        <w:tc>
          <w:tcPr>
            <w:tcW w:w="579" w:type="pct"/>
            <w:shd w:val="clear" w:color="auto" w:fill="auto"/>
            <w:vAlign w:val="center"/>
          </w:tcPr>
          <w:p w14:paraId="0ADF198A" w14:textId="77777777" w:rsidR="002E41FF" w:rsidRPr="00DD47DF" w:rsidRDefault="002E41FF" w:rsidP="00467D73">
            <w:pPr>
              <w:pStyle w:val="Tabulka"/>
              <w:jc w:val="left"/>
              <w:rPr>
                <w:rFonts w:cs="Calibri"/>
              </w:rPr>
            </w:pPr>
            <w:r w:rsidRPr="00DD47DF">
              <w:rPr>
                <w:rFonts w:cs="Calibri"/>
              </w:rPr>
              <w:t>Prioritní osa 5</w:t>
            </w:r>
          </w:p>
        </w:tc>
        <w:tc>
          <w:tcPr>
            <w:tcW w:w="373" w:type="pct"/>
            <w:shd w:val="clear" w:color="auto" w:fill="auto"/>
            <w:vAlign w:val="center"/>
          </w:tcPr>
          <w:p w14:paraId="2BE36E11" w14:textId="77777777" w:rsidR="002E41FF" w:rsidRPr="00DD47DF" w:rsidRDefault="002E41FF" w:rsidP="00467D73">
            <w:pPr>
              <w:pStyle w:val="Tabulka"/>
              <w:rPr>
                <w:rFonts w:cs="Calibri"/>
              </w:rPr>
            </w:pPr>
            <w:r w:rsidRPr="00DD47DF">
              <w:rPr>
                <w:rFonts w:cs="Calibri"/>
              </w:rPr>
              <w:t>EFRR</w:t>
            </w:r>
          </w:p>
        </w:tc>
        <w:tc>
          <w:tcPr>
            <w:tcW w:w="1060" w:type="pct"/>
            <w:shd w:val="clear" w:color="auto" w:fill="auto"/>
            <w:vAlign w:val="center"/>
          </w:tcPr>
          <w:p w14:paraId="4F025F16" w14:textId="77777777" w:rsidR="002E41FF" w:rsidRPr="00DD47DF" w:rsidRDefault="002E41FF" w:rsidP="00467D73">
            <w:pPr>
              <w:pStyle w:val="Tabulka"/>
              <w:rPr>
                <w:rFonts w:cs="Calibri"/>
              </w:rPr>
            </w:pPr>
            <w:r w:rsidRPr="00DD47DF">
              <w:rPr>
                <w:rFonts w:cs="Calibri"/>
              </w:rPr>
              <w:t>Méně rozvinuté regiony</w:t>
            </w:r>
          </w:p>
        </w:tc>
        <w:tc>
          <w:tcPr>
            <w:tcW w:w="723" w:type="pct"/>
            <w:shd w:val="clear" w:color="auto" w:fill="auto"/>
            <w:vAlign w:val="center"/>
          </w:tcPr>
          <w:p w14:paraId="2906B1D3" w14:textId="77777777" w:rsidR="002E41FF" w:rsidRPr="00DD47DF" w:rsidRDefault="002E41FF" w:rsidP="00467D73">
            <w:pPr>
              <w:pStyle w:val="Tabulka"/>
              <w:rPr>
                <w:rFonts w:cs="Calibri"/>
              </w:rPr>
            </w:pPr>
          </w:p>
        </w:tc>
        <w:tc>
          <w:tcPr>
            <w:tcW w:w="597" w:type="pct"/>
            <w:shd w:val="clear" w:color="auto" w:fill="auto"/>
            <w:vAlign w:val="center"/>
          </w:tcPr>
          <w:p w14:paraId="00E0B589" w14:textId="77777777" w:rsidR="002E41FF" w:rsidRPr="00DD47DF" w:rsidRDefault="00F0670B" w:rsidP="00165558">
            <w:pPr>
              <w:pStyle w:val="Tabulka"/>
              <w:jc w:val="right"/>
              <w:rPr>
                <w:rFonts w:cs="Calibri"/>
              </w:rPr>
            </w:pPr>
            <w:r w:rsidRPr="00DD47DF">
              <w:rPr>
                <w:rFonts w:cs="Calibri"/>
              </w:rPr>
              <w:t>125 600 816</w:t>
            </w:r>
          </w:p>
        </w:tc>
        <w:tc>
          <w:tcPr>
            <w:tcW w:w="1008" w:type="pct"/>
            <w:shd w:val="clear" w:color="auto" w:fill="auto"/>
            <w:vAlign w:val="center"/>
          </w:tcPr>
          <w:p w14:paraId="47A0FFFE" w14:textId="77777777" w:rsidR="002E41FF" w:rsidRPr="00DD47DF" w:rsidRDefault="00F0670B" w:rsidP="002E41FF">
            <w:pPr>
              <w:pStyle w:val="Tabulka"/>
              <w:jc w:val="right"/>
              <w:rPr>
                <w:rFonts w:cs="Calibri"/>
              </w:rPr>
            </w:pPr>
            <w:r w:rsidRPr="00DD47DF">
              <w:rPr>
                <w:rFonts w:cs="Calibri"/>
              </w:rPr>
              <w:t>22 164 850</w:t>
            </w:r>
          </w:p>
        </w:tc>
        <w:tc>
          <w:tcPr>
            <w:tcW w:w="660" w:type="pct"/>
            <w:shd w:val="clear" w:color="auto" w:fill="auto"/>
            <w:vAlign w:val="center"/>
          </w:tcPr>
          <w:p w14:paraId="06898819" w14:textId="77777777" w:rsidR="002E41FF" w:rsidRPr="00DD47DF" w:rsidRDefault="00F0670B" w:rsidP="002E41FF">
            <w:pPr>
              <w:pStyle w:val="Tabulka"/>
              <w:jc w:val="right"/>
              <w:rPr>
                <w:rFonts w:cs="Calibri"/>
              </w:rPr>
            </w:pPr>
            <w:r w:rsidRPr="00DD47DF">
              <w:rPr>
                <w:rFonts w:cs="Calibri"/>
              </w:rPr>
              <w:t>147 765 666</w:t>
            </w:r>
          </w:p>
        </w:tc>
      </w:tr>
      <w:tr w:rsidR="002E41FF" w:rsidRPr="00DD47DF" w14:paraId="130F4721" w14:textId="77777777" w:rsidTr="002E41FF">
        <w:trPr>
          <w:jc w:val="center"/>
        </w:trPr>
        <w:tc>
          <w:tcPr>
            <w:tcW w:w="579" w:type="pct"/>
            <w:shd w:val="clear" w:color="auto" w:fill="DBE5F1"/>
            <w:vAlign w:val="center"/>
          </w:tcPr>
          <w:p w14:paraId="03EFD730" w14:textId="77777777" w:rsidR="002E41FF" w:rsidRPr="00DD47DF" w:rsidRDefault="002E41FF" w:rsidP="00467D73">
            <w:pPr>
              <w:pStyle w:val="Tabulka"/>
              <w:jc w:val="left"/>
              <w:rPr>
                <w:rFonts w:cs="Calibri"/>
              </w:rPr>
            </w:pPr>
            <w:r w:rsidRPr="00DD47DF">
              <w:rPr>
                <w:rFonts w:cs="Calibri"/>
              </w:rPr>
              <w:t>Celkem</w:t>
            </w:r>
          </w:p>
        </w:tc>
        <w:tc>
          <w:tcPr>
            <w:tcW w:w="373" w:type="pct"/>
            <w:shd w:val="clear" w:color="auto" w:fill="DBE5F1"/>
            <w:vAlign w:val="center"/>
          </w:tcPr>
          <w:p w14:paraId="231EF0DB" w14:textId="77777777" w:rsidR="002E41FF" w:rsidRPr="00DD47DF" w:rsidRDefault="002E41FF" w:rsidP="00467D73">
            <w:pPr>
              <w:pStyle w:val="Tabulka"/>
              <w:rPr>
                <w:rFonts w:cs="Calibri"/>
              </w:rPr>
            </w:pPr>
            <w:r w:rsidRPr="00DD47DF">
              <w:rPr>
                <w:rFonts w:cs="Calibri"/>
              </w:rPr>
              <w:t>EFRR</w:t>
            </w:r>
          </w:p>
        </w:tc>
        <w:tc>
          <w:tcPr>
            <w:tcW w:w="1060" w:type="pct"/>
            <w:shd w:val="clear" w:color="auto" w:fill="DBE5F1"/>
            <w:vAlign w:val="center"/>
          </w:tcPr>
          <w:p w14:paraId="750ABFAC" w14:textId="77777777" w:rsidR="002E41FF" w:rsidRPr="00DD47DF" w:rsidRDefault="002E41FF" w:rsidP="00467D73">
            <w:pPr>
              <w:pStyle w:val="Tabulka"/>
              <w:rPr>
                <w:rFonts w:cs="Calibri"/>
              </w:rPr>
            </w:pPr>
            <w:r w:rsidRPr="00DD47DF">
              <w:rPr>
                <w:rFonts w:cs="Calibri"/>
              </w:rPr>
              <w:t>Méně rozvinuté regiony</w:t>
            </w:r>
          </w:p>
        </w:tc>
        <w:tc>
          <w:tcPr>
            <w:tcW w:w="723" w:type="pct"/>
            <w:shd w:val="clear" w:color="auto" w:fill="DBE5F1"/>
            <w:vAlign w:val="center"/>
          </w:tcPr>
          <w:p w14:paraId="38681994" w14:textId="77777777" w:rsidR="002E41FF" w:rsidRPr="00DD47DF" w:rsidRDefault="002E41FF" w:rsidP="00467D73">
            <w:pPr>
              <w:pStyle w:val="Tabulka"/>
              <w:rPr>
                <w:rFonts w:cs="Calibri"/>
              </w:rPr>
            </w:pPr>
          </w:p>
        </w:tc>
        <w:tc>
          <w:tcPr>
            <w:tcW w:w="597" w:type="pct"/>
            <w:shd w:val="clear" w:color="auto" w:fill="DBE5F1"/>
            <w:vAlign w:val="center"/>
          </w:tcPr>
          <w:p w14:paraId="0CAA126B" w14:textId="77777777" w:rsidR="002E41FF" w:rsidRPr="00DD47DF" w:rsidRDefault="00F0670B" w:rsidP="00165558">
            <w:pPr>
              <w:pStyle w:val="Tabulka"/>
              <w:jc w:val="right"/>
              <w:rPr>
                <w:rFonts w:cs="Calibri"/>
              </w:rPr>
            </w:pPr>
            <w:r w:rsidRPr="00DD47DF">
              <w:rPr>
                <w:rFonts w:cs="Calibri"/>
              </w:rPr>
              <w:t>4 331 062 617</w:t>
            </w:r>
          </w:p>
        </w:tc>
        <w:tc>
          <w:tcPr>
            <w:tcW w:w="1008" w:type="pct"/>
            <w:shd w:val="clear" w:color="auto" w:fill="DBE5F1"/>
            <w:vAlign w:val="bottom"/>
          </w:tcPr>
          <w:p w14:paraId="73914991" w14:textId="28F4ABBA" w:rsidR="002E41FF" w:rsidRPr="00DD47DF" w:rsidRDefault="00705069" w:rsidP="002E41FF">
            <w:pPr>
              <w:pStyle w:val="Tabulka"/>
              <w:jc w:val="right"/>
              <w:rPr>
                <w:rFonts w:cs="Calibri"/>
              </w:rPr>
            </w:pPr>
            <w:r w:rsidRPr="00700E39">
              <w:rPr>
                <w:rFonts w:cs="Calibri"/>
              </w:rPr>
              <w:t>4 633 850 387</w:t>
            </w:r>
          </w:p>
        </w:tc>
        <w:tc>
          <w:tcPr>
            <w:tcW w:w="660" w:type="pct"/>
            <w:shd w:val="clear" w:color="auto" w:fill="DBE5F1"/>
            <w:vAlign w:val="bottom"/>
          </w:tcPr>
          <w:p w14:paraId="27C03072" w14:textId="638353A5" w:rsidR="002E41FF" w:rsidRPr="00DD47DF" w:rsidRDefault="00705069" w:rsidP="002E41FF">
            <w:pPr>
              <w:pStyle w:val="Tabulka"/>
              <w:jc w:val="right"/>
              <w:rPr>
                <w:rFonts w:cs="Calibri"/>
              </w:rPr>
            </w:pPr>
            <w:r w:rsidRPr="00700E39">
              <w:rPr>
                <w:rFonts w:cs="Calibri"/>
              </w:rPr>
              <w:t>8 964 913 004</w:t>
            </w:r>
          </w:p>
        </w:tc>
      </w:tr>
    </w:tbl>
    <w:p w14:paraId="4C287BED" w14:textId="77777777" w:rsidR="00821D0D" w:rsidRPr="00DD47DF" w:rsidRDefault="0071595D" w:rsidP="004E6DD3">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19</w:t>
      </w:r>
      <w:r w:rsidR="002756E7" w:rsidRPr="00DD47DF">
        <w:rPr>
          <w:noProof/>
        </w:rPr>
        <w:fldChar w:fldCharType="end"/>
      </w:r>
      <w:r w:rsidRPr="00DD47DF">
        <w:t xml:space="preserve">: </w:t>
      </w:r>
      <w:r w:rsidR="00833413" w:rsidRPr="00DD47DF">
        <w:t>Orientační částka podpory, jež má být použita na cíle v oblasti změny klimatu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17"/>
        <w:gridCol w:w="8506"/>
        <w:gridCol w:w="4135"/>
      </w:tblGrid>
      <w:tr w:rsidR="0071595D" w:rsidRPr="00DD47DF" w14:paraId="7B18B84E" w14:textId="77777777">
        <w:tc>
          <w:tcPr>
            <w:tcW w:w="567" w:type="pct"/>
            <w:shd w:val="clear" w:color="auto" w:fill="B8CCE4"/>
            <w:vAlign w:val="center"/>
          </w:tcPr>
          <w:p w14:paraId="4827231E" w14:textId="77777777" w:rsidR="0071595D" w:rsidRPr="00DD47DF" w:rsidRDefault="0071595D" w:rsidP="004E6DD3">
            <w:pPr>
              <w:pStyle w:val="Tabulka"/>
              <w:keepNext/>
              <w:keepLines/>
              <w:rPr>
                <w:rFonts w:cs="Calibri"/>
                <w:b/>
              </w:rPr>
            </w:pPr>
            <w:r w:rsidRPr="00DD47DF">
              <w:rPr>
                <w:rFonts w:cs="Calibri"/>
                <w:b/>
              </w:rPr>
              <w:t>Prioritní osa</w:t>
            </w:r>
          </w:p>
        </w:tc>
        <w:tc>
          <w:tcPr>
            <w:tcW w:w="2983" w:type="pct"/>
            <w:shd w:val="clear" w:color="auto" w:fill="B8CCE4"/>
            <w:vAlign w:val="center"/>
          </w:tcPr>
          <w:p w14:paraId="207AFE95" w14:textId="77777777" w:rsidR="0071595D" w:rsidRPr="00DD47DF" w:rsidRDefault="00833413" w:rsidP="004E6DD3">
            <w:pPr>
              <w:pStyle w:val="Tabulka"/>
              <w:keepNext/>
              <w:keepLines/>
              <w:rPr>
                <w:rFonts w:cs="Calibri"/>
                <w:b/>
              </w:rPr>
            </w:pPr>
            <w:r w:rsidRPr="00DD47DF">
              <w:rPr>
                <w:rFonts w:cs="Calibri"/>
                <w:b/>
              </w:rPr>
              <w:t>Orientační částka podpory, jež má být použita na cíle v oblasti změny klimatu (v EUR)</w:t>
            </w:r>
          </w:p>
        </w:tc>
        <w:tc>
          <w:tcPr>
            <w:tcW w:w="1450" w:type="pct"/>
            <w:shd w:val="clear" w:color="auto" w:fill="B8CCE4"/>
            <w:vAlign w:val="center"/>
          </w:tcPr>
          <w:p w14:paraId="298554F3" w14:textId="77777777" w:rsidR="0071595D" w:rsidRPr="00DD47DF" w:rsidRDefault="00833413" w:rsidP="004E6DD3">
            <w:pPr>
              <w:pStyle w:val="Tabulka"/>
              <w:keepNext/>
              <w:keepLines/>
              <w:rPr>
                <w:rFonts w:cs="Calibri"/>
                <w:b/>
              </w:rPr>
            </w:pPr>
            <w:r w:rsidRPr="00DD47DF">
              <w:rPr>
                <w:rFonts w:cs="Calibri"/>
                <w:b/>
              </w:rPr>
              <w:t>Podíl celkového přídělu pro operační program (v %)</w:t>
            </w:r>
          </w:p>
        </w:tc>
      </w:tr>
      <w:tr w:rsidR="0071595D" w:rsidRPr="00DD47DF" w14:paraId="728B8817" w14:textId="77777777">
        <w:tc>
          <w:tcPr>
            <w:tcW w:w="567" w:type="pct"/>
            <w:shd w:val="clear" w:color="auto" w:fill="auto"/>
            <w:vAlign w:val="center"/>
          </w:tcPr>
          <w:p w14:paraId="7E6373DB" w14:textId="77777777" w:rsidR="0071595D" w:rsidRPr="00DD47DF" w:rsidRDefault="00DA6FAB" w:rsidP="004E6DD3">
            <w:pPr>
              <w:pStyle w:val="Tabulka"/>
              <w:keepNext/>
              <w:keepLines/>
              <w:jc w:val="left"/>
              <w:rPr>
                <w:rFonts w:cs="Calibri"/>
              </w:rPr>
            </w:pPr>
            <w:r w:rsidRPr="00DD47DF">
              <w:rPr>
                <w:rFonts w:cs="Calibri"/>
              </w:rPr>
              <w:t>Prioritní osa 1</w:t>
            </w:r>
          </w:p>
        </w:tc>
        <w:tc>
          <w:tcPr>
            <w:tcW w:w="2983" w:type="pct"/>
            <w:shd w:val="clear" w:color="auto" w:fill="auto"/>
            <w:vAlign w:val="center"/>
          </w:tcPr>
          <w:p w14:paraId="48608B93" w14:textId="5282210F" w:rsidR="0071595D" w:rsidRPr="00DD47DF" w:rsidRDefault="00580034" w:rsidP="00DF6C15">
            <w:pPr>
              <w:pStyle w:val="Tabulka"/>
              <w:keepNext/>
              <w:keepLines/>
              <w:jc w:val="right"/>
              <w:rPr>
                <w:rFonts w:cs="Calibri"/>
              </w:rPr>
            </w:pPr>
            <w:r w:rsidRPr="00580034">
              <w:rPr>
                <w:rFonts w:cs="Calibri"/>
              </w:rPr>
              <w:t>108 834 504</w:t>
            </w:r>
          </w:p>
        </w:tc>
        <w:tc>
          <w:tcPr>
            <w:tcW w:w="1450" w:type="pct"/>
            <w:shd w:val="clear" w:color="auto" w:fill="auto"/>
            <w:vAlign w:val="center"/>
          </w:tcPr>
          <w:p w14:paraId="3AD75959" w14:textId="5F54ADD6" w:rsidR="0071595D" w:rsidRPr="00DD47DF" w:rsidRDefault="00922780" w:rsidP="00580034">
            <w:pPr>
              <w:pStyle w:val="Tabulka"/>
              <w:keepNext/>
              <w:keepLines/>
              <w:jc w:val="right"/>
              <w:rPr>
                <w:rFonts w:cs="Calibri"/>
              </w:rPr>
            </w:pPr>
            <w:r w:rsidRPr="00DD47DF">
              <w:rPr>
                <w:rFonts w:cs="Calibri"/>
              </w:rPr>
              <w:t>2,</w:t>
            </w:r>
            <w:r w:rsidR="00580034">
              <w:rPr>
                <w:rFonts w:cs="Calibri"/>
              </w:rPr>
              <w:t>51</w:t>
            </w:r>
          </w:p>
        </w:tc>
      </w:tr>
      <w:tr w:rsidR="00F34500" w:rsidRPr="00DD47DF" w14:paraId="131AD4C6" w14:textId="77777777">
        <w:tc>
          <w:tcPr>
            <w:tcW w:w="567" w:type="pct"/>
            <w:shd w:val="clear" w:color="auto" w:fill="auto"/>
            <w:vAlign w:val="center"/>
          </w:tcPr>
          <w:p w14:paraId="6DF0D59C" w14:textId="77777777" w:rsidR="00F34500" w:rsidRPr="00DD47DF" w:rsidRDefault="00DA6FAB" w:rsidP="00F34500">
            <w:pPr>
              <w:pStyle w:val="Tabulka"/>
              <w:jc w:val="left"/>
              <w:rPr>
                <w:rFonts w:cs="Calibri"/>
              </w:rPr>
            </w:pPr>
            <w:r w:rsidRPr="00DD47DF">
              <w:rPr>
                <w:rFonts w:cs="Calibri"/>
              </w:rPr>
              <w:t>Prioritní osa 3</w:t>
            </w:r>
          </w:p>
        </w:tc>
        <w:tc>
          <w:tcPr>
            <w:tcW w:w="2983" w:type="pct"/>
            <w:shd w:val="clear" w:color="auto" w:fill="auto"/>
            <w:vAlign w:val="center"/>
          </w:tcPr>
          <w:p w14:paraId="4B3FBA3B" w14:textId="331777C0" w:rsidR="00F34500" w:rsidRPr="00DD47DF" w:rsidRDefault="00580034" w:rsidP="00165558">
            <w:pPr>
              <w:pStyle w:val="Tabulka"/>
              <w:jc w:val="right"/>
              <w:rPr>
                <w:rFonts w:cs="Calibri"/>
              </w:rPr>
            </w:pPr>
            <w:r w:rsidRPr="00580034">
              <w:rPr>
                <w:rFonts w:cs="Calibri"/>
              </w:rPr>
              <w:t>1 011 286 112</w:t>
            </w:r>
            <w:r w:rsidR="0032362B" w:rsidRPr="00DD47DF">
              <w:rPr>
                <w:rFonts w:cs="Calibri"/>
              </w:rPr>
              <w:t xml:space="preserve"> </w:t>
            </w:r>
          </w:p>
        </w:tc>
        <w:tc>
          <w:tcPr>
            <w:tcW w:w="1450" w:type="pct"/>
            <w:shd w:val="clear" w:color="auto" w:fill="auto"/>
            <w:vAlign w:val="center"/>
          </w:tcPr>
          <w:p w14:paraId="66D84D50" w14:textId="19B2E9F4" w:rsidR="00F34500" w:rsidRPr="00DD47DF" w:rsidRDefault="0032362B" w:rsidP="00580034">
            <w:pPr>
              <w:pStyle w:val="Tabulka"/>
              <w:jc w:val="right"/>
              <w:rPr>
                <w:rFonts w:cs="Calibri"/>
              </w:rPr>
            </w:pPr>
            <w:r w:rsidRPr="00DD47DF">
              <w:rPr>
                <w:rFonts w:cs="Calibri"/>
              </w:rPr>
              <w:t>2</w:t>
            </w:r>
            <w:r w:rsidR="00580034">
              <w:rPr>
                <w:rFonts w:cs="Calibri"/>
              </w:rPr>
              <w:t>3,35</w:t>
            </w:r>
          </w:p>
        </w:tc>
      </w:tr>
      <w:tr w:rsidR="0071595D" w:rsidRPr="00DD47DF" w14:paraId="4A14AA46" w14:textId="77777777">
        <w:tc>
          <w:tcPr>
            <w:tcW w:w="567" w:type="pct"/>
            <w:shd w:val="clear" w:color="auto" w:fill="DBE5F1"/>
            <w:vAlign w:val="center"/>
          </w:tcPr>
          <w:p w14:paraId="07617A30" w14:textId="77777777" w:rsidR="0071595D" w:rsidRPr="00DD47DF" w:rsidRDefault="0071595D" w:rsidP="00F34500">
            <w:pPr>
              <w:pStyle w:val="Tabulka"/>
              <w:jc w:val="left"/>
              <w:rPr>
                <w:rFonts w:cs="Calibri"/>
              </w:rPr>
            </w:pPr>
            <w:r w:rsidRPr="00DD47DF">
              <w:rPr>
                <w:rFonts w:cs="Calibri"/>
              </w:rPr>
              <w:t>Celkem</w:t>
            </w:r>
          </w:p>
        </w:tc>
        <w:tc>
          <w:tcPr>
            <w:tcW w:w="2983" w:type="pct"/>
            <w:shd w:val="clear" w:color="auto" w:fill="DBE5F1"/>
            <w:vAlign w:val="center"/>
          </w:tcPr>
          <w:p w14:paraId="41993723" w14:textId="2A804A80" w:rsidR="0071595D" w:rsidRPr="00DD47DF" w:rsidRDefault="00580034" w:rsidP="003D7853">
            <w:pPr>
              <w:pStyle w:val="Tabulka"/>
              <w:jc w:val="right"/>
              <w:rPr>
                <w:rFonts w:cs="Calibri"/>
              </w:rPr>
            </w:pPr>
            <w:r>
              <w:rPr>
                <w:rFonts w:cs="Calibri"/>
              </w:rPr>
              <w:t>1 120 120 616</w:t>
            </w:r>
          </w:p>
        </w:tc>
        <w:tc>
          <w:tcPr>
            <w:tcW w:w="1450" w:type="pct"/>
            <w:shd w:val="clear" w:color="auto" w:fill="DBE5F1"/>
            <w:vAlign w:val="center"/>
          </w:tcPr>
          <w:p w14:paraId="2DE5204B" w14:textId="17E0D213" w:rsidR="0071595D" w:rsidRPr="00DD47DF" w:rsidRDefault="00580034" w:rsidP="006E4304">
            <w:pPr>
              <w:pStyle w:val="Tabulka"/>
              <w:jc w:val="right"/>
              <w:rPr>
                <w:rFonts w:cs="Calibri"/>
              </w:rPr>
            </w:pPr>
            <w:r>
              <w:rPr>
                <w:rFonts w:cs="Calibri"/>
              </w:rPr>
              <w:t>25</w:t>
            </w:r>
            <w:r w:rsidR="0032362B" w:rsidRPr="00DD47DF">
              <w:rPr>
                <w:rFonts w:cs="Calibri"/>
              </w:rPr>
              <w:t>,</w:t>
            </w:r>
            <w:r>
              <w:rPr>
                <w:rFonts w:cs="Calibri"/>
              </w:rPr>
              <w:t>86</w:t>
            </w:r>
          </w:p>
        </w:tc>
      </w:tr>
    </w:tbl>
    <w:p w14:paraId="15D50EC8" w14:textId="77777777" w:rsidR="0071595D" w:rsidRPr="00DD47DF" w:rsidRDefault="0071595D" w:rsidP="0071595D">
      <w:pPr>
        <w:spacing w:after="200" w:line="276" w:lineRule="auto"/>
        <w:rPr>
          <w:rFonts w:ascii="Calibri" w:hAnsi="Calibri" w:cs="Calibri"/>
          <w:sz w:val="24"/>
          <w:szCs w:val="24"/>
        </w:rPr>
      </w:pPr>
    </w:p>
    <w:p w14:paraId="29A4CFD8" w14:textId="77777777" w:rsidR="00157951" w:rsidRPr="00DD47DF" w:rsidRDefault="00157951" w:rsidP="0071595D">
      <w:pPr>
        <w:spacing w:after="200" w:line="276" w:lineRule="auto"/>
        <w:rPr>
          <w:rFonts w:ascii="Calibri" w:hAnsi="Calibri" w:cs="Calibri"/>
          <w:sz w:val="24"/>
          <w:szCs w:val="24"/>
        </w:rPr>
        <w:sectPr w:rsidR="00157951" w:rsidRPr="00DD47DF" w:rsidSect="00157951">
          <w:headerReference w:type="default" r:id="rId48"/>
          <w:footerReference w:type="default" r:id="rId49"/>
          <w:headerReference w:type="first" r:id="rId50"/>
          <w:footerReference w:type="first" r:id="rId51"/>
          <w:pgSz w:w="16838" w:h="11906" w:orient="landscape"/>
          <w:pgMar w:top="1418" w:right="1418" w:bottom="1276" w:left="1276" w:header="709" w:footer="709" w:gutter="0"/>
          <w:cols w:space="708"/>
          <w:titlePg/>
          <w:docGrid w:linePitch="272"/>
        </w:sectPr>
      </w:pPr>
    </w:p>
    <w:p w14:paraId="32C66C5C" w14:textId="77777777" w:rsidR="009E6172" w:rsidRPr="00DD47DF" w:rsidRDefault="00833413" w:rsidP="00833413">
      <w:pPr>
        <w:pStyle w:val="Nadpis1"/>
      </w:pPr>
      <w:bookmarkStart w:id="116" w:name="_Toc351464424"/>
      <w:bookmarkStart w:id="117" w:name="_Toc520445323"/>
      <w:r w:rsidRPr="00DD47DF">
        <w:lastRenderedPageBreak/>
        <w:t>Integrovaný přístup k územnímu rozvoji</w:t>
      </w:r>
      <w:bookmarkEnd w:id="116"/>
      <w:bookmarkEnd w:id="117"/>
    </w:p>
    <w:p w14:paraId="0137C591" w14:textId="77777777" w:rsidR="00B512F1" w:rsidRPr="00DD47DF" w:rsidRDefault="00B512F1" w:rsidP="00B512F1">
      <w:pPr>
        <w:pStyle w:val="Standardntext"/>
      </w:pPr>
      <w:r w:rsidRPr="00DD47DF">
        <w:t xml:space="preserve">Východiskem pro zaměření územní dimenze a integrovaných přístupů v </w:t>
      </w:r>
      <w:r w:rsidR="00BD7D9C" w:rsidRPr="00DD47DF">
        <w:t xml:space="preserve">operačním </w:t>
      </w:r>
      <w:r w:rsidRPr="00DD47DF">
        <w:t xml:space="preserve">programu je </w:t>
      </w:r>
      <w:r w:rsidR="00AB4CD8" w:rsidRPr="00DD47DF">
        <w:t xml:space="preserve">vedle Dohody o partnerství </w:t>
      </w:r>
      <w:r w:rsidR="00BD7D9C" w:rsidRPr="00DD47DF">
        <w:t xml:space="preserve">ČR </w:t>
      </w:r>
      <w:r w:rsidRPr="00DD47DF">
        <w:rPr>
          <w:b/>
        </w:rPr>
        <w:t xml:space="preserve">Národní dokument k územní dimenzi </w:t>
      </w:r>
      <w:r w:rsidRPr="00DD47DF">
        <w:t>(dále také „NDÚD“)</w:t>
      </w:r>
      <w:r w:rsidR="00146E3D" w:rsidRPr="00DD47DF">
        <w:t>, který byl schválen usnesením vlády ČR ze dne 27. srpna 2014 č. 681</w:t>
      </w:r>
      <w:r w:rsidRPr="00DD47DF">
        <w:t>. Tento strategický dokument rozčleňuje území Č</w:t>
      </w:r>
      <w:r w:rsidR="00BD7D9C" w:rsidRPr="00DD47DF">
        <w:t xml:space="preserve">eské republiky </w:t>
      </w:r>
      <w:r w:rsidRPr="00DD47DF">
        <w:t>do několika kategorií, přičemž pro OP PIK jsou relevantní následující tři typy území či funkčních celků. V souladu s NDÚD jsou pro tyto typy území relevantní následující specifické cíle OP PIK</w:t>
      </w:r>
      <w:r w:rsidR="00720FC6" w:rsidRPr="00DD47DF">
        <w:rPr>
          <w:rStyle w:val="Znakapoznpodarou"/>
        </w:rPr>
        <w:footnoteReference w:id="82"/>
      </w:r>
      <w:r w:rsidRPr="00DD47DF">
        <w:t>, a proto je v nich vhodné využít silnou intenzitu podpory:</w:t>
      </w:r>
    </w:p>
    <w:p w14:paraId="53A2EB5F" w14:textId="77777777" w:rsidR="00B512F1" w:rsidRPr="00DD47DF" w:rsidRDefault="00B512F1" w:rsidP="00DA3512">
      <w:pPr>
        <w:pStyle w:val="Standardntext"/>
        <w:numPr>
          <w:ilvl w:val="0"/>
          <w:numId w:val="78"/>
        </w:numPr>
        <w:rPr>
          <w:b/>
        </w:rPr>
      </w:pPr>
      <w:r w:rsidRPr="00DD47DF">
        <w:rPr>
          <w:b/>
        </w:rPr>
        <w:t>Hospodářsky problémov</w:t>
      </w:r>
      <w:r w:rsidR="00C859E0" w:rsidRPr="00DD47DF">
        <w:rPr>
          <w:b/>
        </w:rPr>
        <w:t>é regiony</w:t>
      </w:r>
      <w:r w:rsidRPr="00DD47DF">
        <w:rPr>
          <w:b/>
        </w:rPr>
        <w:t xml:space="preserve"> a území s vysokou mírou nezaměstnanost</w:t>
      </w:r>
      <w:r w:rsidR="002832C1" w:rsidRPr="00DD47DF">
        <w:rPr>
          <w:b/>
        </w:rPr>
        <w:t>i</w:t>
      </w:r>
    </w:p>
    <w:p w14:paraId="2C2C6EFC" w14:textId="4A8DB572" w:rsidR="002556A0" w:rsidRPr="00DD47DF" w:rsidRDefault="00AB2971" w:rsidP="002556A0">
      <w:pPr>
        <w:pStyle w:val="Standardntext"/>
        <w:ind w:left="720"/>
      </w:pPr>
      <w:r w:rsidRPr="00AB2971">
        <w:t xml:space="preserve"> Jde o hospodářsky problémové regiony dle usnesení vlády ČR ze dne 15. května 2013 č. 344 a regiony dle usnesení vlády ČR ze dne 19. října 2015 č. 826 (blíže viz oddíl 5).</w:t>
      </w:r>
      <w:r w:rsidR="002556A0" w:rsidRPr="00DD47DF">
        <w:t xml:space="preserve">Pokud jde o území s vysokým podílem </w:t>
      </w:r>
      <w:r w:rsidR="00963510" w:rsidRPr="00DD47DF">
        <w:t>nezaměstnaných osob</w:t>
      </w:r>
      <w:r w:rsidR="002556A0" w:rsidRPr="00DD47DF">
        <w:t xml:space="preserve">, ta budou pro účely bonifikace projektů směřujících do těchto území definována jako okresy ČR s </w:t>
      </w:r>
      <w:r w:rsidR="00963510" w:rsidRPr="00DD47DF">
        <w:t xml:space="preserve">vyšším podílem nezaměstnaných osob </w:t>
      </w:r>
      <w:r w:rsidR="002556A0" w:rsidRPr="00DD47DF">
        <w:t xml:space="preserve">za měsíc předcházející vyhlášení výzvy pro předkládání projektů, než je průměrný podíl </w:t>
      </w:r>
      <w:r w:rsidR="002840F9" w:rsidRPr="00DD47DF">
        <w:t>nezaměstnaných osob</w:t>
      </w:r>
      <w:r w:rsidR="002556A0" w:rsidRPr="00DD47DF">
        <w:t xml:space="preserve"> ČR ve stejném období.</w:t>
      </w:r>
    </w:p>
    <w:p w14:paraId="3FAA85D3" w14:textId="77777777" w:rsidR="00B512F1" w:rsidRPr="00DD47DF" w:rsidRDefault="002556A0" w:rsidP="00466CFC">
      <w:pPr>
        <w:pStyle w:val="Standardntext"/>
        <w:ind w:left="708"/>
      </w:pPr>
      <w:r w:rsidRPr="00DD47DF">
        <w:t>Takto definovaná území se týkají většiny specifických cílů operačního programu a způsob jejich vymezení bude vždy uveden v příslušné výzvě k předkládání projektů vyhlášené pro daný specifický cíl operačního programu.</w:t>
      </w:r>
    </w:p>
    <w:p w14:paraId="0BDCC60C" w14:textId="77777777" w:rsidR="00B512F1" w:rsidRPr="00DD47DF" w:rsidRDefault="00B512F1" w:rsidP="00DA3512">
      <w:pPr>
        <w:pStyle w:val="Standardntext"/>
        <w:numPr>
          <w:ilvl w:val="0"/>
          <w:numId w:val="78"/>
        </w:numPr>
        <w:rPr>
          <w:b/>
        </w:rPr>
      </w:pPr>
      <w:r w:rsidRPr="00DD47DF">
        <w:rPr>
          <w:b/>
        </w:rPr>
        <w:t>Rozvojová a urbánní území</w:t>
      </w:r>
    </w:p>
    <w:p w14:paraId="2FA67E65" w14:textId="77777777" w:rsidR="00B512F1" w:rsidRPr="00DD47DF" w:rsidRDefault="00B512F1" w:rsidP="00B512F1">
      <w:pPr>
        <w:pStyle w:val="Standardntext"/>
        <w:ind w:left="720"/>
      </w:pPr>
      <w:r w:rsidRPr="00DD47DF">
        <w:t>Jde o rozvojová území dle typologie Strategie regionálního rozvoje ČR 2014-2020 a urbánní území, v nichž bude uplatněn integrovaný nástroj</w:t>
      </w:r>
      <w:r w:rsidR="00BD7D9C" w:rsidRPr="00DD47DF">
        <w:t xml:space="preserve"> (v případě OP PIK půjde o ITI)</w:t>
      </w:r>
      <w:r w:rsidRPr="00DD47DF">
        <w:t>.</w:t>
      </w:r>
    </w:p>
    <w:p w14:paraId="214BBFD6" w14:textId="77777777" w:rsidR="00B512F1" w:rsidRPr="00DD47DF" w:rsidRDefault="00C26FF4" w:rsidP="00B512F1">
      <w:pPr>
        <w:pStyle w:val="Standardntext"/>
        <w:ind w:left="720"/>
      </w:pPr>
      <w:r w:rsidRPr="00DD47DF">
        <w:t xml:space="preserve">V případě rozvojových území se </w:t>
      </w:r>
      <w:r w:rsidR="00181683" w:rsidRPr="00DD47DF">
        <w:t xml:space="preserve">intervence OP PIK </w:t>
      </w:r>
      <w:r w:rsidR="00B512F1" w:rsidRPr="00DD47DF">
        <w:t>týk</w:t>
      </w:r>
      <w:r w:rsidR="00181683" w:rsidRPr="00DD47DF">
        <w:t xml:space="preserve">ají </w:t>
      </w:r>
      <w:r w:rsidR="00B512F1" w:rsidRPr="00DD47DF">
        <w:t>specifických cílů 1.1, 1.2 a 4.2. V případě urbánních území se týk</w:t>
      </w:r>
      <w:r w:rsidR="00181683" w:rsidRPr="00DD47DF">
        <w:t>ají s</w:t>
      </w:r>
      <w:r w:rsidR="00B512F1" w:rsidRPr="00DD47DF">
        <w:t>pecifických cílů 1.1, 1.2, 2.1, 2.3, 2.4 a 3.5.</w:t>
      </w:r>
    </w:p>
    <w:p w14:paraId="720B31BB" w14:textId="77777777" w:rsidR="00B512F1" w:rsidRPr="00DD47DF" w:rsidRDefault="00B512F1" w:rsidP="00DA3512">
      <w:pPr>
        <w:pStyle w:val="Standardntext"/>
        <w:numPr>
          <w:ilvl w:val="0"/>
          <w:numId w:val="78"/>
        </w:numPr>
        <w:rPr>
          <w:b/>
        </w:rPr>
      </w:pPr>
      <w:r w:rsidRPr="00DD47DF">
        <w:rPr>
          <w:b/>
        </w:rPr>
        <w:t>Ostatní území</w:t>
      </w:r>
    </w:p>
    <w:p w14:paraId="327FCD98" w14:textId="402CC665" w:rsidR="00B512F1" w:rsidRPr="00DD47DF" w:rsidRDefault="006840A6" w:rsidP="00B512F1">
      <w:pPr>
        <w:pStyle w:val="Standardntext"/>
        <w:ind w:left="720"/>
      </w:pPr>
      <w:r w:rsidRPr="00700E39">
        <w:t>Jde o cílové území specifického cíle 4.1 a dílčí cílové území specifického cíle 2.3 (viz oddíl 2.A.6.1 těchto specifických cílů).</w:t>
      </w:r>
    </w:p>
    <w:p w14:paraId="6BFF0108" w14:textId="0461AA2D" w:rsidR="00B512F1" w:rsidRPr="00DD47DF" w:rsidRDefault="006840A6" w:rsidP="00B512F1">
      <w:pPr>
        <w:pStyle w:val="Standardntext"/>
      </w:pPr>
      <w:r w:rsidRPr="00700E39">
        <w:t>Takto identifikovaná územní dimenze u jednotlivých specifických cílů bude v OP PIK realizována v zásadě následujícími způsoby:</w:t>
      </w:r>
    </w:p>
    <w:p w14:paraId="30D76E51" w14:textId="77777777" w:rsidR="00757F45" w:rsidRPr="00DD47DF" w:rsidRDefault="00165E6D" w:rsidP="00DA3512">
      <w:pPr>
        <w:pStyle w:val="Standardntext"/>
        <w:numPr>
          <w:ilvl w:val="0"/>
          <w:numId w:val="79"/>
        </w:numPr>
      </w:pPr>
      <w:r w:rsidRPr="00DD47DF">
        <w:t>U</w:t>
      </w:r>
      <w:r w:rsidR="00710D23" w:rsidRPr="00DD47DF">
        <w:t>platnění</w:t>
      </w:r>
      <w:r w:rsidR="00EA7638" w:rsidRPr="00DD47DF">
        <w:t>m</w:t>
      </w:r>
      <w:r w:rsidR="00710D23" w:rsidRPr="00DD47DF">
        <w:t xml:space="preserve"> bonifikace projektů v hospodářsky problémových </w:t>
      </w:r>
      <w:r w:rsidR="00C859E0" w:rsidRPr="00DD47DF">
        <w:t xml:space="preserve">regionech </w:t>
      </w:r>
      <w:r w:rsidR="00710D23" w:rsidRPr="00DD47DF">
        <w:t>a územích s vysokou mírou nezaměstnanost</w:t>
      </w:r>
      <w:r w:rsidR="002832C1" w:rsidRPr="00DD47DF">
        <w:t>i</w:t>
      </w:r>
      <w:r w:rsidR="00EA7638" w:rsidRPr="00DD47DF">
        <w:t>,</w:t>
      </w:r>
    </w:p>
    <w:p w14:paraId="53AFEE2B" w14:textId="77777777" w:rsidR="009F75F9" w:rsidRPr="00DD47DF" w:rsidRDefault="009F75F9" w:rsidP="00DA3512">
      <w:pPr>
        <w:pStyle w:val="Standardntext"/>
        <w:numPr>
          <w:ilvl w:val="0"/>
          <w:numId w:val="79"/>
        </w:numPr>
      </w:pPr>
      <w:r w:rsidRPr="00DD47DF">
        <w:t xml:space="preserve">Řídící orgán po úvodních plošných výzvách k nově schváleným programům podpory návazně zváží cílené vyhlášení omezených specifických výzev </w:t>
      </w:r>
      <w:r w:rsidR="00736B31" w:rsidRPr="00DD47DF">
        <w:t xml:space="preserve">směřovaných </w:t>
      </w:r>
      <w:r w:rsidRPr="00DD47DF">
        <w:t>výhradně do hospodářsky problémových regionů a území s vysokou mírou nezaměstnanosti, aby lépe zacílil intenzitu podpory v takto strukturálně nejpostiženějších územích</w:t>
      </w:r>
      <w:r w:rsidR="00756158" w:rsidRPr="00DD47DF">
        <w:t>.</w:t>
      </w:r>
    </w:p>
    <w:p w14:paraId="1F50D22C" w14:textId="77777777" w:rsidR="00710D23" w:rsidRPr="00DD47DF" w:rsidRDefault="00165E6D" w:rsidP="00DA3512">
      <w:pPr>
        <w:pStyle w:val="Standardntext"/>
        <w:numPr>
          <w:ilvl w:val="0"/>
          <w:numId w:val="79"/>
        </w:numPr>
      </w:pPr>
      <w:r w:rsidRPr="00DD47DF">
        <w:t>I</w:t>
      </w:r>
      <w:r w:rsidR="00EA7638" w:rsidRPr="00DD47DF">
        <w:t>ntegrovanými nástroji, konkrétně integrovanými územními investicemi</w:t>
      </w:r>
      <w:r w:rsidR="00BD7D9C" w:rsidRPr="00DD47DF">
        <w:t xml:space="preserve"> (ITI)</w:t>
      </w:r>
      <w:r w:rsidR="00EA7638" w:rsidRPr="00DD47DF">
        <w:t>.</w:t>
      </w:r>
    </w:p>
    <w:p w14:paraId="7A9BA0B2" w14:textId="77777777" w:rsidR="00756158" w:rsidRDefault="00756158" w:rsidP="00DA3512">
      <w:pPr>
        <w:pStyle w:val="Standardntext"/>
        <w:numPr>
          <w:ilvl w:val="0"/>
          <w:numId w:val="79"/>
        </w:numPr>
      </w:pPr>
      <w:r w:rsidRPr="00DD47DF">
        <w:lastRenderedPageBreak/>
        <w:t>Územně cílené výzvy vyplývající z charakteru dané intervence v případě specifického cíle 4.1 (typ území „ostatní území“). Intervence v tohoto specifickém cíli směřují výhradně do lokalit, ve kterých neexistuje žádný provozovatel sítě pro vysokorychlostní přístup k internetu umožňující zajišťování služby reálnou rychlostí alespoň 30 Mbit/s a není pravděpodobné, že by v ní do tří let nějaký poskytovatel vybudoval infrastrukturu pro poskytování této služby (tzv. bílá místa).</w:t>
      </w:r>
    </w:p>
    <w:p w14:paraId="263E1C48" w14:textId="02C94A7A" w:rsidR="00544985" w:rsidRPr="00DD47DF" w:rsidRDefault="00544985" w:rsidP="00DA3512">
      <w:pPr>
        <w:pStyle w:val="Standardntext"/>
        <w:numPr>
          <w:ilvl w:val="0"/>
          <w:numId w:val="79"/>
        </w:numPr>
      </w:pPr>
      <w:r w:rsidRPr="00700E39">
        <w:t xml:space="preserve">Územně cílené výzvy v rámci </w:t>
      </w:r>
      <w:r w:rsidRPr="00700E39">
        <w:rPr>
          <w:b/>
          <w:bCs/>
        </w:rPr>
        <w:t xml:space="preserve">režimu regionální podpory zaměřeného na cestovní ruch v podporovaných specifických oblastech </w:t>
      </w:r>
      <w:r w:rsidRPr="00700E39">
        <w:t>v případě specifického cíle 2.3 (typ území „ostatní území“). Dílčí intervence v tomto specifickém cíli, jako součást</w:t>
      </w:r>
      <w:r w:rsidRPr="00700E39">
        <w:rPr>
          <w:b/>
          <w:bCs/>
        </w:rPr>
        <w:t xml:space="preserve"> </w:t>
      </w:r>
      <w:r w:rsidRPr="00700E39">
        <w:t>režimu regionální podpory zaměřeného na cestovní ruch v podporovaném regionu,</w:t>
      </w:r>
      <w:r w:rsidRPr="00700E39">
        <w:rPr>
          <w:b/>
          <w:bCs/>
        </w:rPr>
        <w:t xml:space="preserve"> </w:t>
      </w:r>
      <w:r w:rsidRPr="00700E39">
        <w:t>který má obzvlášť pozitivní účinek na regionální rozvoj, směřují výhradně do lokalit,</w:t>
      </w:r>
      <w:r w:rsidRPr="00700E39">
        <w:rPr>
          <w:b/>
          <w:bCs/>
        </w:rPr>
        <w:t xml:space="preserve"> </w:t>
      </w:r>
      <w:r w:rsidRPr="00700E39">
        <w:t>v nichž může podpora cestovního ruchu tvořit potenciálně zdůvodnitelné využívání</w:t>
      </w:r>
      <w:r w:rsidRPr="00700E39">
        <w:rPr>
          <w:b/>
          <w:bCs/>
        </w:rPr>
        <w:t xml:space="preserve"> </w:t>
      </w:r>
      <w:r w:rsidRPr="00700E39">
        <w:t>fondů ESI jako prostředek diversifikace a odhalování hospodářského potenciálu</w:t>
      </w:r>
      <w:r w:rsidRPr="00700E39">
        <w:rPr>
          <w:b/>
          <w:bCs/>
        </w:rPr>
        <w:t xml:space="preserve"> </w:t>
      </w:r>
      <w:r w:rsidRPr="00700E39">
        <w:t>venkovských oblastí (tzv. malé venkovské obce s výjimečným potenciálem přírodního</w:t>
      </w:r>
      <w:r w:rsidRPr="00700E39">
        <w:rPr>
          <w:b/>
          <w:bCs/>
        </w:rPr>
        <w:t xml:space="preserve"> </w:t>
      </w:r>
      <w:r w:rsidRPr="00700E39">
        <w:t>subsystému cestovního ruchu).</w:t>
      </w:r>
    </w:p>
    <w:p w14:paraId="3F70CE24" w14:textId="77777777" w:rsidR="00AA5B29" w:rsidRPr="00DD47DF" w:rsidRDefault="00833413" w:rsidP="00833413">
      <w:pPr>
        <w:pStyle w:val="Nadpis2"/>
        <w:rPr>
          <w:rFonts w:cs="Calibri"/>
        </w:rPr>
      </w:pPr>
      <w:bookmarkStart w:id="118" w:name="_Toc520445324"/>
      <w:r w:rsidRPr="00DD47DF">
        <w:rPr>
          <w:rFonts w:cs="Calibri"/>
        </w:rPr>
        <w:t>Nástroje k zajištění komunitně vedeného místního rozvoje</w:t>
      </w:r>
      <w:bookmarkEnd w:id="118"/>
    </w:p>
    <w:p w14:paraId="65A1101F" w14:textId="77777777" w:rsidR="00A107C6" w:rsidRPr="00DD47DF" w:rsidRDefault="0093745F" w:rsidP="00AC4A31">
      <w:pPr>
        <w:pStyle w:val="Standardntext"/>
      </w:pPr>
      <w:r w:rsidRPr="00DD47DF">
        <w:t>V souladu s Dohodou o partnerství a v</w:t>
      </w:r>
      <w:r w:rsidR="00A107C6" w:rsidRPr="00DD47DF">
        <w:t>zhledem</w:t>
      </w:r>
      <w:r w:rsidRPr="00DD47DF">
        <w:t xml:space="preserve"> k charakteru OP PIK nebude v Operačním programu využita metoda komunitně vedeného místního rozvoje ve smyslu čl. 32 obecného nařízení.  </w:t>
      </w:r>
      <w:r w:rsidR="00CB2164" w:rsidRPr="00DD47DF">
        <w:t>Místní akční skupiny (dále jen „</w:t>
      </w:r>
      <w:r w:rsidR="00A107C6" w:rsidRPr="00DD47DF">
        <w:t>MAS</w:t>
      </w:r>
      <w:r w:rsidR="00CB2164" w:rsidRPr="00DD47DF">
        <w:t xml:space="preserve">“) však mohou na základě svých znalostí problematiky daného území </w:t>
      </w:r>
      <w:r w:rsidR="00A107C6" w:rsidRPr="00DD47DF">
        <w:t xml:space="preserve">napomoci ke zvyšování absorpční kapacity v území a zajištění monitoringu problémů a potenciálu daného území. </w:t>
      </w:r>
      <w:r w:rsidR="00D53A31" w:rsidRPr="00DD47DF">
        <w:t>Iniciativní partnerská pomoc</w:t>
      </w:r>
      <w:r w:rsidRPr="00DD47DF">
        <w:t xml:space="preserve"> MAS by </w:t>
      </w:r>
      <w:r w:rsidR="00D53A31" w:rsidRPr="00DD47DF">
        <w:t>nebyla financována z technické pomoci Operačního programu, v relevantních případech by však mohla být podpořena z Integrovaného regionálního</w:t>
      </w:r>
      <w:r w:rsidRPr="00DD47DF">
        <w:t xml:space="preserve"> operačního programu v gesci Ministerstva pro místní rozvoj</w:t>
      </w:r>
      <w:r w:rsidR="00D53A31" w:rsidRPr="00DD47DF">
        <w:t xml:space="preserve"> za podmínek tam uvedených. </w:t>
      </w:r>
      <w:r w:rsidR="00CB2164" w:rsidRPr="00DD47DF">
        <w:t>Spolupráce Řídícího orgánu OP PIK a MAS bude probíhat prostřednictvím účasti MAS v Monitorovacím výboru</w:t>
      </w:r>
      <w:r w:rsidR="00A73AD5" w:rsidRPr="00DD47DF">
        <w:t>.</w:t>
      </w:r>
    </w:p>
    <w:p w14:paraId="6EF45551" w14:textId="77777777" w:rsidR="002F6CB3" w:rsidRPr="00DD47DF" w:rsidRDefault="00833413" w:rsidP="00833413">
      <w:pPr>
        <w:pStyle w:val="Nadpis2"/>
        <w:rPr>
          <w:rFonts w:cs="Calibri"/>
        </w:rPr>
      </w:pPr>
      <w:bookmarkStart w:id="119" w:name="_Toc520445325"/>
      <w:r w:rsidRPr="00DD47DF">
        <w:rPr>
          <w:rFonts w:cs="Calibri"/>
        </w:rPr>
        <w:t>Integrovaná opatření pro udržitelný rozvoj měst</w:t>
      </w:r>
      <w:bookmarkEnd w:id="119"/>
    </w:p>
    <w:p w14:paraId="2E79FF62" w14:textId="77777777" w:rsidR="007957E8" w:rsidRPr="00DD47DF" w:rsidRDefault="00AA3134" w:rsidP="007957E8">
      <w:pPr>
        <w:pStyle w:val="Standardntext"/>
      </w:pPr>
      <w:r w:rsidRPr="00DD47DF">
        <w:t>Integrovan</w:t>
      </w:r>
      <w:r w:rsidR="00D60C74" w:rsidRPr="00DD47DF">
        <w:t>á opatření pro udržitelný rozvoj měst</w:t>
      </w:r>
      <w:r w:rsidRPr="00DD47DF">
        <w:t xml:space="preserve"> se </w:t>
      </w:r>
      <w:r w:rsidR="00D60C74" w:rsidRPr="00DD47DF">
        <w:t xml:space="preserve">v OP PIK </w:t>
      </w:r>
      <w:r w:rsidRPr="00DD47DF">
        <w:t xml:space="preserve">realizují </w:t>
      </w:r>
      <w:r w:rsidR="00587A0C" w:rsidRPr="00DD47DF">
        <w:t xml:space="preserve">výhradně </w:t>
      </w:r>
      <w:r w:rsidRPr="00DD47DF">
        <w:t xml:space="preserve">prostřednictvím </w:t>
      </w:r>
      <w:r w:rsidRPr="00DD47DF">
        <w:rPr>
          <w:b/>
        </w:rPr>
        <w:t xml:space="preserve">integrovaných </w:t>
      </w:r>
      <w:r w:rsidR="00D60C74" w:rsidRPr="00DD47DF">
        <w:rPr>
          <w:b/>
        </w:rPr>
        <w:t>územních investic</w:t>
      </w:r>
      <w:r w:rsidR="00D60C74" w:rsidRPr="00DD47DF">
        <w:t xml:space="preserve"> </w:t>
      </w:r>
      <w:r w:rsidR="007957E8" w:rsidRPr="00DD47DF">
        <w:t>(viz oddíl 4.3).</w:t>
      </w:r>
    </w:p>
    <w:p w14:paraId="19472F4A" w14:textId="77777777" w:rsidR="00263E78" w:rsidRPr="00DD47DF" w:rsidRDefault="00D94782" w:rsidP="004E6DD3">
      <w:pPr>
        <w:pStyle w:val="Titulek"/>
        <w:keepNext/>
        <w:keepLines/>
      </w:pPr>
      <w:r w:rsidRPr="00DD47DF">
        <w:lastRenderedPageBreak/>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20</w:t>
      </w:r>
      <w:r w:rsidR="002756E7" w:rsidRPr="00DD47DF">
        <w:rPr>
          <w:noProof/>
        </w:rPr>
        <w:fldChar w:fldCharType="end"/>
      </w:r>
      <w:r w:rsidR="009F444D" w:rsidRPr="00DD47DF">
        <w:rPr>
          <w:noProof/>
        </w:rPr>
        <w:t>:</w:t>
      </w:r>
      <w:r w:rsidR="00263E78" w:rsidRPr="00DD47DF">
        <w:t xml:space="preserve"> </w:t>
      </w:r>
      <w:r w:rsidR="00833413" w:rsidRPr="00DD47DF">
        <w:t>Integrovaná opatření pro udržitelný rozvoj měst – orientační částky podpory z EFRR a ESF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292"/>
        <w:gridCol w:w="3585"/>
        <w:gridCol w:w="4449"/>
      </w:tblGrid>
      <w:tr w:rsidR="00263E78" w:rsidRPr="00DD47DF" w14:paraId="40D10620" w14:textId="77777777">
        <w:trPr>
          <w:trHeight w:val="441"/>
        </w:trPr>
        <w:tc>
          <w:tcPr>
            <w:tcW w:w="0" w:type="auto"/>
            <w:vMerge w:val="restart"/>
            <w:shd w:val="clear" w:color="auto" w:fill="B8CCE4"/>
            <w:vAlign w:val="center"/>
          </w:tcPr>
          <w:p w14:paraId="5AEDF7CF" w14:textId="77777777" w:rsidR="00263E78" w:rsidRPr="00DD47DF" w:rsidRDefault="00263E78" w:rsidP="004E6DD3">
            <w:pPr>
              <w:pStyle w:val="Tabulka"/>
              <w:keepNext/>
              <w:keepLines/>
              <w:rPr>
                <w:rFonts w:cs="Calibri"/>
                <w:b/>
                <w:lang w:eastAsia="en-US"/>
              </w:rPr>
            </w:pPr>
            <w:r w:rsidRPr="00DD47DF">
              <w:rPr>
                <w:rFonts w:cs="Calibri"/>
                <w:b/>
                <w:lang w:eastAsia="en-US"/>
              </w:rPr>
              <w:t>Fond</w:t>
            </w:r>
          </w:p>
        </w:tc>
        <w:tc>
          <w:tcPr>
            <w:tcW w:w="3585" w:type="dxa"/>
            <w:vMerge w:val="restart"/>
            <w:shd w:val="clear" w:color="auto" w:fill="B8CCE4"/>
            <w:vAlign w:val="center"/>
          </w:tcPr>
          <w:p w14:paraId="76489670" w14:textId="77777777" w:rsidR="00263E78" w:rsidRPr="00DD47DF" w:rsidRDefault="00833413" w:rsidP="004E6DD3">
            <w:pPr>
              <w:pStyle w:val="Tabulka"/>
              <w:keepNext/>
              <w:keepLines/>
              <w:rPr>
                <w:rFonts w:cs="Calibri"/>
                <w:b/>
                <w:lang w:eastAsia="en-US"/>
              </w:rPr>
            </w:pPr>
            <w:r w:rsidRPr="00DD47DF">
              <w:rPr>
                <w:rFonts w:cs="Calibri"/>
                <w:b/>
                <w:color w:val="000000"/>
                <w:kern w:val="32"/>
                <w:lang w:eastAsia="en-US"/>
              </w:rPr>
              <w:t>Podpora z EFRR a ESF (orientačně) (v EUR)</w:t>
            </w:r>
          </w:p>
        </w:tc>
        <w:tc>
          <w:tcPr>
            <w:tcW w:w="4449" w:type="dxa"/>
            <w:vMerge w:val="restart"/>
            <w:shd w:val="clear" w:color="auto" w:fill="B8CCE4"/>
            <w:vAlign w:val="center"/>
          </w:tcPr>
          <w:p w14:paraId="59C04983" w14:textId="77777777" w:rsidR="00263E78" w:rsidRPr="00DD47DF" w:rsidRDefault="00833413" w:rsidP="004E6DD3">
            <w:pPr>
              <w:pStyle w:val="Tabulka"/>
              <w:keepNext/>
              <w:keepLines/>
              <w:rPr>
                <w:rFonts w:cs="Calibri"/>
                <w:b/>
                <w:lang w:eastAsia="en-US"/>
              </w:rPr>
            </w:pPr>
            <w:r w:rsidRPr="00DD47DF">
              <w:rPr>
                <w:rFonts w:cs="Calibri"/>
                <w:b/>
                <w:color w:val="000000"/>
                <w:kern w:val="32"/>
                <w:lang w:eastAsia="en-US"/>
              </w:rPr>
              <w:t>Podíl celkového přídělu fondu na operační program</w:t>
            </w:r>
          </w:p>
        </w:tc>
      </w:tr>
      <w:tr w:rsidR="00263E78" w:rsidRPr="00DD47DF" w14:paraId="2EA1DA8C" w14:textId="77777777">
        <w:trPr>
          <w:trHeight w:val="373"/>
        </w:trPr>
        <w:tc>
          <w:tcPr>
            <w:tcW w:w="0" w:type="auto"/>
            <w:vMerge/>
            <w:shd w:val="clear" w:color="auto" w:fill="B8CCE4"/>
            <w:vAlign w:val="center"/>
          </w:tcPr>
          <w:p w14:paraId="2DE4C3CE" w14:textId="77777777" w:rsidR="00263E78" w:rsidRPr="00DD47DF" w:rsidRDefault="00263E78" w:rsidP="004E6DD3">
            <w:pPr>
              <w:pStyle w:val="Tabulka"/>
              <w:keepNext/>
              <w:keepLines/>
              <w:rPr>
                <w:rFonts w:cs="Calibri"/>
                <w:lang w:eastAsia="en-US"/>
              </w:rPr>
            </w:pPr>
          </w:p>
        </w:tc>
        <w:tc>
          <w:tcPr>
            <w:tcW w:w="3585" w:type="dxa"/>
            <w:vMerge/>
            <w:shd w:val="clear" w:color="auto" w:fill="B8CCE4"/>
            <w:vAlign w:val="center"/>
          </w:tcPr>
          <w:p w14:paraId="3C3888EF" w14:textId="77777777" w:rsidR="00263E78" w:rsidRPr="00DD47DF" w:rsidRDefault="00263E78" w:rsidP="004E6DD3">
            <w:pPr>
              <w:pStyle w:val="Tabulka"/>
              <w:keepNext/>
              <w:keepLines/>
              <w:rPr>
                <w:rFonts w:cs="Calibri"/>
                <w:color w:val="000000"/>
                <w:kern w:val="32"/>
                <w:lang w:eastAsia="en-US"/>
              </w:rPr>
            </w:pPr>
          </w:p>
        </w:tc>
        <w:tc>
          <w:tcPr>
            <w:tcW w:w="4449" w:type="dxa"/>
            <w:vMerge/>
            <w:shd w:val="clear" w:color="auto" w:fill="B8CCE4"/>
            <w:vAlign w:val="center"/>
          </w:tcPr>
          <w:p w14:paraId="5FE9FD28" w14:textId="77777777" w:rsidR="00263E78" w:rsidRPr="00DD47DF" w:rsidRDefault="00263E78" w:rsidP="004E6DD3">
            <w:pPr>
              <w:pStyle w:val="Tabulka"/>
              <w:keepNext/>
              <w:keepLines/>
              <w:rPr>
                <w:rFonts w:cs="Calibri"/>
                <w:color w:val="000000"/>
                <w:kern w:val="32"/>
                <w:lang w:eastAsia="en-US"/>
              </w:rPr>
            </w:pPr>
          </w:p>
        </w:tc>
      </w:tr>
      <w:tr w:rsidR="00355CBB" w:rsidRPr="00DD47DF" w14:paraId="3DAB123D" w14:textId="77777777">
        <w:tc>
          <w:tcPr>
            <w:tcW w:w="0" w:type="auto"/>
            <w:vAlign w:val="center"/>
          </w:tcPr>
          <w:p w14:paraId="1249FFBC" w14:textId="77777777" w:rsidR="00355CBB" w:rsidRPr="00DD47DF" w:rsidRDefault="00355CBB" w:rsidP="004E6DD3">
            <w:pPr>
              <w:pStyle w:val="Tabulka"/>
              <w:keepNext/>
              <w:keepLines/>
              <w:jc w:val="left"/>
              <w:rPr>
                <w:rFonts w:cs="Calibri"/>
                <w:lang w:eastAsia="en-US"/>
              </w:rPr>
            </w:pPr>
            <w:r w:rsidRPr="00DD47DF">
              <w:rPr>
                <w:rFonts w:cs="Calibri"/>
                <w:lang w:eastAsia="en-US"/>
              </w:rPr>
              <w:t>Celkem EFRR</w:t>
            </w:r>
          </w:p>
        </w:tc>
        <w:tc>
          <w:tcPr>
            <w:tcW w:w="3585" w:type="dxa"/>
            <w:vAlign w:val="center"/>
          </w:tcPr>
          <w:p w14:paraId="3BE47EBA" w14:textId="31CA42A9" w:rsidR="00355CBB" w:rsidRPr="00DD47DF" w:rsidRDefault="00A436D2" w:rsidP="00DF6C15">
            <w:pPr>
              <w:pStyle w:val="Tabulka"/>
              <w:keepNext/>
              <w:keepLines/>
              <w:rPr>
                <w:rFonts w:cs="Calibri"/>
                <w:lang w:eastAsia="en-US"/>
              </w:rPr>
            </w:pPr>
            <w:r w:rsidRPr="00700E39">
              <w:rPr>
                <w:rFonts w:cs="Calibri"/>
                <w:lang w:eastAsia="en-US"/>
              </w:rPr>
              <w:t>149 714 815</w:t>
            </w:r>
          </w:p>
        </w:tc>
        <w:tc>
          <w:tcPr>
            <w:tcW w:w="4449" w:type="dxa"/>
            <w:vAlign w:val="center"/>
          </w:tcPr>
          <w:p w14:paraId="47DE7E96" w14:textId="376C1DB8" w:rsidR="00355CBB" w:rsidRPr="00DD47DF" w:rsidRDefault="00A436D2" w:rsidP="004E6DD3">
            <w:pPr>
              <w:pStyle w:val="Tabulka"/>
              <w:keepNext/>
              <w:keepLines/>
              <w:rPr>
                <w:rFonts w:cs="Calibri"/>
                <w:lang w:eastAsia="en-US"/>
              </w:rPr>
            </w:pPr>
            <w:r w:rsidRPr="00700E39">
              <w:rPr>
                <w:rFonts w:cs="Calibri"/>
                <w:lang w:eastAsia="en-US"/>
              </w:rPr>
              <w:t>3,46</w:t>
            </w:r>
            <w:r w:rsidR="00AE2DC8" w:rsidRPr="00DD47DF">
              <w:rPr>
                <w:rFonts w:cs="Calibri"/>
                <w:lang w:eastAsia="en-US"/>
              </w:rPr>
              <w:t xml:space="preserve"> %</w:t>
            </w:r>
          </w:p>
        </w:tc>
      </w:tr>
    </w:tbl>
    <w:p w14:paraId="66E78E84" w14:textId="77777777" w:rsidR="002F6CB3" w:rsidRPr="00DD47DF" w:rsidRDefault="00833413" w:rsidP="00833413">
      <w:pPr>
        <w:pStyle w:val="Nadpis2"/>
      </w:pPr>
      <w:bookmarkStart w:id="120" w:name="_Toc520445326"/>
      <w:r w:rsidRPr="00DD47DF">
        <w:rPr>
          <w:rFonts w:cs="Calibri"/>
        </w:rPr>
        <w:t>Integrované územní investice</w:t>
      </w:r>
      <w:bookmarkEnd w:id="120"/>
    </w:p>
    <w:p w14:paraId="5C534E6B" w14:textId="77777777" w:rsidR="002C6857" w:rsidRPr="006B1878" w:rsidRDefault="002C6857" w:rsidP="002C6857">
      <w:pPr>
        <w:pStyle w:val="Standardntext"/>
      </w:pPr>
      <w:r w:rsidRPr="006B1878">
        <w:t>Integrované územní investice (dále také „ITI“) budou v souladu s čl. 36 obecného nařízení a na základě jejich vymezení ve Strategii regionálního rozvoje ČR 2014-2020 využity v největších metropolitních oblastech celostátního významu</w:t>
      </w:r>
      <w:r w:rsidRPr="006B1878">
        <w:rPr>
          <w:rStyle w:val="Znakapoznpodarou"/>
        </w:rPr>
        <w:footnoteReference w:id="83"/>
      </w:r>
      <w:r w:rsidRPr="006B1878">
        <w:t xml:space="preserve">. </w:t>
      </w:r>
    </w:p>
    <w:p w14:paraId="02F4515E" w14:textId="77777777" w:rsidR="002C6857" w:rsidRPr="003D5BD2" w:rsidRDefault="002C6857" w:rsidP="002C6857">
      <w:pPr>
        <w:pStyle w:val="Standardntext"/>
      </w:pPr>
      <w:r w:rsidRPr="006B1878">
        <w:t>Integrované územní investice budou naplňovány projekty spolufinancovanými z různých operačních programů a budou obsaženy v integrované strategii (podle čl. 7 odst. 4 nařízení  o EFRR jde o „udržitelnou městskou strategii“). Nositelem integrované strategie bude určené jádrové město příslušné městské aglomerace (metropolitní oblasti).</w:t>
      </w:r>
      <w:r w:rsidRPr="003D5BD2">
        <w:t xml:space="preserve">  </w:t>
      </w:r>
    </w:p>
    <w:p w14:paraId="71E2253D" w14:textId="77777777" w:rsidR="002C6857" w:rsidRPr="001F72D8" w:rsidRDefault="002C6857" w:rsidP="002C6857">
      <w:pPr>
        <w:pStyle w:val="Standardntext"/>
      </w:pPr>
      <w:r w:rsidRPr="006B4B07">
        <w:t xml:space="preserve">Město v roli nositele integrované strategie bude pověřeno veřejnoprávní smlouvou uzavřenou s řídicím orgánem operačního programu  k výkonu </w:t>
      </w:r>
      <w:r w:rsidRPr="001F72D8">
        <w:t xml:space="preserve">funkce zprostředkujícího subjektu ve smyslu čl. 123 odst. 6 obecného nařízení a čl. 7 odst. 5 nařízení o EFRR v rozsahu posuzování souladu projektů/operací s konkrétní integrovanou strategií. </w:t>
      </w:r>
    </w:p>
    <w:p w14:paraId="0BBB87CE" w14:textId="77777777" w:rsidR="002C6857" w:rsidRPr="001F72D8" w:rsidRDefault="002C6857" w:rsidP="002C6857">
      <w:pPr>
        <w:pStyle w:val="Standardntext"/>
      </w:pPr>
      <w:r w:rsidRPr="001F72D8">
        <w:t>Každá z metropolitních oblastí může předložit ke schválení a realizaci jednu integrovanou strategii, která vyhodnocuje problémy a potenciál daného území, definuje své cíle, stanoví indikátory a k jejich dosažení vymezí ve finančním plánu potřebnou alokaci z OP PIK. Výběr strategií bude probíhat ve  dvou kolech – kontrola formálních náležitostí a kontrola přijatelnosti (provede Ministerstvo pro místní rozvoj) a obsahové posouzení souladu strategie s cíli, zaměřením a podmínkami OP PIK (provede ŘO OP PIK). Zároveň platí, že každá integrovaná strategie musí být v souladu s Národní RIS3. Projekty, které budou vycházet z integrované strategie a budou v souladu s Národní RIS3, budou v procesu hodnocení Řídícím orgánem OP PIK bonifikovány. Jestliže integrovaná strategie úspěšně projde oběma koly výběru, vyhotoví řídící orgán Prohlášení o akceptaci integrované strategie, která bude obsahovat všechny klíčové parametry schvalované integrované strategie. Poté je strategie projednána Národní stálou konferencí, která na základě předložených dokumentů doporučí ministrovi pro místní rozvoj podpis memoranda o realizaci integrovaných strategií s nositeli integrovaných nástrojů</w:t>
      </w:r>
      <w:r w:rsidRPr="001F72D8">
        <w:rPr>
          <w:rStyle w:val="Znakapoznpodarou"/>
        </w:rPr>
        <w:footnoteReference w:id="84"/>
      </w:r>
      <w:r w:rsidRPr="001F72D8">
        <w:t>, jenž vyhověly požadavkům hodnotícího procesu a byly akceptovány všemi dotčenými řídícími orgány.</w:t>
      </w:r>
    </w:p>
    <w:p w14:paraId="3455B0F2" w14:textId="77777777" w:rsidR="002C6857" w:rsidRPr="001F72D8" w:rsidRDefault="002C6857" w:rsidP="002C6857">
      <w:pPr>
        <w:pStyle w:val="Standardntext"/>
      </w:pPr>
      <w:r w:rsidRPr="001F72D8">
        <w:lastRenderedPageBreak/>
        <w:t>ŘO OP PIK na základě výsledku hodnocení integrovaných strategií</w:t>
      </w:r>
      <w:r w:rsidRPr="00275489">
        <w:t xml:space="preserve"> zarezervuje v rámci operačního programu finanční alokaci pro realizaci projektů vycházejících z těchto strategií. ŘO OP PIK dále bude prostřednictvím Monitorovacího výboru programu stanovovat kritéria pro čerpání těchto alokací pro danou metropolitní oblast, rozhodovat o zrušení příslušné části rezervace finančních alokací v případě nepl</w:t>
      </w:r>
      <w:r w:rsidRPr="001F72D8">
        <w:t xml:space="preserve">nění podmínek ze strany nositele integrované strategie, vyhlašovat příslušné výzvy pro předkládání integrovaných projektů do příslušných specifických cílů operačního programu. Vlastní hodnocení a podíl nositele ITI na tomto procesu budou upraveny ve veřejnoprávní smlouvě uzavřené mezi ŘO OP PIK a  nositelem ITI.  </w:t>
      </w:r>
    </w:p>
    <w:p w14:paraId="5671F5DA" w14:textId="77777777" w:rsidR="002C6857" w:rsidRPr="001F72D8" w:rsidRDefault="002C6857" w:rsidP="002C6857">
      <w:pPr>
        <w:pStyle w:val="Standardntext"/>
      </w:pPr>
      <w:r w:rsidRPr="001F72D8">
        <w:t xml:space="preserve">ITI budou soustředěny převážně na realizaci větších strategických projektů, které mají významný pozitivní dopad pro řešená území; podpořeny mohou být i menší projekty, které větší projekty vhodně doplní pro dosažení žádoucích synergických efektů. Projekty předkládané v rámci integrovaných strategií (dále také „integrované projekty“) do výzev OP PIK musí respektovat podmínky stanovené ŘO OP PIK a musí plnit předem stanovená, závazná kritéria  včetně zajištění monitorování a vyhodnocení. Integrovaný projekt bude posuzován nositelem zejména z hlediska jeho vazby na příslušnou integrovanou strategii a příspěvku k naplňování této strategie. </w:t>
      </w:r>
    </w:p>
    <w:p w14:paraId="6CF1800A" w14:textId="77777777" w:rsidR="002C6857" w:rsidRPr="00EF300C" w:rsidRDefault="002C6857" w:rsidP="002C6857">
      <w:pPr>
        <w:pStyle w:val="Standardntext"/>
      </w:pPr>
      <w:r w:rsidRPr="001F72D8">
        <w:t>Bližší specifikace přípravy, hodnocení, schvalování, implementace a monitorování ITI je součástí Metodického pokynu pro využití integrovaných nástrojů v programovém období 2014 – 2020, systém řízení výzev Metodickým pokynem pro řízení výzev, hodnocení a výběr projektů v programovém období 2014 – 2020 a řídicí dokumentací OP PIK.</w:t>
      </w:r>
    </w:p>
    <w:p w14:paraId="07C9E34B" w14:textId="77777777" w:rsidR="002D66D6" w:rsidRPr="00DD47DF" w:rsidRDefault="002C6857" w:rsidP="002C6857">
      <w:pPr>
        <w:pStyle w:val="Standardntext"/>
      </w:pPr>
      <w:r w:rsidRPr="00EF300C">
        <w:t>V rámci principu víceúrovňového partnerství j</w:t>
      </w:r>
      <w:r>
        <w:t>e</w:t>
      </w:r>
      <w:r w:rsidRPr="003D5BD2">
        <w:t xml:space="preserve"> </w:t>
      </w:r>
      <w:r>
        <w:t xml:space="preserve">také </w:t>
      </w:r>
      <w:r w:rsidRPr="003D5BD2">
        <w:t>zřízena platforma Národní stálé konference, která bude  zajišťovat vzájemnou provázanost a koordinaci realizace územní dimenze, a to prostřednictvím zapojení řídících orgánů a regionálních i dalších partnerů. Pro rozhodování ŘO OP PIK ve věci implementace programu budou mít výstupy z jednání Národní stálé konference doporučující charakter.</w:t>
      </w:r>
    </w:p>
    <w:p w14:paraId="672157D6" w14:textId="77777777" w:rsidR="004E680E" w:rsidRPr="00DD47DF" w:rsidRDefault="00833413" w:rsidP="00833413">
      <w:pPr>
        <w:pStyle w:val="Nadpis2"/>
        <w:rPr>
          <w:rFonts w:cs="Calibri"/>
        </w:rPr>
      </w:pPr>
      <w:bookmarkStart w:id="121" w:name="_Toc520445327"/>
      <w:r w:rsidRPr="00DD47DF">
        <w:rPr>
          <w:rFonts w:cs="Calibri"/>
        </w:rPr>
        <w:t>Ujednání pro meziregionální a nadnárodní opatření v rámci operačního programu s příjemci, kteří se nacházejí alespoň v jednom dalším členském státu</w:t>
      </w:r>
      <w:bookmarkEnd w:id="121"/>
    </w:p>
    <w:p w14:paraId="0533914D" w14:textId="77777777" w:rsidR="00F44C65" w:rsidRPr="00DD47DF" w:rsidRDefault="00626DF9" w:rsidP="00F44C65">
      <w:pPr>
        <w:pStyle w:val="Standardntext"/>
      </w:pPr>
      <w:r w:rsidRPr="00DD47DF">
        <w:t xml:space="preserve">Pokud se shledá relevantním pro tento operační program, Řídící orgán OP PIK přezkoumá možnost podpořit spolupráci s příjemci majícími sídlo alespoň v jednom dalším státě Evropské unie prostřednictvím realizace meziregionálních a mezinárodních kooperačních </w:t>
      </w:r>
      <w:r w:rsidR="00F44C65" w:rsidRPr="00DD47DF">
        <w:t>aktivit.</w:t>
      </w:r>
    </w:p>
    <w:p w14:paraId="2659E14F" w14:textId="77777777" w:rsidR="009D1858" w:rsidRPr="00DD47DF" w:rsidRDefault="009D1858" w:rsidP="009D1858">
      <w:pPr>
        <w:pStyle w:val="Nadpis2"/>
        <w:rPr>
          <w:rFonts w:cs="Calibri"/>
        </w:rPr>
      </w:pPr>
      <w:bookmarkStart w:id="122" w:name="_Toc520445328"/>
      <w:r w:rsidRPr="00DD47DF">
        <w:rPr>
          <w:rFonts w:cs="Calibri"/>
        </w:rPr>
        <w:t>Přínos plánovaných opatření programu k realizaci makroregionálních strategií a strategií pro přímořské oblasti v závislosti na potřebách programové oblasti určených příslušným členským státem</w:t>
      </w:r>
      <w:bookmarkEnd w:id="122"/>
    </w:p>
    <w:p w14:paraId="61255F3A" w14:textId="77777777" w:rsidR="00383382" w:rsidRPr="00DD47DF" w:rsidRDefault="00A85820" w:rsidP="00A85820">
      <w:pPr>
        <w:pStyle w:val="Standardntext"/>
        <w:rPr>
          <w:bCs/>
        </w:rPr>
      </w:pPr>
      <w:r w:rsidRPr="00DD47DF">
        <w:t>OP PIK je koncipován tak, aby přispíval k dosažení hospodářské, sociální a územní soudržnosti. Jako jedno z východisek pro tento účel byla vzata pro ČR relevantní makroregionální strategie - Strategie EU pro Podunají</w:t>
      </w:r>
      <w:r w:rsidR="00B44BDE" w:rsidRPr="00DD47DF">
        <w:t>,</w:t>
      </w:r>
      <w:r w:rsidRPr="00DD47DF">
        <w:t xml:space="preserve"> </w:t>
      </w:r>
      <w:r w:rsidR="00383382" w:rsidRPr="00DD47DF">
        <w:t xml:space="preserve">která je Makroregionální strategií Evropské unie. Tato strategie je definována jako integrovaný rámec pro spolupráci, vztahující se k členským státům EU i třetím zemím ze stejné geografické oblasti, za účelem řešení společných výzev a posílení spolupráce s cílem dosažení ekonomické, sociální a teritoriální soudržnosti. Implementace makroregionálních strategií se řídí tzv. principem trojí neutrality (pravidlo 3NE): rozpočtová/finanční neutralita (žádné dodatečné výdaje), legislativní neutralita </w:t>
      </w:r>
      <w:r w:rsidR="00383382" w:rsidRPr="00DD47DF">
        <w:lastRenderedPageBreak/>
        <w:t xml:space="preserve">(žádná nová legislativa) a institucionální neutralita (žádné nové instituce). V rámci Strategie pro Podunají byl zpracován Akční plán </w:t>
      </w:r>
      <w:r w:rsidR="00383382" w:rsidRPr="00DD47DF">
        <w:rPr>
          <w:bCs/>
        </w:rPr>
        <w:t>definující čtyři pilíře rozpracované do jedenácti prioritních oblastí. Každá z prioritních oblastí obsahuje své cíle a jejich plnění rozpracovává do akcí.</w:t>
      </w:r>
    </w:p>
    <w:p w14:paraId="71C31181" w14:textId="77777777" w:rsidR="00383382" w:rsidRPr="00DD47DF" w:rsidRDefault="00A85820" w:rsidP="00383382">
      <w:pPr>
        <w:pStyle w:val="Standardntext"/>
        <w:rPr>
          <w:bCs/>
        </w:rPr>
      </w:pPr>
      <w:r w:rsidRPr="00DD47DF">
        <w:rPr>
          <w:bCs/>
        </w:rPr>
        <w:t xml:space="preserve">Strategii EU pro Podunají, konkrétně pak čtyři vybrané prioritní oblasti jejího Akčního plánu, je možno provádět prostřednictvím aktivit OP PIK, kam byly promítnuty následujícím způsobem. </w:t>
      </w:r>
      <w:r w:rsidR="00383382" w:rsidRPr="00DD47DF">
        <w:rPr>
          <w:bCs/>
        </w:rPr>
        <w:t xml:space="preserve">Pro prioritní oblast 2 </w:t>
      </w:r>
      <w:r w:rsidR="00EA5DD7" w:rsidRPr="00DD47DF">
        <w:rPr>
          <w:bCs/>
        </w:rPr>
        <w:t xml:space="preserve">Strategie </w:t>
      </w:r>
      <w:r w:rsidR="00383382" w:rsidRPr="00DD47DF">
        <w:rPr>
          <w:bCs/>
        </w:rPr>
        <w:t xml:space="preserve">„Podpora udržitelné energetiky“ půjde zejména o realizaci specifických cílů </w:t>
      </w:r>
      <w:r w:rsidR="00EA5DD7" w:rsidRPr="00DD47DF">
        <w:rPr>
          <w:bCs/>
        </w:rPr>
        <w:t xml:space="preserve">OP PIK </w:t>
      </w:r>
      <w:r w:rsidR="00383382" w:rsidRPr="00DD47DF">
        <w:rPr>
          <w:bCs/>
        </w:rPr>
        <w:t xml:space="preserve">3.1, 3.2 a 3.5. V prioritní oblasti 7 </w:t>
      </w:r>
      <w:r w:rsidR="00EA5DD7" w:rsidRPr="00DD47DF">
        <w:rPr>
          <w:bCs/>
        </w:rPr>
        <w:t xml:space="preserve">Strategie </w:t>
      </w:r>
      <w:r w:rsidR="00383382" w:rsidRPr="00DD47DF">
        <w:rPr>
          <w:bCs/>
        </w:rPr>
        <w:t xml:space="preserve">„Rozvoj znalostní společnosti pomocí výzkumu, vzdělávání a informačních technologií“ se jedná o specifické cíle </w:t>
      </w:r>
      <w:r w:rsidR="00EA5DD7" w:rsidRPr="00DD47DF">
        <w:rPr>
          <w:bCs/>
        </w:rPr>
        <w:t xml:space="preserve">OP PIK </w:t>
      </w:r>
      <w:r w:rsidR="00383382" w:rsidRPr="00DD47DF">
        <w:rPr>
          <w:bCs/>
        </w:rPr>
        <w:t xml:space="preserve">1.1, 1.2 a 4.1. K naplnění cílů prioritní oblasti 8 </w:t>
      </w:r>
      <w:r w:rsidR="00EA5DD7" w:rsidRPr="00DD47DF">
        <w:rPr>
          <w:bCs/>
        </w:rPr>
        <w:t xml:space="preserve">Strategie </w:t>
      </w:r>
      <w:r w:rsidR="00383382" w:rsidRPr="00DD47DF">
        <w:rPr>
          <w:bCs/>
        </w:rPr>
        <w:t xml:space="preserve">„Podpora konkurenceschopnosti podniků“ budou přispívat specifické cíle </w:t>
      </w:r>
      <w:r w:rsidR="00CC4005" w:rsidRPr="00DD47DF">
        <w:rPr>
          <w:bCs/>
        </w:rPr>
        <w:t xml:space="preserve">OP PIK </w:t>
      </w:r>
      <w:r w:rsidR="00383382" w:rsidRPr="00DD47DF">
        <w:rPr>
          <w:bCs/>
        </w:rPr>
        <w:t xml:space="preserve">2.1, 2.2 a 3.4. V rámci prioritní oblasti 9 </w:t>
      </w:r>
      <w:r w:rsidR="00CC4005" w:rsidRPr="00DD47DF">
        <w:rPr>
          <w:bCs/>
        </w:rPr>
        <w:t xml:space="preserve">Strategie </w:t>
      </w:r>
      <w:r w:rsidR="00383382" w:rsidRPr="00DD47DF">
        <w:rPr>
          <w:bCs/>
        </w:rPr>
        <w:t>„Investice do lidí a dovedností“ je uvedena podpora kreativity a podnikavosti, která svých charakterem odpovídá náplni prioritních os 1 a 2 OP PIK.</w:t>
      </w:r>
    </w:p>
    <w:p w14:paraId="63836F1B" w14:textId="77777777" w:rsidR="00383382" w:rsidRPr="00DD47DF" w:rsidRDefault="00383382" w:rsidP="00383382">
      <w:pPr>
        <w:pStyle w:val="Standardntext"/>
      </w:pPr>
      <w:r w:rsidRPr="00DD47DF">
        <w:t>Mechanismy koordinace budou zajištěny ad hoc konzultacemi se členy řídících výborů pro Strategii EU pro Podunají. Tato vazba umožní nejen přenos cílů uvedených priorit Strategie EU pro Podunají při programování ve vazbě na vypisování výzev, ale zohlední tak</w:t>
      </w:r>
      <w:r w:rsidR="00A85820" w:rsidRPr="00DD47DF">
        <w:t>é</w:t>
      </w:r>
      <w:r w:rsidRPr="00DD47DF">
        <w:t xml:space="preserve"> priority České republiky ve společném stanovení konkrétních cílů makroregionu prostřednictvím činnosti těchto zástupců v řídících výborech.</w:t>
      </w:r>
      <w:r w:rsidR="00A85820" w:rsidRPr="00DD47DF">
        <w:t xml:space="preserve"> </w:t>
      </w:r>
      <w:r w:rsidR="00A85820" w:rsidRPr="00DD47DF">
        <w:rPr>
          <w:bCs/>
        </w:rPr>
        <w:t>V řídících výborech pro Strategii EU pro Podunají jsou zastoupeni zástupci příslušných ministerstev ČR, jakož i jejich resortní kolegové z ostatních států účastnících se Strategie. Pravidelných jednání těchto řídících výborů je tak možno využít i ke spolupráci s představiteli dalších států. Vzhledem k tomu, že na okraj jednání bývají účastny též různé dotčené strany ze států zapojených do Strategie (např. zástupci akademické sféry, podnikatelské sféry či neziskové organizace, které mohou patřit mezi příjemce), dochází zde ke zpětné vazbě mezi všemi aktéry, jichž se Strategie EU pro Podunají dotýká. Obdobně funguje spolupráce u příležitosti Výročních fór Strategie EU pro Podunají, jež jsou organizována za účasti všech prioritních oblastí Strategie.</w:t>
      </w:r>
    </w:p>
    <w:p w14:paraId="444A58B8" w14:textId="77777777" w:rsidR="00383382" w:rsidRPr="00DD47DF" w:rsidRDefault="00383382" w:rsidP="009D1858">
      <w:pPr>
        <w:pStyle w:val="Standardntext"/>
      </w:pPr>
    </w:p>
    <w:p w14:paraId="733A529F" w14:textId="77777777" w:rsidR="004E680E" w:rsidRPr="00DD47DF" w:rsidRDefault="00F64D76" w:rsidP="009F444D">
      <w:pPr>
        <w:pStyle w:val="Nadpis1"/>
      </w:pPr>
      <w:bookmarkStart w:id="123" w:name="_Toc520445329"/>
      <w:r w:rsidRPr="00DD47DF">
        <w:lastRenderedPageBreak/>
        <w:t>Specifické</w:t>
      </w:r>
      <w:r w:rsidR="009F444D" w:rsidRPr="00DD47DF">
        <w:t xml:space="preserve"> potřeby zeměpisných oblastí nejvíce postižených chudobou nebo cílových skupin, jimž nejvíce hrozí diskriminace nebo sociální vyloučení</w:t>
      </w:r>
      <w:bookmarkEnd w:id="123"/>
    </w:p>
    <w:p w14:paraId="1F809E6A" w14:textId="77777777" w:rsidR="004E680E" w:rsidRPr="00DD47DF" w:rsidRDefault="009F444D" w:rsidP="00F64D76">
      <w:pPr>
        <w:pStyle w:val="Nadpis2"/>
      </w:pPr>
      <w:bookmarkStart w:id="124" w:name="_Toc520445330"/>
      <w:r w:rsidRPr="00DD47DF">
        <w:t>Zeměpisné oblasti nejvíce postižené chudobou</w:t>
      </w:r>
      <w:r w:rsidR="00F64D76" w:rsidRPr="00DD47DF">
        <w:t xml:space="preserve"> </w:t>
      </w:r>
      <w:r w:rsidRPr="00DD47DF">
        <w:t>/</w:t>
      </w:r>
      <w:r w:rsidR="00F64D76" w:rsidRPr="00DD47DF">
        <w:t xml:space="preserve"> </w:t>
      </w:r>
      <w:r w:rsidRPr="00DD47DF">
        <w:t>cílové skupiny, jimž nejvíce hrozí diskriminace</w:t>
      </w:r>
      <w:r w:rsidR="00F64D76" w:rsidRPr="00DD47DF">
        <w:t xml:space="preserve"> nebo sociální vyloučení</w:t>
      </w:r>
      <w:bookmarkEnd w:id="124"/>
    </w:p>
    <w:p w14:paraId="244A1DB4" w14:textId="77777777" w:rsidR="00EA28B0" w:rsidRPr="00DD47DF" w:rsidRDefault="00EA28B0" w:rsidP="00EA28B0">
      <w:pPr>
        <w:pStyle w:val="Standardntext"/>
      </w:pPr>
      <w:r w:rsidRPr="00DD47DF">
        <w:t xml:space="preserve">Dle </w:t>
      </w:r>
      <w:r w:rsidRPr="00DD47DF">
        <w:rPr>
          <w:b/>
        </w:rPr>
        <w:t>analýzy regionální konkurenceschopnosti</w:t>
      </w:r>
      <w:r w:rsidRPr="00DD47DF">
        <w:t xml:space="preserve"> obsažené ve </w:t>
      </w:r>
      <w:r w:rsidRPr="00DD47DF">
        <w:rPr>
          <w:rFonts w:cs="Calibri"/>
        </w:rPr>
        <w:t>Strategii regionálního rozvoje ČR pro období 2014 – 2020</w:t>
      </w:r>
      <w:r w:rsidRPr="00DD47DF">
        <w:t>, která posuzuje jednotlivé regiony ČR z hlediska 32 socioekonomických ukazatelů (v oblastech jako velikost trhu, technologická připravenost, sofistikovanost podnikání, inovace a dalších) vyplývá, že za komplexně nekonkurenceschopné regiony je možno jednoznačně určit Ústecký a Karlovarský kraj. Dva vůbec nejslabší mikroregiony jsou lokalizovány rovněž v Moravskoslezském kraji. Zlepšení situace v těchto regionech vyžaduje vysoké investice do podpory podnikatelských subjektů, technologické infrastruktury, lidských zdrojů atd.</w:t>
      </w:r>
    </w:p>
    <w:p w14:paraId="4A624A06" w14:textId="77777777" w:rsidR="00EA28B0" w:rsidRPr="00DD47DF" w:rsidRDefault="00EA28B0" w:rsidP="00EA28B0">
      <w:pPr>
        <w:pStyle w:val="Standardntext"/>
      </w:pPr>
      <w:r w:rsidRPr="00DD47DF">
        <w:t xml:space="preserve">Jak je uvedeno v oddíle 4, OP PIK se zaměřuje na </w:t>
      </w:r>
      <w:r w:rsidRPr="00DD47DF">
        <w:rPr>
          <w:i/>
        </w:rPr>
        <w:t>hospodářsky problémové regiony a území s vysokou mírou nezaměstnanosti</w:t>
      </w:r>
      <w:r w:rsidRPr="00DD47DF">
        <w:t xml:space="preserve">. Vymezení </w:t>
      </w:r>
      <w:r w:rsidRPr="00DD47DF">
        <w:rPr>
          <w:b/>
        </w:rPr>
        <w:t>hospodářsky problémových regionů</w:t>
      </w:r>
      <w:r w:rsidRPr="00DD47DF">
        <w:t xml:space="preserve"> vychází ze SRR</w:t>
      </w:r>
      <w:r w:rsidRPr="00DD47DF">
        <w:rPr>
          <w:rFonts w:cs="Calibri"/>
        </w:rPr>
        <w:t>, která vymezuje tyto regiony na úrovni obcí s rozšířenou působností při zohlednění několika ukazatelů</w:t>
      </w:r>
      <w:r w:rsidRPr="00DD47DF">
        <w:t xml:space="preserve"> (HDP, míra nezaměstnanosti, zadluženost obce s rozšířenou působností na 1 obyvatele, dávky v hmotné nouzi, saldo migrace na 1000 obyvatel). Na tomto základě SRR identifikuje 57 hospodářsky problémových regionů, které představují dohromady 2 621 740 obyvatel, což odpovídá 24,8 % počtu obyvatel ČR při rozloze 24,7% ČR. Obecně lze říci, že vysoké míry nezaměstnanosti dominují v příhraničních oblastech a ve vnitřních periferiích. Konkrétní seznam hospodářsky problémových regionů je obsažen v příloze SRR, která byla schválena usnesením vlády ČR ze dne 15. května 2013 č. 344. Územní rozmístění těchto regionů v rámci ČR zobrazuje mapa níže.</w:t>
      </w:r>
    </w:p>
    <w:p w14:paraId="37BE9488" w14:textId="567E7090" w:rsidR="00EA28B0" w:rsidRPr="00DD47DF" w:rsidRDefault="00835DA2" w:rsidP="00EA28B0">
      <w:pPr>
        <w:pStyle w:val="Standardntext"/>
      </w:pPr>
      <w:r w:rsidRPr="00835DA2">
        <w:t>V kategorii hospodářsky problémových regionů a území s vysokou mírou nezaměstnanosti jsou také obsaženy regiony dle usnesení vlády ČR ze dne 19. října 2015 č. 826, tj. Moravskoslezský, Ústecký kraj a Karlovarský kraj, popř. zde budou zahrnuty regiony dle dalších budoucích usnesení vlády ČR týkajících se hospodářsky problémových regionů ČR.</w:t>
      </w:r>
      <w:r w:rsidR="00EA28B0" w:rsidRPr="00DD47DF">
        <w:t xml:space="preserve"> Rovněž dle SRR je v oblasti trhu práce dlouhodobě nejproblémovějším regionem Ústecký kraj, druhým problémovým územím je Moravskoslezský kraj (oba z hlediska míry nezaměstnanosti i míry dlouhodobé nezaměstnanosti).</w:t>
      </w:r>
      <w:r w:rsidR="00EA28B0" w:rsidRPr="00DD47DF">
        <w:rPr>
          <w:rStyle w:val="Znakapoznpodarou"/>
        </w:rPr>
        <w:footnoteReference w:id="85"/>
      </w:r>
      <w:r w:rsidR="00EA28B0" w:rsidRPr="00DD47DF">
        <w:t xml:space="preserve"> Regiony s největším výskytem dlouhodobé nezaměstnanosti lze dle SRR rovněž zařadit mezi sociálně vyloučené lokality či oblasti s potenciálem sociálního vyloučení (viz také oddíl 3.1.5 Dohody o partnerství).</w:t>
      </w:r>
    </w:p>
    <w:p w14:paraId="255502C5" w14:textId="77777777" w:rsidR="00EA28B0" w:rsidRPr="00DD47DF" w:rsidRDefault="00EA28B0" w:rsidP="00EA28B0">
      <w:pPr>
        <w:pStyle w:val="Standardntext"/>
      </w:pPr>
      <w:r w:rsidRPr="00DD47DF">
        <w:t xml:space="preserve">V úzké součinnosti se zmocněncem vlády pro řešení problémů spojených s revitalizací Moravskoslezského a Ústeckého kraje bude specifická podpora zaměřena na tyto dva kraje, které nejvíce ze všech krajů ČR čelí - vedle nadprůměrné míry nezaměstnanosti - také dlouhodobě selektivní migraci a nízké míře podnikavosti. Moravskoslezský kraj vykazuje nejhorší postavení z hlediska podílu MSP na celkové zaměstnanosti v ČR. Ústecký kraj dlouhodobě řeší dramatickou stagnaci aplikovaného průmyslového výzkumu a vývoje jako zdroje inovačních impulsů pro rozvoj malého a středního podnikání a nízké míře využití bývalých průmyslových areálů. Pokud jde o vlastní podporu MSP a vstupu lidí do podnikání je </w:t>
      </w:r>
      <w:r w:rsidRPr="00DD47DF">
        <w:lastRenderedPageBreak/>
        <w:t>potřebnost podpory i absorpční kapacita mezi regiony v podstatě rovnoměrně rozložená, nicméně potřebu specifické pozornosti vykazují zejména hospodářsky problémové regiony.</w:t>
      </w:r>
    </w:p>
    <w:p w14:paraId="4957FF7B" w14:textId="77777777" w:rsidR="00EA28B0" w:rsidRPr="00DD47DF" w:rsidRDefault="00EA28B0" w:rsidP="00EA28B0">
      <w:pPr>
        <w:pStyle w:val="Titulek"/>
        <w:keepNext/>
      </w:pPr>
      <w:r w:rsidRPr="00DD47DF">
        <w:t>Obrázek: Mapa hospodářsky problémových regionů a území s vysokou mírou nezaměstnanosti</w:t>
      </w:r>
    </w:p>
    <w:p w14:paraId="4FF0E933" w14:textId="77777777" w:rsidR="00450C8F" w:rsidRPr="00DD47DF" w:rsidRDefault="00EA28B0" w:rsidP="00EA28B0">
      <w:pPr>
        <w:pStyle w:val="Standardntext"/>
      </w:pPr>
      <w:r w:rsidRPr="00DD47DF">
        <w:rPr>
          <w:noProof/>
        </w:rPr>
        <w:drawing>
          <wp:inline distT="0" distB="0" distL="0" distR="0" wp14:anchorId="4AFC3186" wp14:editId="4804CA34">
            <wp:extent cx="5849620" cy="3709035"/>
            <wp:effectExtent l="0" t="0" r="0" b="571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orp_kraje+orp.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49620" cy="3709035"/>
                    </a:xfrm>
                    <a:prstGeom prst="rect">
                      <a:avLst/>
                    </a:prstGeom>
                  </pic:spPr>
                </pic:pic>
              </a:graphicData>
            </a:graphic>
          </wp:inline>
        </w:drawing>
      </w:r>
    </w:p>
    <w:p w14:paraId="682F295C" w14:textId="77777777" w:rsidR="001731F7" w:rsidRPr="00DD47DF" w:rsidRDefault="001731F7" w:rsidP="00787406">
      <w:pPr>
        <w:pStyle w:val="Standardntext"/>
      </w:pPr>
    </w:p>
    <w:p w14:paraId="74529479" w14:textId="77777777" w:rsidR="004E680E" w:rsidRPr="00DD47DF" w:rsidRDefault="00F64D76" w:rsidP="00F64D76">
      <w:pPr>
        <w:pStyle w:val="Nadpis2"/>
      </w:pPr>
      <w:bookmarkStart w:id="125" w:name="_Toc520445331"/>
      <w:r w:rsidRPr="00DD47DF">
        <w:t>Strategie pro řešení specifických potřeb zeměpisných oblastí nejvíce postižených chudobou / cílových skupin, jimž nejvíce hrozí diskriminace nebo sociální vyloučení a případně přínos k integrovanému přístupu stanovenému za tímto účelem v dohodě o partnerství</w:t>
      </w:r>
      <w:bookmarkEnd w:id="125"/>
    </w:p>
    <w:p w14:paraId="1F16CEEF" w14:textId="77777777" w:rsidR="00EA28B0" w:rsidRPr="00DD47DF" w:rsidRDefault="00EA28B0" w:rsidP="00EA28B0">
      <w:pPr>
        <w:pStyle w:val="Standardntext"/>
      </w:pPr>
      <w:r w:rsidRPr="00DD47DF">
        <w:t>V souladu s Dohodou o partnerství budou specifické potřeby výše vymezených hospodářsky problémových regionů a území s vysokou mírou nezaměstnanosti jakožto sociálně vyloučených lokalit zohledněny pomocí preference tohoto typu území. V podmínkách OP PIK to znamená, že budou bonifikovány projekty realizované malými a středními podniky na území hospodářsky problémových regionů a území s vysokou mírou nezaměstnanosti.</w:t>
      </w:r>
    </w:p>
    <w:p w14:paraId="490D6CBB" w14:textId="77777777" w:rsidR="00EA28B0" w:rsidRPr="00DD47DF" w:rsidRDefault="00EA28B0" w:rsidP="00EA28B0">
      <w:pPr>
        <w:pStyle w:val="Standardntext"/>
      </w:pPr>
      <w:r w:rsidRPr="00DD47DF">
        <w:t xml:space="preserve">Cílovou skupinou jsou tedy podnikatelské subjekty (malé a střední podniky), které budou prostřednictvím své činnosti stimulovat ekonomickou aktivitu v daných lokalitách a tím přispívat ke zmírnění dopadů sociální exkluze a zlepšení kvality života osob zde žijících. Růst nabídky pracovních míst díky vzniku nových a rozvoji existujících podnikatelských aktivit  bude </w:t>
      </w:r>
      <w:r w:rsidR="00861E58" w:rsidRPr="00DD47DF">
        <w:t xml:space="preserve">přímo </w:t>
      </w:r>
      <w:r w:rsidR="00727734" w:rsidRPr="00DD47DF">
        <w:t xml:space="preserve">monitorován </w:t>
      </w:r>
      <w:r w:rsidRPr="00DD47DF">
        <w:t>prostřednictvím společného indikátoru výstupu „Zvýšení zaměstnanosti v podporovaných podnicích“.</w:t>
      </w:r>
    </w:p>
    <w:p w14:paraId="23112DD5" w14:textId="77777777" w:rsidR="002256CD" w:rsidRPr="00DD47DF" w:rsidRDefault="00EA28B0" w:rsidP="00EA28B0">
      <w:pPr>
        <w:pStyle w:val="Standardntext"/>
      </w:pPr>
      <w:r w:rsidRPr="00DD47DF">
        <w:lastRenderedPageBreak/>
        <w:t xml:space="preserve">Provázanost jednotlivých opatření směřujících ke zlepšení socio-ekonomické situace v sociálně vyloučených lokalitách bude mj. zajištěna prostřednictvím naplňování příslušných cílů </w:t>
      </w:r>
      <w:r w:rsidR="002256CD" w:rsidRPr="00DD47DF">
        <w:t xml:space="preserve">jednotlivých </w:t>
      </w:r>
      <w:r w:rsidRPr="00DD47DF">
        <w:t xml:space="preserve">integrovaných strategií ze strany nositelů </w:t>
      </w:r>
      <w:r w:rsidR="002256CD" w:rsidRPr="00DD47DF">
        <w:t xml:space="preserve">těch </w:t>
      </w:r>
      <w:r w:rsidRPr="00DD47DF">
        <w:t>integrovaných územích investic</w:t>
      </w:r>
      <w:r w:rsidR="002256CD" w:rsidRPr="00DD47DF">
        <w:t>, na jejichž území se hospodářsky problémové regiony a území s vysokou mírou nezaměstnanosti nachází</w:t>
      </w:r>
      <w:r w:rsidRPr="00DD47DF">
        <w:t xml:space="preserve"> (</w:t>
      </w:r>
      <w:r w:rsidR="002256CD" w:rsidRPr="00DD47DF">
        <w:t>zejména Ostravská, Ústecko-Chomutovská či Olomoucká ITI)</w:t>
      </w:r>
      <w:r w:rsidRPr="00DD47DF">
        <w:t>.</w:t>
      </w:r>
    </w:p>
    <w:p w14:paraId="65180D6F" w14:textId="77777777" w:rsidR="00EB504A" w:rsidRPr="00DD47DF" w:rsidRDefault="00EB504A" w:rsidP="00EB504A">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21</w:t>
      </w:r>
      <w:r w:rsidR="002756E7" w:rsidRPr="00DD47DF">
        <w:rPr>
          <w:noProof/>
        </w:rPr>
        <w:fldChar w:fldCharType="end"/>
      </w:r>
      <w:r w:rsidRPr="00DD47DF">
        <w:rPr>
          <w:noProof/>
        </w:rPr>
        <w:t>:</w:t>
      </w:r>
      <w:r w:rsidRPr="00DD47DF">
        <w:t xml:space="preserve"> Opatření pro řešení specifických potřeb zeměpisných oblastí nejvíce postižených chudobou  / cílových skupin, jimž nejvíce hrozí diskriminace nebo sociální vyloučení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68"/>
        <w:gridCol w:w="2742"/>
        <w:gridCol w:w="992"/>
        <w:gridCol w:w="709"/>
        <w:gridCol w:w="1043"/>
        <w:gridCol w:w="2272"/>
      </w:tblGrid>
      <w:tr w:rsidR="00A94514" w:rsidRPr="00DD47DF" w14:paraId="7C86A139" w14:textId="77777777" w:rsidTr="00466CFC">
        <w:trPr>
          <w:trHeight w:val="879"/>
        </w:trPr>
        <w:tc>
          <w:tcPr>
            <w:tcW w:w="1568" w:type="dxa"/>
            <w:shd w:val="clear" w:color="auto" w:fill="B8CCE4"/>
            <w:vAlign w:val="center"/>
          </w:tcPr>
          <w:p w14:paraId="66C838FC" w14:textId="77777777" w:rsidR="00A94514" w:rsidRPr="00DD47DF" w:rsidRDefault="00A94514" w:rsidP="00D162A4">
            <w:pPr>
              <w:pStyle w:val="Tabulka"/>
              <w:keepNext/>
              <w:keepLines/>
              <w:rPr>
                <w:rFonts w:cs="Calibri"/>
                <w:b/>
                <w:lang w:eastAsia="en-US"/>
              </w:rPr>
            </w:pPr>
            <w:r w:rsidRPr="00DD47DF">
              <w:rPr>
                <w:rFonts w:cs="Calibri"/>
                <w:b/>
                <w:lang w:eastAsia="en-US"/>
              </w:rPr>
              <w:t>Cílová skupina / zeměpisná oblast</w:t>
            </w:r>
          </w:p>
        </w:tc>
        <w:tc>
          <w:tcPr>
            <w:tcW w:w="2742" w:type="dxa"/>
            <w:shd w:val="clear" w:color="auto" w:fill="B8CCE4"/>
            <w:vAlign w:val="center"/>
          </w:tcPr>
          <w:p w14:paraId="2A3EF756" w14:textId="77777777" w:rsidR="00A94514" w:rsidRPr="00DD47DF" w:rsidRDefault="00A94514" w:rsidP="00D162A4">
            <w:pPr>
              <w:pStyle w:val="Tabulka"/>
              <w:keepNext/>
              <w:keepLines/>
              <w:rPr>
                <w:rFonts w:cs="Calibri"/>
                <w:b/>
                <w:lang w:eastAsia="en-US"/>
              </w:rPr>
            </w:pPr>
            <w:r w:rsidRPr="00DD47DF">
              <w:rPr>
                <w:rFonts w:cs="Calibri"/>
                <w:b/>
                <w:color w:val="000000"/>
                <w:kern w:val="32"/>
                <w:lang w:eastAsia="en-US"/>
              </w:rPr>
              <w:t>Hlavní typy plánovaného opatření jakožto součást integrovaného přístupu</w:t>
            </w:r>
          </w:p>
        </w:tc>
        <w:tc>
          <w:tcPr>
            <w:tcW w:w="992" w:type="dxa"/>
            <w:shd w:val="clear" w:color="auto" w:fill="B8CCE4"/>
            <w:vAlign w:val="center"/>
          </w:tcPr>
          <w:p w14:paraId="4CA36546" w14:textId="77777777" w:rsidR="00A94514" w:rsidRPr="00DD47DF" w:rsidRDefault="00A94514" w:rsidP="00D162A4">
            <w:pPr>
              <w:pStyle w:val="Tabulka"/>
              <w:keepNext/>
              <w:keepLines/>
              <w:rPr>
                <w:rFonts w:cs="Calibri"/>
                <w:b/>
                <w:lang w:eastAsia="en-US"/>
              </w:rPr>
            </w:pPr>
            <w:r w:rsidRPr="00DD47DF">
              <w:rPr>
                <w:rFonts w:cs="Calibri"/>
                <w:b/>
                <w:color w:val="000000"/>
                <w:kern w:val="32"/>
                <w:lang w:eastAsia="en-US"/>
              </w:rPr>
              <w:t>Prioritní osa</w:t>
            </w:r>
          </w:p>
        </w:tc>
        <w:tc>
          <w:tcPr>
            <w:tcW w:w="709" w:type="dxa"/>
            <w:shd w:val="clear" w:color="auto" w:fill="B8CCE4"/>
            <w:vAlign w:val="center"/>
          </w:tcPr>
          <w:p w14:paraId="33710FC3" w14:textId="77777777" w:rsidR="00A94514" w:rsidRPr="00DD47DF" w:rsidRDefault="00A94514" w:rsidP="00D162A4">
            <w:pPr>
              <w:pStyle w:val="Tabulka"/>
              <w:keepNext/>
              <w:keepLines/>
              <w:rPr>
                <w:rFonts w:cs="Calibri"/>
                <w:b/>
                <w:color w:val="000000"/>
                <w:kern w:val="32"/>
                <w:lang w:eastAsia="en-US"/>
              </w:rPr>
            </w:pPr>
            <w:r w:rsidRPr="00DD47DF">
              <w:rPr>
                <w:rFonts w:cs="Calibri"/>
                <w:b/>
                <w:color w:val="000000"/>
                <w:kern w:val="32"/>
                <w:lang w:eastAsia="en-US"/>
              </w:rPr>
              <w:t>Fond</w:t>
            </w:r>
          </w:p>
        </w:tc>
        <w:tc>
          <w:tcPr>
            <w:tcW w:w="1043" w:type="dxa"/>
            <w:shd w:val="clear" w:color="auto" w:fill="B8CCE4"/>
            <w:vAlign w:val="center"/>
          </w:tcPr>
          <w:p w14:paraId="137683CF" w14:textId="77777777" w:rsidR="00A94514" w:rsidRPr="00DD47DF" w:rsidRDefault="00A94514" w:rsidP="00D162A4">
            <w:pPr>
              <w:pStyle w:val="Tabulka"/>
              <w:keepNext/>
              <w:keepLines/>
              <w:rPr>
                <w:rFonts w:cs="Calibri"/>
                <w:b/>
                <w:color w:val="000000"/>
                <w:kern w:val="32"/>
                <w:lang w:eastAsia="en-US"/>
              </w:rPr>
            </w:pPr>
            <w:r w:rsidRPr="00DD47DF">
              <w:rPr>
                <w:rFonts w:cs="Calibri"/>
                <w:b/>
                <w:color w:val="000000"/>
                <w:kern w:val="32"/>
                <w:lang w:eastAsia="en-US"/>
              </w:rPr>
              <w:t>Kategorie regionů</w:t>
            </w:r>
          </w:p>
        </w:tc>
        <w:tc>
          <w:tcPr>
            <w:tcW w:w="2272" w:type="dxa"/>
            <w:shd w:val="clear" w:color="auto" w:fill="B8CCE4"/>
            <w:vAlign w:val="center"/>
          </w:tcPr>
          <w:p w14:paraId="44AB591E" w14:textId="77777777" w:rsidR="00A94514" w:rsidRPr="00DD47DF" w:rsidRDefault="00A94514" w:rsidP="00D162A4">
            <w:pPr>
              <w:pStyle w:val="Tabulka"/>
              <w:keepNext/>
              <w:keepLines/>
              <w:rPr>
                <w:rFonts w:cs="Calibri"/>
                <w:b/>
                <w:color w:val="000000"/>
                <w:kern w:val="32"/>
                <w:lang w:eastAsia="en-US"/>
              </w:rPr>
            </w:pPr>
            <w:r w:rsidRPr="00DD47DF">
              <w:rPr>
                <w:rFonts w:cs="Calibri"/>
                <w:b/>
                <w:color w:val="000000"/>
                <w:kern w:val="32"/>
                <w:lang w:eastAsia="en-US"/>
              </w:rPr>
              <w:t>Investiční priorita</w:t>
            </w:r>
          </w:p>
        </w:tc>
      </w:tr>
      <w:tr w:rsidR="00A94514" w:rsidRPr="00DD47DF" w14:paraId="4462314E" w14:textId="77777777" w:rsidTr="00466CFC">
        <w:tc>
          <w:tcPr>
            <w:tcW w:w="1568" w:type="dxa"/>
            <w:vAlign w:val="center"/>
          </w:tcPr>
          <w:p w14:paraId="53E3F2EE" w14:textId="77777777" w:rsidR="00A94514" w:rsidRPr="00DD47DF" w:rsidRDefault="00A94514" w:rsidP="00D162A4">
            <w:pPr>
              <w:pStyle w:val="Tabulka"/>
              <w:keepNext/>
              <w:keepLines/>
              <w:jc w:val="left"/>
              <w:rPr>
                <w:rFonts w:cs="Calibri"/>
                <w:lang w:eastAsia="en-US"/>
              </w:rPr>
            </w:pPr>
            <w:r w:rsidRPr="00DD47DF">
              <w:rPr>
                <w:rFonts w:cs="Calibri"/>
                <w:lang w:eastAsia="en-US"/>
              </w:rPr>
              <w:t>Hospodářsky problémové regiony a území s vysokou mírou nezaměstnanosti</w:t>
            </w:r>
          </w:p>
        </w:tc>
        <w:tc>
          <w:tcPr>
            <w:tcW w:w="2742" w:type="dxa"/>
            <w:vAlign w:val="center"/>
          </w:tcPr>
          <w:p w14:paraId="6AEB6B9A" w14:textId="77777777" w:rsidR="00A94514" w:rsidRPr="00DD47DF" w:rsidRDefault="00A94514" w:rsidP="00D162A4">
            <w:pPr>
              <w:pStyle w:val="Tabulka"/>
              <w:keepNext/>
              <w:keepLines/>
              <w:jc w:val="left"/>
              <w:rPr>
                <w:rFonts w:cs="Calibri"/>
                <w:lang w:eastAsia="en-US"/>
              </w:rPr>
            </w:pPr>
            <w:r w:rsidRPr="00DD47DF">
              <w:rPr>
                <w:rFonts w:cs="Calibri"/>
                <w:lang w:eastAsia="en-US"/>
              </w:rPr>
              <w:t>Bonifikace projektů v cílové zeměpisné oblasti.</w:t>
            </w:r>
          </w:p>
          <w:p w14:paraId="648BD64C" w14:textId="77777777" w:rsidR="00A94514" w:rsidRPr="00DD47DF" w:rsidRDefault="00A94514" w:rsidP="00D162A4">
            <w:pPr>
              <w:pStyle w:val="Tabulka"/>
              <w:keepNext/>
              <w:keepLines/>
              <w:jc w:val="left"/>
              <w:rPr>
                <w:rFonts w:cs="Calibri"/>
                <w:lang w:eastAsia="en-US"/>
              </w:rPr>
            </w:pPr>
            <w:r w:rsidRPr="00DD47DF">
              <w:rPr>
                <w:rFonts w:cs="Calibri"/>
                <w:lang w:eastAsia="en-US"/>
              </w:rPr>
              <w:t>Řídící orgán po úvodních plošných výzvách návazně zváží cílené vyhlášení omezených specifických výzev směřovaných výhradně do cílových zeměpisných oblastí.</w:t>
            </w:r>
          </w:p>
          <w:p w14:paraId="63A91C6A" w14:textId="77777777" w:rsidR="004905C4" w:rsidRPr="00DD47DF" w:rsidRDefault="004905C4" w:rsidP="004905C4">
            <w:pPr>
              <w:pStyle w:val="Tabulka"/>
              <w:keepNext/>
              <w:keepLines/>
              <w:jc w:val="left"/>
              <w:rPr>
                <w:rFonts w:cs="Calibri"/>
                <w:lang w:eastAsia="en-US"/>
              </w:rPr>
            </w:pPr>
            <w:r w:rsidRPr="00DD47DF">
              <w:rPr>
                <w:rFonts w:cs="Calibri"/>
                <w:lang w:eastAsia="en-US"/>
              </w:rPr>
              <w:t>Příspěvek OP PIK k relevantním ITI, na jejichž území se cílové zeměpisné oblasti nachází.</w:t>
            </w:r>
          </w:p>
        </w:tc>
        <w:tc>
          <w:tcPr>
            <w:tcW w:w="992" w:type="dxa"/>
            <w:vAlign w:val="center"/>
          </w:tcPr>
          <w:p w14:paraId="69B4038B" w14:textId="77777777" w:rsidR="00A94514" w:rsidRPr="00DD47DF" w:rsidRDefault="00A94514" w:rsidP="00D162A4">
            <w:pPr>
              <w:pStyle w:val="Tabulka"/>
              <w:keepNext/>
              <w:keepLines/>
              <w:jc w:val="left"/>
              <w:rPr>
                <w:rFonts w:cs="Calibri"/>
                <w:lang w:eastAsia="en-US"/>
              </w:rPr>
            </w:pPr>
            <w:r w:rsidRPr="00DD47DF">
              <w:rPr>
                <w:rFonts w:cs="Calibri"/>
                <w:lang w:eastAsia="en-US"/>
              </w:rPr>
              <w:t>PO 2</w:t>
            </w:r>
          </w:p>
        </w:tc>
        <w:tc>
          <w:tcPr>
            <w:tcW w:w="709" w:type="dxa"/>
            <w:vAlign w:val="center"/>
          </w:tcPr>
          <w:p w14:paraId="39F8E10F" w14:textId="77777777" w:rsidR="00A94514" w:rsidRPr="00DD47DF" w:rsidRDefault="00A94514" w:rsidP="00D162A4">
            <w:pPr>
              <w:pStyle w:val="Tabulka"/>
              <w:keepNext/>
              <w:keepLines/>
              <w:jc w:val="left"/>
              <w:rPr>
                <w:rFonts w:cs="Calibri"/>
                <w:lang w:eastAsia="en-US"/>
              </w:rPr>
            </w:pPr>
            <w:r w:rsidRPr="00DD47DF">
              <w:rPr>
                <w:rFonts w:cs="Calibri"/>
                <w:lang w:eastAsia="en-US"/>
              </w:rPr>
              <w:t>EFRR</w:t>
            </w:r>
          </w:p>
        </w:tc>
        <w:tc>
          <w:tcPr>
            <w:tcW w:w="1043" w:type="dxa"/>
            <w:vAlign w:val="center"/>
          </w:tcPr>
          <w:p w14:paraId="1BDED611" w14:textId="77777777" w:rsidR="00A94514" w:rsidRPr="00DD47DF" w:rsidRDefault="00A94514" w:rsidP="00D162A4">
            <w:pPr>
              <w:pStyle w:val="Tabulka"/>
              <w:keepNext/>
              <w:keepLines/>
              <w:jc w:val="left"/>
              <w:rPr>
                <w:rFonts w:cs="Calibri"/>
                <w:lang w:eastAsia="en-US"/>
              </w:rPr>
            </w:pPr>
            <w:r w:rsidRPr="00DD47DF">
              <w:rPr>
                <w:rFonts w:cs="Calibri"/>
                <w:lang w:eastAsia="en-US"/>
              </w:rPr>
              <w:t>Méně rozvinuté regiony</w:t>
            </w:r>
          </w:p>
        </w:tc>
        <w:tc>
          <w:tcPr>
            <w:tcW w:w="2272" w:type="dxa"/>
            <w:vAlign w:val="center"/>
          </w:tcPr>
          <w:p w14:paraId="4EC706F1" w14:textId="77777777" w:rsidR="00A94514" w:rsidRPr="00DD47DF" w:rsidRDefault="00A94514" w:rsidP="00D162A4">
            <w:pPr>
              <w:pStyle w:val="Tabulka"/>
              <w:keepNext/>
              <w:keepLines/>
              <w:jc w:val="left"/>
              <w:rPr>
                <w:rFonts w:cs="Calibri"/>
                <w:lang w:eastAsia="en-US"/>
              </w:rPr>
            </w:pPr>
            <w:r w:rsidRPr="00DD47DF">
              <w:rPr>
                <w:rFonts w:cs="Calibri"/>
                <w:lang w:eastAsia="en-US"/>
              </w:rPr>
              <w:t xml:space="preserve">3 a) </w:t>
            </w:r>
            <w:r w:rsidRPr="00DD47DF">
              <w:rPr>
                <w:rFonts w:cs="Calibri"/>
              </w:rPr>
              <w:t>Podpora podnikání, zejména usnadněním hospodářského využívání nových myšlenek a podporou zakládání nových firem, mimo jiné prostřednictvím podnikatelských inkubátorů</w:t>
            </w:r>
          </w:p>
        </w:tc>
      </w:tr>
    </w:tbl>
    <w:p w14:paraId="060A4A71" w14:textId="77777777" w:rsidR="00D616ED" w:rsidRPr="00DD47DF" w:rsidRDefault="00D616ED" w:rsidP="008A5FCE">
      <w:pPr>
        <w:pStyle w:val="Standardntext"/>
      </w:pPr>
    </w:p>
    <w:p w14:paraId="53D68101" w14:textId="77777777" w:rsidR="00174180" w:rsidRPr="00DD47DF" w:rsidRDefault="00174180" w:rsidP="00174180">
      <w:pPr>
        <w:overflowPunct/>
        <w:jc w:val="both"/>
        <w:textAlignment w:val="auto"/>
        <w:rPr>
          <w:rFonts w:ascii="Calibri" w:hAnsi="Calibri" w:cs="Calibri"/>
          <w:color w:val="FF0000"/>
          <w:sz w:val="24"/>
          <w:szCs w:val="24"/>
        </w:rPr>
      </w:pPr>
    </w:p>
    <w:p w14:paraId="671FE6CB" w14:textId="77777777" w:rsidR="004E680E" w:rsidRPr="00DD47DF" w:rsidRDefault="00F64D76" w:rsidP="00F735EC">
      <w:pPr>
        <w:pStyle w:val="Nadpis1"/>
      </w:pPr>
      <w:bookmarkStart w:id="126" w:name="_Toc520445332"/>
      <w:r w:rsidRPr="00DD47DF">
        <w:lastRenderedPageBreak/>
        <w:t>Specifické</w:t>
      </w:r>
      <w:r w:rsidR="00F735EC" w:rsidRPr="00DD47DF">
        <w:t xml:space="preserve"> potřeby zeměpisných oblastí, které jsou </w:t>
      </w:r>
      <w:r w:rsidRPr="00DD47DF">
        <w:t>závažně a trvale znevýhodněny přírodními nebo demografickými podmínkami</w:t>
      </w:r>
      <w:bookmarkEnd w:id="126"/>
      <w:r w:rsidR="004E680E" w:rsidRPr="00DD47DF">
        <w:t xml:space="preserve"> </w:t>
      </w:r>
    </w:p>
    <w:p w14:paraId="4DE5D502" w14:textId="77777777" w:rsidR="00F735EC" w:rsidRPr="00DD47DF" w:rsidRDefault="000F7B0A" w:rsidP="008A5FCE">
      <w:pPr>
        <w:pStyle w:val="Standardntext"/>
      </w:pPr>
      <w:bookmarkStart w:id="127" w:name="_Toc351464430"/>
      <w:r w:rsidRPr="00DD47DF">
        <w:t>Není relevantní pro OP PIK.</w:t>
      </w:r>
    </w:p>
    <w:p w14:paraId="052990B6" w14:textId="77777777" w:rsidR="00174180" w:rsidRPr="00DD47DF" w:rsidRDefault="00174180" w:rsidP="00174180">
      <w:pPr>
        <w:overflowPunct/>
        <w:jc w:val="both"/>
        <w:textAlignment w:val="auto"/>
        <w:rPr>
          <w:rFonts w:ascii="Calibri" w:hAnsi="Calibri" w:cs="Calibri"/>
          <w:color w:val="FF0000"/>
          <w:sz w:val="24"/>
          <w:szCs w:val="24"/>
        </w:rPr>
      </w:pPr>
    </w:p>
    <w:p w14:paraId="26A14792" w14:textId="77777777" w:rsidR="009E6172" w:rsidRPr="00DD47DF" w:rsidRDefault="00F64D76" w:rsidP="00F735EC">
      <w:pPr>
        <w:pStyle w:val="Nadpis1"/>
      </w:pPr>
      <w:bookmarkStart w:id="128" w:name="_Toc520445333"/>
      <w:bookmarkEnd w:id="127"/>
      <w:r w:rsidRPr="00DD47DF">
        <w:lastRenderedPageBreak/>
        <w:t>O</w:t>
      </w:r>
      <w:r w:rsidR="00F735EC" w:rsidRPr="00DD47DF">
        <w:t xml:space="preserve">rgány </w:t>
      </w:r>
      <w:r w:rsidRPr="00DD47DF">
        <w:t xml:space="preserve">a subjekty </w:t>
      </w:r>
      <w:r w:rsidR="00F735EC" w:rsidRPr="00DD47DF">
        <w:t xml:space="preserve">odpovědné za řízení, kontrolu a audit a </w:t>
      </w:r>
      <w:r w:rsidRPr="00DD47DF">
        <w:t>úloha</w:t>
      </w:r>
      <w:r w:rsidR="00F735EC" w:rsidRPr="00DD47DF">
        <w:t xml:space="preserve"> </w:t>
      </w:r>
      <w:r w:rsidRPr="00DD47DF">
        <w:t xml:space="preserve">příslušných </w:t>
      </w:r>
      <w:r w:rsidR="00F735EC" w:rsidRPr="00DD47DF">
        <w:t>partnerů</w:t>
      </w:r>
      <w:bookmarkEnd w:id="128"/>
      <w:r w:rsidR="00BA4E72" w:rsidRPr="00DD47DF">
        <w:t xml:space="preserve"> </w:t>
      </w:r>
    </w:p>
    <w:p w14:paraId="14438163" w14:textId="77777777" w:rsidR="006A127B" w:rsidRPr="00DD47DF" w:rsidRDefault="00F64D76" w:rsidP="00F64D76">
      <w:pPr>
        <w:pStyle w:val="Nadpis2"/>
        <w:rPr>
          <w:rFonts w:cs="Calibri"/>
        </w:rPr>
      </w:pPr>
      <w:bookmarkStart w:id="129" w:name="_Toc520445334"/>
      <w:r w:rsidRPr="00DD47DF">
        <w:rPr>
          <w:rFonts w:cs="Calibri"/>
        </w:rPr>
        <w:t>Příslušné orgány a subjekty</w:t>
      </w:r>
      <w:bookmarkEnd w:id="129"/>
    </w:p>
    <w:p w14:paraId="7CC7622B" w14:textId="77777777" w:rsidR="00D10CBC" w:rsidRPr="00DD47DF" w:rsidRDefault="00D10CBC" w:rsidP="00167303">
      <w:pPr>
        <w:pStyle w:val="Titulek"/>
        <w:keepNext/>
        <w:keepLines/>
      </w:pPr>
      <w:r w:rsidRPr="00DD47DF">
        <w:t xml:space="preserve">Tabulka </w:t>
      </w:r>
      <w:r w:rsidR="002756E7" w:rsidRPr="00DD47DF">
        <w:fldChar w:fldCharType="begin"/>
      </w:r>
      <w:r w:rsidR="000E35F2" w:rsidRPr="00DD47DF">
        <w:instrText xml:space="preserve"> SEQ Tabulka \* ARABIC \r23 </w:instrText>
      </w:r>
      <w:r w:rsidR="002756E7" w:rsidRPr="00DD47DF">
        <w:fldChar w:fldCharType="separate"/>
      </w:r>
      <w:r w:rsidR="00117847">
        <w:rPr>
          <w:noProof/>
        </w:rPr>
        <w:t>23</w:t>
      </w:r>
      <w:r w:rsidR="002756E7" w:rsidRPr="00DD47DF">
        <w:rPr>
          <w:noProof/>
        </w:rPr>
        <w:fldChar w:fldCharType="end"/>
      </w:r>
      <w:r w:rsidRPr="00DD47DF">
        <w:t xml:space="preserve">: </w:t>
      </w:r>
      <w:r w:rsidR="00F64D76" w:rsidRPr="00DD47DF">
        <w:t>Příslušné orgány a subjekty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3686"/>
        <w:gridCol w:w="3366"/>
      </w:tblGrid>
      <w:tr w:rsidR="00D1521B" w:rsidRPr="00DD47DF" w14:paraId="4C6CDDCF" w14:textId="77777777">
        <w:tc>
          <w:tcPr>
            <w:tcW w:w="1260" w:type="pct"/>
            <w:shd w:val="clear" w:color="auto" w:fill="B8CCE4"/>
            <w:vAlign w:val="center"/>
          </w:tcPr>
          <w:p w14:paraId="080DF619" w14:textId="77777777" w:rsidR="00D1521B" w:rsidRPr="00DD47DF" w:rsidRDefault="00F64D76" w:rsidP="00F64D76">
            <w:pPr>
              <w:pStyle w:val="Tabulka"/>
              <w:keepNext/>
              <w:keepLines/>
              <w:rPr>
                <w:rFonts w:cs="Calibri"/>
                <w:b/>
              </w:rPr>
            </w:pPr>
            <w:r w:rsidRPr="00DD47DF">
              <w:rPr>
                <w:rFonts w:cs="Calibri"/>
                <w:b/>
              </w:rPr>
              <w:t>Orgán</w:t>
            </w:r>
            <w:r w:rsidR="00D1521B" w:rsidRPr="00DD47DF">
              <w:rPr>
                <w:rFonts w:cs="Calibri"/>
                <w:b/>
              </w:rPr>
              <w:t>/</w:t>
            </w:r>
            <w:r w:rsidRPr="00DD47DF">
              <w:rPr>
                <w:rFonts w:cs="Calibri"/>
                <w:b/>
              </w:rPr>
              <w:t>subjekt</w:t>
            </w:r>
          </w:p>
        </w:tc>
        <w:tc>
          <w:tcPr>
            <w:tcW w:w="1955" w:type="pct"/>
            <w:shd w:val="clear" w:color="auto" w:fill="B8CCE4"/>
            <w:vAlign w:val="center"/>
          </w:tcPr>
          <w:p w14:paraId="1AA6D4E8" w14:textId="77777777" w:rsidR="00D1521B" w:rsidRPr="00DD47DF" w:rsidRDefault="00D1521B" w:rsidP="00F64D76">
            <w:pPr>
              <w:pStyle w:val="Tabulka"/>
              <w:keepNext/>
              <w:keepLines/>
              <w:rPr>
                <w:rFonts w:cs="Calibri"/>
                <w:b/>
              </w:rPr>
            </w:pPr>
            <w:r w:rsidRPr="00DD47DF">
              <w:rPr>
                <w:rFonts w:cs="Calibri"/>
                <w:b/>
              </w:rPr>
              <w:t xml:space="preserve">Název </w:t>
            </w:r>
            <w:r w:rsidR="00F64D76" w:rsidRPr="00DD47DF">
              <w:rPr>
                <w:rFonts w:cs="Calibri"/>
                <w:b/>
              </w:rPr>
              <w:t>orgánu</w:t>
            </w:r>
            <w:r w:rsidRPr="00DD47DF">
              <w:rPr>
                <w:rFonts w:cs="Calibri"/>
                <w:b/>
              </w:rPr>
              <w:t>/</w:t>
            </w:r>
            <w:r w:rsidR="00F64D76" w:rsidRPr="00DD47DF">
              <w:rPr>
                <w:rFonts w:cs="Calibri"/>
                <w:b/>
              </w:rPr>
              <w:t xml:space="preserve">subjektu a </w:t>
            </w:r>
            <w:r w:rsidRPr="00DD47DF">
              <w:rPr>
                <w:rFonts w:cs="Calibri"/>
                <w:b/>
              </w:rPr>
              <w:t>odbor</w:t>
            </w:r>
            <w:r w:rsidR="00F64D76" w:rsidRPr="00DD47DF">
              <w:rPr>
                <w:rFonts w:cs="Calibri"/>
                <w:b/>
              </w:rPr>
              <w:t>u</w:t>
            </w:r>
            <w:r w:rsidRPr="00DD47DF">
              <w:rPr>
                <w:rFonts w:cs="Calibri"/>
                <w:b/>
              </w:rPr>
              <w:t xml:space="preserve"> či oddělení</w:t>
            </w:r>
          </w:p>
        </w:tc>
        <w:tc>
          <w:tcPr>
            <w:tcW w:w="1785" w:type="pct"/>
            <w:shd w:val="clear" w:color="auto" w:fill="B8CCE4"/>
            <w:vAlign w:val="center"/>
          </w:tcPr>
          <w:p w14:paraId="0D428820" w14:textId="77777777" w:rsidR="00D1521B" w:rsidRPr="00DD47DF" w:rsidRDefault="00F64D76" w:rsidP="00F64D76">
            <w:pPr>
              <w:pStyle w:val="Tabulka"/>
              <w:keepNext/>
              <w:keepLines/>
              <w:rPr>
                <w:rFonts w:cs="Calibri"/>
                <w:b/>
              </w:rPr>
            </w:pPr>
            <w:r w:rsidRPr="00DD47DF">
              <w:rPr>
                <w:rFonts w:cs="Calibri"/>
                <w:b/>
              </w:rPr>
              <w:t>Vedoucí orgánu/subjektu (pozice nebo funkce)</w:t>
            </w:r>
          </w:p>
        </w:tc>
      </w:tr>
      <w:tr w:rsidR="00D1521B" w:rsidRPr="00DD47DF" w14:paraId="00901F2C" w14:textId="77777777">
        <w:trPr>
          <w:trHeight w:val="325"/>
        </w:trPr>
        <w:tc>
          <w:tcPr>
            <w:tcW w:w="1260" w:type="pct"/>
            <w:vAlign w:val="center"/>
          </w:tcPr>
          <w:p w14:paraId="07863228" w14:textId="77777777" w:rsidR="00D1521B" w:rsidRPr="00DD47DF" w:rsidRDefault="00D1521B" w:rsidP="007D5FD2">
            <w:pPr>
              <w:pStyle w:val="Tabulka"/>
              <w:jc w:val="left"/>
              <w:rPr>
                <w:rFonts w:cs="Calibri"/>
                <w:b/>
              </w:rPr>
            </w:pPr>
            <w:r w:rsidRPr="00DD47DF">
              <w:rPr>
                <w:rFonts w:cs="Calibri"/>
                <w:b/>
              </w:rPr>
              <w:t>Řídící orgán</w:t>
            </w:r>
          </w:p>
        </w:tc>
        <w:tc>
          <w:tcPr>
            <w:tcW w:w="1955" w:type="pct"/>
            <w:vAlign w:val="center"/>
          </w:tcPr>
          <w:p w14:paraId="423EE7D9" w14:textId="77777777" w:rsidR="00D1521B" w:rsidRPr="00DD47DF" w:rsidRDefault="00D1521B" w:rsidP="00976E9C">
            <w:pPr>
              <w:pStyle w:val="Tabulka"/>
              <w:jc w:val="left"/>
              <w:rPr>
                <w:rFonts w:cs="Calibri"/>
              </w:rPr>
            </w:pPr>
            <w:r w:rsidRPr="00DD47DF">
              <w:rPr>
                <w:rFonts w:cs="Calibri"/>
              </w:rPr>
              <w:t>Mi</w:t>
            </w:r>
            <w:r w:rsidR="000E47D9" w:rsidRPr="00DD47DF">
              <w:rPr>
                <w:rFonts w:cs="Calibri"/>
              </w:rPr>
              <w:t>nisterstvo průmyslu a obchodu</w:t>
            </w:r>
            <w:r w:rsidR="00F05C0C" w:rsidRPr="00DD47DF">
              <w:rPr>
                <w:rStyle w:val="Znakapoznpodarou"/>
                <w:rFonts w:cs="Calibri"/>
              </w:rPr>
              <w:footnoteReference w:id="86"/>
            </w:r>
            <w:r w:rsidRPr="00DD47DF">
              <w:rPr>
                <w:rFonts w:cs="Calibri"/>
              </w:rPr>
              <w:t xml:space="preserve"> / </w:t>
            </w:r>
            <w:r w:rsidR="00976E9C" w:rsidRPr="00DD47DF">
              <w:rPr>
                <w:rFonts w:cs="Calibri"/>
              </w:rPr>
              <w:t>Útvar náměstka ministra pro fondy EU</w:t>
            </w:r>
          </w:p>
        </w:tc>
        <w:tc>
          <w:tcPr>
            <w:tcW w:w="1785" w:type="pct"/>
            <w:vAlign w:val="center"/>
          </w:tcPr>
          <w:p w14:paraId="025135F8" w14:textId="77777777" w:rsidR="00D1521B" w:rsidRPr="00DD47DF" w:rsidRDefault="000E0629" w:rsidP="000E0629">
            <w:pPr>
              <w:pStyle w:val="Tabulka"/>
              <w:jc w:val="left"/>
              <w:rPr>
                <w:rFonts w:cs="Calibri"/>
              </w:rPr>
            </w:pPr>
            <w:r w:rsidRPr="00DD47DF">
              <w:rPr>
                <w:rFonts w:cs="Calibri"/>
              </w:rPr>
              <w:t>N</w:t>
            </w:r>
            <w:r w:rsidR="00976E9C" w:rsidRPr="00DD47DF">
              <w:rPr>
                <w:rFonts w:cs="Calibri"/>
              </w:rPr>
              <w:t>áměstek ministra pro fondy EU</w:t>
            </w:r>
          </w:p>
        </w:tc>
      </w:tr>
      <w:tr w:rsidR="00FB33B3" w:rsidRPr="00DD47DF" w14:paraId="2E11D8A7" w14:textId="77777777">
        <w:trPr>
          <w:trHeight w:val="325"/>
        </w:trPr>
        <w:tc>
          <w:tcPr>
            <w:tcW w:w="1260" w:type="pct"/>
            <w:vAlign w:val="center"/>
          </w:tcPr>
          <w:p w14:paraId="340897AE" w14:textId="77777777" w:rsidR="00FB33B3" w:rsidRPr="00DD47DF" w:rsidRDefault="00FB33B3" w:rsidP="007D5FD2">
            <w:pPr>
              <w:pStyle w:val="Tabulka"/>
              <w:jc w:val="left"/>
              <w:rPr>
                <w:rFonts w:cs="Calibri"/>
                <w:b/>
              </w:rPr>
            </w:pPr>
            <w:r w:rsidRPr="00DD47DF">
              <w:rPr>
                <w:rFonts w:cs="Calibri"/>
                <w:b/>
              </w:rPr>
              <w:t xml:space="preserve">Zprostředkující subjekt </w:t>
            </w:r>
          </w:p>
        </w:tc>
        <w:tc>
          <w:tcPr>
            <w:tcW w:w="1955" w:type="pct"/>
            <w:vAlign w:val="center"/>
          </w:tcPr>
          <w:p w14:paraId="48AFBDA1" w14:textId="4BB1287E" w:rsidR="00370384" w:rsidRPr="00DD47DF" w:rsidRDefault="00370384" w:rsidP="00834D1C">
            <w:pPr>
              <w:pStyle w:val="Tabulka"/>
              <w:jc w:val="left"/>
              <w:rPr>
                <w:rFonts w:cs="Calibri"/>
              </w:rPr>
            </w:pPr>
            <w:r>
              <w:t xml:space="preserve">V roce </w:t>
            </w:r>
            <w:r w:rsidR="00834D1C">
              <w:t xml:space="preserve">2016 </w:t>
            </w:r>
            <w:r>
              <w:t>bude založena nová agentura, která bude plnit roli zprostředkujícího subjektu pro OP PIK. Tato agentura bude podřízena zákonu o státní službě, přičemž k podřízení agentury pod služební zákon dojde novelou zákona č. 47/20002 Sb., o podpoře malého a středního podnikání. Po přechodnou dobu budou zaměstnanci stávající agentury CzechInvest zabývající se implementací Evropských strukturálních a investičních fondů v rámci OP PIK  podřízeni obdobným pravidlům jako jsou pravidla zákona o státní službě</w:t>
            </w:r>
          </w:p>
        </w:tc>
        <w:tc>
          <w:tcPr>
            <w:tcW w:w="1785" w:type="pct"/>
            <w:vAlign w:val="center"/>
          </w:tcPr>
          <w:p w14:paraId="190AA4DE" w14:textId="77777777" w:rsidR="00370384" w:rsidRDefault="00370384" w:rsidP="00370384">
            <w:pPr>
              <w:pStyle w:val="Tabulka"/>
              <w:jc w:val="left"/>
            </w:pPr>
            <w:r>
              <w:t>Po přechodnou dobu: generální ředitel agentury pro podporu podnikání a investic Czech</w:t>
            </w:r>
            <w:r w:rsidR="00110890">
              <w:t>In</w:t>
            </w:r>
            <w:r>
              <w:t>vest.</w:t>
            </w:r>
          </w:p>
          <w:p w14:paraId="48638C80" w14:textId="77777777" w:rsidR="00DD47DF" w:rsidRPr="00DD47DF" w:rsidRDefault="00370384" w:rsidP="00370384">
            <w:pPr>
              <w:pStyle w:val="Tabulka"/>
              <w:jc w:val="left"/>
              <w:rPr>
                <w:rFonts w:cs="Calibri"/>
              </w:rPr>
            </w:pPr>
            <w:r>
              <w:t>Následně: generální ředitel nově vzniklé agentury plnící pro OP PIK roli zprostředkujícího subjektu.</w:t>
            </w:r>
          </w:p>
        </w:tc>
      </w:tr>
      <w:tr w:rsidR="0040363A" w:rsidRPr="00DD47DF" w14:paraId="442E5D08" w14:textId="77777777">
        <w:trPr>
          <w:trHeight w:val="325"/>
        </w:trPr>
        <w:tc>
          <w:tcPr>
            <w:tcW w:w="1260" w:type="pct"/>
            <w:vAlign w:val="center"/>
          </w:tcPr>
          <w:p w14:paraId="7DB14373" w14:textId="77777777" w:rsidR="0040363A" w:rsidRPr="00DD47DF" w:rsidRDefault="00260D88" w:rsidP="00260D88">
            <w:pPr>
              <w:pStyle w:val="Tabulka"/>
              <w:jc w:val="left"/>
              <w:rPr>
                <w:rFonts w:cs="Calibri"/>
                <w:b/>
              </w:rPr>
            </w:pPr>
            <w:r>
              <w:rPr>
                <w:rFonts w:cs="Calibri"/>
                <w:b/>
              </w:rPr>
              <w:t>Nositelé ITI</w:t>
            </w:r>
            <w:r w:rsidR="00110890">
              <w:rPr>
                <w:rStyle w:val="Znakapoznpodarou"/>
                <w:rFonts w:cs="Calibri"/>
                <w:b/>
              </w:rPr>
              <w:footnoteReference w:id="87"/>
            </w:r>
            <w:r>
              <w:rPr>
                <w:rFonts w:cs="Calibri"/>
                <w:b/>
              </w:rPr>
              <w:t xml:space="preserve"> </w:t>
            </w:r>
            <w:r w:rsidRPr="00260D88">
              <w:rPr>
                <w:rFonts w:cs="Calibri"/>
                <w:b/>
              </w:rPr>
              <w:t>s přesně písemně vymezenou mírou přenesených pravomocí, ve smyslu čl. 123 odst. 6 obecného nařízení</w:t>
            </w:r>
          </w:p>
        </w:tc>
        <w:tc>
          <w:tcPr>
            <w:tcW w:w="1955" w:type="pct"/>
            <w:vAlign w:val="center"/>
          </w:tcPr>
          <w:p w14:paraId="1475893E" w14:textId="77777777" w:rsidR="0040363A" w:rsidRPr="00DD47DF" w:rsidRDefault="0040363A" w:rsidP="008F7178">
            <w:pPr>
              <w:pStyle w:val="Tabulka"/>
              <w:jc w:val="left"/>
              <w:rPr>
                <w:rFonts w:cs="Calibri"/>
              </w:rPr>
            </w:pPr>
            <w:r w:rsidRPr="00DD47DF">
              <w:rPr>
                <w:rFonts w:cs="Calibri"/>
              </w:rPr>
              <w:t>Odbor/oddělení magistrátu statutárního města</w:t>
            </w:r>
          </w:p>
        </w:tc>
        <w:tc>
          <w:tcPr>
            <w:tcW w:w="1785" w:type="pct"/>
            <w:vAlign w:val="center"/>
          </w:tcPr>
          <w:p w14:paraId="7C1EC9BD" w14:textId="77777777" w:rsidR="0040363A" w:rsidRPr="00DD47DF" w:rsidRDefault="0040363A" w:rsidP="008F7178">
            <w:pPr>
              <w:pStyle w:val="Tabulka"/>
              <w:jc w:val="left"/>
              <w:rPr>
                <w:rFonts w:cs="Calibri"/>
              </w:rPr>
            </w:pPr>
            <w:r w:rsidRPr="00DD47DF">
              <w:rPr>
                <w:rFonts w:cs="Calibri"/>
              </w:rPr>
              <w:t>Primátor/Vedoucí odboru/oddělení magistrátu statutárního města</w:t>
            </w:r>
          </w:p>
        </w:tc>
      </w:tr>
      <w:tr w:rsidR="0040363A" w:rsidRPr="00DD47DF" w14:paraId="5AFE0195" w14:textId="77777777">
        <w:trPr>
          <w:trHeight w:val="325"/>
        </w:trPr>
        <w:tc>
          <w:tcPr>
            <w:tcW w:w="1260" w:type="pct"/>
            <w:vAlign w:val="center"/>
          </w:tcPr>
          <w:p w14:paraId="41B3E209" w14:textId="77777777" w:rsidR="0040363A" w:rsidRPr="00DD47DF" w:rsidRDefault="0040363A" w:rsidP="007D5FD2">
            <w:pPr>
              <w:pStyle w:val="Tabulka"/>
              <w:jc w:val="left"/>
              <w:rPr>
                <w:rFonts w:cs="Calibri"/>
                <w:b/>
              </w:rPr>
            </w:pPr>
            <w:r w:rsidRPr="00DD47DF">
              <w:rPr>
                <w:rFonts w:cs="Calibri"/>
                <w:b/>
              </w:rPr>
              <w:t>Certifikační orgán</w:t>
            </w:r>
          </w:p>
        </w:tc>
        <w:tc>
          <w:tcPr>
            <w:tcW w:w="1955" w:type="pct"/>
            <w:vAlign w:val="center"/>
          </w:tcPr>
          <w:p w14:paraId="2CF33CDA" w14:textId="77777777" w:rsidR="0040363A" w:rsidRPr="00DD47DF" w:rsidRDefault="0040363A" w:rsidP="00F05C0C">
            <w:pPr>
              <w:pStyle w:val="Tabulka"/>
              <w:jc w:val="left"/>
              <w:rPr>
                <w:rFonts w:cs="Calibri"/>
              </w:rPr>
            </w:pPr>
            <w:r w:rsidRPr="00DD47DF">
              <w:rPr>
                <w:rFonts w:cs="Calibri"/>
              </w:rPr>
              <w:t>Ministerstvo financí</w:t>
            </w:r>
            <w:r w:rsidRPr="00DD47DF">
              <w:rPr>
                <w:rStyle w:val="Znakapoznpodarou"/>
                <w:rFonts w:cs="Calibri"/>
              </w:rPr>
              <w:footnoteReference w:id="88"/>
            </w:r>
            <w:r w:rsidRPr="00DD47DF">
              <w:rPr>
                <w:rFonts w:cs="Calibri"/>
              </w:rPr>
              <w:t xml:space="preserve"> / Národní fond</w:t>
            </w:r>
          </w:p>
        </w:tc>
        <w:tc>
          <w:tcPr>
            <w:tcW w:w="1785" w:type="pct"/>
            <w:vAlign w:val="center"/>
          </w:tcPr>
          <w:p w14:paraId="0A7238E9" w14:textId="77777777" w:rsidR="0040363A" w:rsidRPr="00DD47DF" w:rsidRDefault="0040363A" w:rsidP="007D5FD2">
            <w:pPr>
              <w:pStyle w:val="Tabulka"/>
              <w:jc w:val="left"/>
              <w:rPr>
                <w:rFonts w:cs="Calibri"/>
              </w:rPr>
            </w:pPr>
            <w:r w:rsidRPr="00DD47DF">
              <w:rPr>
                <w:rFonts w:cs="Calibri"/>
              </w:rPr>
              <w:t>Ředitel</w:t>
            </w:r>
          </w:p>
        </w:tc>
      </w:tr>
      <w:tr w:rsidR="0040363A" w:rsidRPr="00DD47DF" w14:paraId="49316E76" w14:textId="77777777">
        <w:trPr>
          <w:trHeight w:val="325"/>
        </w:trPr>
        <w:tc>
          <w:tcPr>
            <w:tcW w:w="1260" w:type="pct"/>
            <w:vAlign w:val="center"/>
          </w:tcPr>
          <w:p w14:paraId="5D8FA125" w14:textId="77777777" w:rsidR="0040363A" w:rsidRPr="00DD47DF" w:rsidRDefault="0040363A" w:rsidP="007D5FD2">
            <w:pPr>
              <w:pStyle w:val="Tabulka"/>
              <w:jc w:val="left"/>
              <w:rPr>
                <w:rFonts w:cs="Calibri"/>
                <w:b/>
              </w:rPr>
            </w:pPr>
            <w:r w:rsidRPr="00DD47DF">
              <w:rPr>
                <w:rFonts w:cs="Calibri"/>
                <w:b/>
              </w:rPr>
              <w:t>Auditní orgán</w:t>
            </w:r>
          </w:p>
        </w:tc>
        <w:tc>
          <w:tcPr>
            <w:tcW w:w="1955" w:type="pct"/>
            <w:vAlign w:val="center"/>
          </w:tcPr>
          <w:p w14:paraId="6A25F77C" w14:textId="77777777" w:rsidR="0040363A" w:rsidRPr="00DD47DF" w:rsidRDefault="0040363A" w:rsidP="00F05C0C">
            <w:pPr>
              <w:pStyle w:val="Tabulka"/>
              <w:jc w:val="left"/>
              <w:rPr>
                <w:rFonts w:cs="Calibri"/>
              </w:rPr>
            </w:pPr>
            <w:r w:rsidRPr="00DD47DF">
              <w:rPr>
                <w:rFonts w:cs="Calibri"/>
              </w:rPr>
              <w:t>Ministerstvo financí</w:t>
            </w:r>
            <w:r w:rsidRPr="00DD47DF">
              <w:rPr>
                <w:rStyle w:val="Znakapoznpodarou"/>
                <w:rFonts w:cs="Calibri"/>
              </w:rPr>
              <w:footnoteReference w:id="89"/>
            </w:r>
            <w:r w:rsidRPr="00DD47DF">
              <w:rPr>
                <w:rFonts w:cs="Calibri"/>
              </w:rPr>
              <w:t xml:space="preserve"> / Auditní orgán</w:t>
            </w:r>
          </w:p>
        </w:tc>
        <w:tc>
          <w:tcPr>
            <w:tcW w:w="1785" w:type="pct"/>
            <w:vAlign w:val="center"/>
          </w:tcPr>
          <w:p w14:paraId="4D94313A" w14:textId="77777777" w:rsidR="0040363A" w:rsidRPr="00DD47DF" w:rsidRDefault="0040363A" w:rsidP="007D5FD2">
            <w:pPr>
              <w:pStyle w:val="Tabulka"/>
              <w:jc w:val="left"/>
              <w:rPr>
                <w:rFonts w:cs="Calibri"/>
                <w:color w:val="FF0000"/>
              </w:rPr>
            </w:pPr>
            <w:r w:rsidRPr="00DD47DF">
              <w:rPr>
                <w:rFonts w:cs="Calibri"/>
              </w:rPr>
              <w:t>Ředitel</w:t>
            </w:r>
          </w:p>
        </w:tc>
      </w:tr>
      <w:tr w:rsidR="0040363A" w:rsidRPr="00DD47DF" w14:paraId="50B90CFD" w14:textId="77777777">
        <w:tc>
          <w:tcPr>
            <w:tcW w:w="1260" w:type="pct"/>
            <w:vAlign w:val="center"/>
          </w:tcPr>
          <w:p w14:paraId="08679065" w14:textId="77777777" w:rsidR="0040363A" w:rsidRPr="00DD47DF" w:rsidRDefault="0040363A" w:rsidP="00F64D76">
            <w:pPr>
              <w:pStyle w:val="Tabulka"/>
              <w:jc w:val="left"/>
              <w:rPr>
                <w:rFonts w:cs="Calibri"/>
                <w:b/>
                <w:bCs/>
              </w:rPr>
            </w:pPr>
            <w:r w:rsidRPr="00DD47DF">
              <w:rPr>
                <w:rFonts w:cs="Calibri"/>
                <w:b/>
              </w:rPr>
              <w:t xml:space="preserve">Subjekt, kterému má </w:t>
            </w:r>
            <w:r w:rsidRPr="00DD47DF">
              <w:rPr>
                <w:rFonts w:cs="Calibri"/>
                <w:b/>
              </w:rPr>
              <w:lastRenderedPageBreak/>
              <w:t>Komise poukazovat platby</w:t>
            </w:r>
          </w:p>
        </w:tc>
        <w:tc>
          <w:tcPr>
            <w:tcW w:w="1955" w:type="pct"/>
            <w:vAlign w:val="center"/>
          </w:tcPr>
          <w:p w14:paraId="081B18E9" w14:textId="77777777" w:rsidR="0040363A" w:rsidRPr="00DD47DF" w:rsidRDefault="0040363A" w:rsidP="00F05C0C">
            <w:pPr>
              <w:pStyle w:val="Tabulka"/>
              <w:jc w:val="left"/>
              <w:rPr>
                <w:rFonts w:cs="Calibri"/>
              </w:rPr>
            </w:pPr>
            <w:r w:rsidRPr="00DD47DF">
              <w:rPr>
                <w:rFonts w:cs="Calibri"/>
              </w:rPr>
              <w:lastRenderedPageBreak/>
              <w:t>Ministerstvo financí</w:t>
            </w:r>
            <w:r w:rsidRPr="00DD47DF">
              <w:rPr>
                <w:rStyle w:val="Znakapoznpodarou"/>
                <w:rFonts w:cs="Calibri"/>
              </w:rPr>
              <w:footnoteReference w:id="90"/>
            </w:r>
            <w:r w:rsidRPr="00DD47DF">
              <w:rPr>
                <w:rFonts w:cs="Calibri"/>
              </w:rPr>
              <w:t xml:space="preserve"> / Národní fond</w:t>
            </w:r>
          </w:p>
        </w:tc>
        <w:tc>
          <w:tcPr>
            <w:tcW w:w="1785" w:type="pct"/>
            <w:vAlign w:val="center"/>
          </w:tcPr>
          <w:p w14:paraId="12974830" w14:textId="77777777" w:rsidR="0040363A" w:rsidRPr="00DD47DF" w:rsidRDefault="0040363A" w:rsidP="007D5FD2">
            <w:pPr>
              <w:pStyle w:val="Tabulka"/>
              <w:jc w:val="left"/>
              <w:rPr>
                <w:rFonts w:cs="Calibri"/>
                <w:color w:val="FF0000"/>
              </w:rPr>
            </w:pPr>
            <w:r w:rsidRPr="00DD47DF">
              <w:rPr>
                <w:rFonts w:cs="Calibri"/>
              </w:rPr>
              <w:t>Ředitel</w:t>
            </w:r>
          </w:p>
        </w:tc>
      </w:tr>
    </w:tbl>
    <w:p w14:paraId="66341E8C" w14:textId="77777777" w:rsidR="006A127B" w:rsidRPr="00DD47DF" w:rsidRDefault="00F64D76" w:rsidP="00F64D76">
      <w:pPr>
        <w:pStyle w:val="Nadpis2"/>
        <w:rPr>
          <w:rFonts w:cs="Calibri"/>
        </w:rPr>
      </w:pPr>
      <w:bookmarkStart w:id="130" w:name="_Toc520445335"/>
      <w:r w:rsidRPr="00DD47DF">
        <w:rPr>
          <w:rFonts w:cs="Calibri"/>
        </w:rPr>
        <w:t>Zapojení příslušných partnerů</w:t>
      </w:r>
      <w:bookmarkEnd w:id="130"/>
    </w:p>
    <w:p w14:paraId="7884DC7D" w14:textId="77777777" w:rsidR="006A127B" w:rsidRPr="00DD47DF" w:rsidRDefault="00F64D76" w:rsidP="00F64D76">
      <w:pPr>
        <w:pStyle w:val="Nadpis3"/>
        <w:rPr>
          <w:rFonts w:cs="Calibri"/>
        </w:rPr>
      </w:pPr>
      <w:bookmarkStart w:id="131" w:name="_Toc520445336"/>
      <w:r w:rsidRPr="00DD47DF">
        <w:rPr>
          <w:rFonts w:cs="Calibri"/>
        </w:rPr>
        <w:t>Opatření přijatá k zapojení příslušných partnerů do přípravy operačního programu a úlohy partnerů při provádění, monitorování a hodnocení operačního programu</w:t>
      </w:r>
      <w:bookmarkEnd w:id="131"/>
    </w:p>
    <w:p w14:paraId="1C0B9C60" w14:textId="77777777" w:rsidR="002D7AD5" w:rsidRPr="00DD47DF" w:rsidRDefault="002D7AD5" w:rsidP="002D7AD5">
      <w:pPr>
        <w:pStyle w:val="Standardntext"/>
      </w:pPr>
      <w:r w:rsidRPr="00DD47DF">
        <w:t xml:space="preserve">V roce 2011 byl na MPO ustanoven </w:t>
      </w:r>
      <w:r w:rsidRPr="00DD47DF">
        <w:rPr>
          <w:b/>
        </w:rPr>
        <w:t>Řídící tým pro programovací období k využívání prostředků ze strukturálních fondů EU 2014 – 2020</w:t>
      </w:r>
      <w:r w:rsidRPr="00DD47DF">
        <w:t>. Jeho úkolem je projednávat výstupy prací na kohezní politice a operačním programu před jejich předložením na poradu vedení MPO, Ministerstvu pro místní rozvoj a vládě ČR.</w:t>
      </w:r>
    </w:p>
    <w:p w14:paraId="047AD72F" w14:textId="77777777" w:rsidR="002D7AD5" w:rsidRPr="00DD47DF" w:rsidRDefault="00637F69" w:rsidP="002D7AD5">
      <w:pPr>
        <w:pStyle w:val="Standardntext"/>
      </w:pPr>
      <w:r w:rsidRPr="00DD47DF">
        <w:t xml:space="preserve"> V </w:t>
      </w:r>
      <w:r w:rsidR="002D7AD5" w:rsidRPr="00DD47DF">
        <w:t xml:space="preserve">roce 2011 a 2012, tj. v období před zahájením prací na programu, </w:t>
      </w:r>
      <w:r w:rsidRPr="00DD47DF">
        <w:t xml:space="preserve">byly organizovány </w:t>
      </w:r>
      <w:r w:rsidR="002D7AD5" w:rsidRPr="00DD47DF">
        <w:t xml:space="preserve">tzv. kulaté stoly se sociálními a hospodářskými partnery, na kterých byly diskutovány otázky týkající se návrhů zaměření intervencí budoucího programu. Jednání formou kulatých stolů získalo na významu a probíhalo i ve fázi vlastní přípravy programu; v roce 2013 např. v rámci </w:t>
      </w:r>
      <w:r w:rsidR="002D7AD5" w:rsidRPr="00DD47DF">
        <w:rPr>
          <w:b/>
        </w:rPr>
        <w:t>Enterprise Europe Network</w:t>
      </w:r>
      <w:r w:rsidR="002D7AD5" w:rsidRPr="00DD47DF">
        <w:rPr>
          <w:rStyle w:val="Znakapoznpodarou"/>
          <w:b/>
        </w:rPr>
        <w:footnoteReference w:id="91"/>
      </w:r>
      <w:r w:rsidR="002D7AD5" w:rsidRPr="00DD47DF">
        <w:rPr>
          <w:b/>
        </w:rPr>
        <w:t xml:space="preserve"> organizovanými Technologickým centrem Akademie věd ČR</w:t>
      </w:r>
      <w:r w:rsidR="002D7AD5" w:rsidRPr="00DD47DF">
        <w:t xml:space="preserve"> ve vybraných regionech ČR za účasti podnikatelů z příslušných regionů, kdy hlavním tématem vedle zaměření OP PIK na oblast VaVaI byly regionální RIS3 připravované příslušnými regionálními RIS3 manažery. Smyslem bylo konzultovat se zástupci firemního sektoru návrh programu, zjistit jejich názory na strukturu, specifické cíle, na rozdělení intervenčních oblastí, na navržená opatření, podporované činnosti, apod. Pozitivní z těchto setkání je skutečnost, že prioritní osa programu zaměřená na VaVaI (stěžejní téma kulatých stolů s touto cílovou skupinou) byla hodnocena kladně a navržené intervence byly shledány účelnými. Jako určitý problém hodný pozornosti k řešení z ESIF (ESF) byl obecně deklarován ze strany podnikatelů výrazný nedostatek technicky vzdělaných odborníků ve firmách.</w:t>
      </w:r>
    </w:p>
    <w:p w14:paraId="779DE469" w14:textId="77777777" w:rsidR="002D7AD5" w:rsidRPr="00DD47DF" w:rsidRDefault="002D7AD5" w:rsidP="002D7AD5">
      <w:pPr>
        <w:pStyle w:val="Standardntext"/>
      </w:pPr>
      <w:r w:rsidRPr="00DD47DF">
        <w:t xml:space="preserve">Aktivitou, která se dá zařadit pod princip partnerství a jejíž výsledky již jsou nebo v další fázi budou v programu zohledněny, je realizace externího projektu </w:t>
      </w:r>
      <w:r w:rsidRPr="00DD47DF">
        <w:rPr>
          <w:b/>
        </w:rPr>
        <w:t>GEM – Global Entrepreneurship Monitor 2013</w:t>
      </w:r>
      <w:r w:rsidRPr="00DD47DF">
        <w:t>. Jde o mezinárodní studii, kterou za ČR zpracovává VŠE za finanční spoluúčasti TA ČR a dále ve spolupráci s MPO. Cílem projektu je měřit rozdíly v podnikatelské aktivitě mezi různými zeměmi, identifikovat faktory, které tuto aktivitu ovlivňují a identifikovat opatření, která mohou podnikatelskou aktivitu podpořit. Výsledky projektu jsou ve vazbě na OP PIK relevantně využitelné pro nadefinování aktivit a intervencí programu v podstatě ve všech stávajících prioritních osách, zejména pak v oblasti rozvoje podnikání a motivace k podnikání, podnikavosti, zvyšování konkurenceschopnosti malých a středních podniků, VaV a inovací, spolupráce podniků a VaV institucí, motivace firem spolupracovat s výzkumnou sférou a vysokými školami, poradenství a nabídce služeb pro podniky, v oblasti energetiky (snižování energetické náročnosti). Se zjištěními GEMu bude pracováno při dalších pracích na programu.</w:t>
      </w:r>
    </w:p>
    <w:p w14:paraId="7F509524" w14:textId="77777777" w:rsidR="002D7AD5" w:rsidRPr="00DD47DF" w:rsidRDefault="002D7AD5" w:rsidP="002D7AD5">
      <w:pPr>
        <w:pStyle w:val="Standardntext"/>
      </w:pPr>
      <w:r w:rsidRPr="00DD47DF">
        <w:lastRenderedPageBreak/>
        <w:t>V souladu s čl. 5 obecného nařízení probíh</w:t>
      </w:r>
      <w:r w:rsidR="00243B68" w:rsidRPr="00DD47DF">
        <w:t xml:space="preserve">ala </w:t>
      </w:r>
      <w:r w:rsidRPr="00DD47DF">
        <w:t xml:space="preserve">příprava OP PIK </w:t>
      </w:r>
      <w:r w:rsidRPr="00DD47DF">
        <w:rPr>
          <w:b/>
        </w:rPr>
        <w:t>při plném respektování principu partnerství</w:t>
      </w:r>
      <w:r w:rsidRPr="00DD47DF">
        <w:t>, tj. zapojení relevantních sociálních a hospodářských partnerů a dalších národních aktérů do přípravy programu (zástupci ministerstev, hospodářských svazů a asociací, zástupci odborových svazů, zaměstnavatelských a podnikatelských svazů, asociace krajů, svazu měst a obcí, vysokých škol a akademické sféry, nevládních organizací, a dalších organizací a institucí). Respektování principu partnerství zahrnuje přípravu programu a v další fázi jeho implementaci; provádění, monitorování, hodnocení. Seznam všech partnerů zapojených do přípravy programu je uveden v kapitole 12.3.</w:t>
      </w:r>
    </w:p>
    <w:p w14:paraId="51766FCD" w14:textId="77777777" w:rsidR="002D7AD5" w:rsidRPr="00DD47DF" w:rsidRDefault="002D7AD5" w:rsidP="002D7AD5">
      <w:pPr>
        <w:pStyle w:val="Standardntext"/>
      </w:pPr>
      <w:r w:rsidRPr="00DD47DF">
        <w:t xml:space="preserve">MPO jako Řídící orgán </w:t>
      </w:r>
      <w:r w:rsidR="00CB57B2" w:rsidRPr="00DD47DF">
        <w:t xml:space="preserve">OP PIK ustanovilo </w:t>
      </w:r>
      <w:r w:rsidRPr="00DD47DF">
        <w:rPr>
          <w:b/>
        </w:rPr>
        <w:t>pracovní skupiny</w:t>
      </w:r>
      <w:r w:rsidRPr="00DD47DF">
        <w:t xml:space="preserve"> pro rozpracování prioritních os programu, pro řešení finančních nástrojů a pro řešení horizontálních témat souvisejících s implementací programu (indikátory, implementační systém, veřejná podpora, veřejné zakázky, metodika, informační systém, monitoring, atd.). </w:t>
      </w:r>
      <w:r w:rsidR="00CB57B2" w:rsidRPr="00DD47DF">
        <w:t xml:space="preserve">Tyto </w:t>
      </w:r>
      <w:r w:rsidRPr="00DD47DF">
        <w:t>pracovní skupiny, jejichž členy jsou zástupci Řídícího orgánu věcně se zabývající příslušnými agendami, byly rozšířeny o zástupce relevantních ministerstev (MMR, MPSV, MŠMT, MD, MŽP, MK) a dalších externích odborníků na problematiku řešenou v dané pracovní skupině. Hospodářští a sociální partneři byli vybíráni v rámci konzultací s vedoucími pracovních skupin. Ti, na základě svých zkušeností a dřívější spolupráce, vytipovali okruh zástupců z hospodářských a sociálních partnerů, jejichž odborné zaměření bylo pro přípravu OP PIK a jeho jednotlivých prioritních os relevantní a přínosné.</w:t>
      </w:r>
      <w:r w:rsidR="00BA4E72" w:rsidRPr="00DD47DF">
        <w:t xml:space="preserve"> </w:t>
      </w:r>
    </w:p>
    <w:p w14:paraId="47ABF0B3" w14:textId="77777777" w:rsidR="002D7AD5" w:rsidRPr="00DD47DF" w:rsidRDefault="002D7AD5" w:rsidP="002D7AD5">
      <w:pPr>
        <w:pStyle w:val="Standardntext"/>
      </w:pPr>
      <w:r w:rsidRPr="00DD47DF">
        <w:t xml:space="preserve">V lednu 2013 ustanovilo MPO </w:t>
      </w:r>
      <w:r w:rsidRPr="00DD47DF">
        <w:rPr>
          <w:b/>
        </w:rPr>
        <w:t xml:space="preserve">Platformu pro přípravu OP PIK. </w:t>
      </w:r>
      <w:r w:rsidRPr="00DD47DF">
        <w:t>Do Platformy byli jmenováni jako členové vedle zástupců MPO zástupci MMR-NOK, MF, zástupci řídicích orgánů relevantních operačních programů (MŠMT, MPSV, MŽP, MZe, MD), agentury CzechInvest, TA ČR a hospodářských a sociálních partnerů, včetně zástupců neziskové sféry. Jednání Platformy se účastní rovněž vedoucí pracovních skupin MPO a zástupci ex-ante hodnotitele a SEA hodnotitele programu. Členové Platformy dohlíží na přípravu programu a zajišťují zohlednění zájmů relevantních partnerů a respektování principu partnerství při jeho přípravě. Jednotlivé instituce, organizace a svazy byly vybírány do Platformy podle relevantnosti zaměření jejich činnosti k operačnímu programu a na základě oslovení Řídícím orgánem OP PIK jmenovaly samy své zástupce. V několika případech požádaly o zastoupení v Platformě přímo. Během přípravy operačního programu jsou konzultovány a připomínkovány pracovní verze programu nejprve v rámci Řídícího orgánu, návazně v pracovních skupinách, dále s jednotlivými věcně příslušnými útvary MPO a následně i s dalšími partnery, mj. v rámci jednání Platformy. Postupně schvalované a připomínkované verze operačního programu jsou aktualizovány, a to také v návaznosti na výstupy SEA a ex-ante hodnocení programu a na základě připomínek ze strany MMR-NOK. Mimo jednání Platformy a pracovních skupin probíhají na principu partnerství rovněž bilaterální jednání. V souvislosti s principem partnerství je Řídící orgán OP PIK zapojen i do činnosti pracovních skupin a platforem řízených MMR: Meziresortní expertní poradní skupina pro přípravu metodického prostředí, PS pro přípravu Dohody o partnerství, PS k rozpracování programů 2014 – 2020, PS k integrovaným přístupům a územní dimenzi, dále je Řídící orgán OP PIK zapojen do činnosti platforem a řídících výborů ostatních řídících orgánů a v neposlední řadě do činnosti Rady pro ESI fondy a jejích tematicky zaměřených pracovních skupin.</w:t>
      </w:r>
    </w:p>
    <w:p w14:paraId="2A3DEC14" w14:textId="77777777" w:rsidR="002D7AD5" w:rsidRPr="00DD47DF" w:rsidRDefault="002D7AD5" w:rsidP="002D7AD5">
      <w:pPr>
        <w:pStyle w:val="Standardntext"/>
      </w:pPr>
      <w:r w:rsidRPr="00DD47DF">
        <w:t xml:space="preserve">V první fázi přípravy programu byly s partnery konzultovány nejprve možnosti jejich zapojení do činnosti příslušných pracovních skupin Řídícího orgánu a následně to byly již otázky vlastního věcného zaměření programu a jeho prioritních os, tj. věcné nastavení intervencí programu, jejich koncentrace či rozšíření, dále otázky forem podpory (dotace, finanční nástroje), příjemců (malé a střední podniky, velké podniky a další subjekty), hraničních oblastí </w:t>
      </w:r>
      <w:r w:rsidRPr="00DD47DF">
        <w:lastRenderedPageBreak/>
        <w:t>(překryvů a synergií) s ostatními programy. Dále byly projednávány otázky zapracování a zohlednění územní dimenze v programu, indikátorů, finančních alokací a nastavení systému implementace a jeho jednotlivých subjektů.</w:t>
      </w:r>
      <w:r w:rsidR="00BA4E72" w:rsidRPr="00DD47DF">
        <w:t xml:space="preserve"> </w:t>
      </w:r>
    </w:p>
    <w:p w14:paraId="24968812" w14:textId="77777777" w:rsidR="002D7AD5" w:rsidRPr="00DD47DF" w:rsidRDefault="002D7AD5" w:rsidP="002D7AD5">
      <w:pPr>
        <w:pStyle w:val="Standardntext"/>
      </w:pPr>
      <w:r w:rsidRPr="00DD47DF">
        <w:t xml:space="preserve">Základním nástrojem pro zapojení partnerů do implementace, monitorování, a evaluací operačního programu bude </w:t>
      </w:r>
      <w:r w:rsidRPr="00DD47DF">
        <w:rPr>
          <w:b/>
        </w:rPr>
        <w:t>Monitorovací výbor OP PIK</w:t>
      </w:r>
      <w:r w:rsidRPr="00DD47DF">
        <w:t>. Monitorovací výbor bude ustanoven na návrh Řídicího orgánu nejpozději do 3 měsíců od schválení programu Evropskou komisí. Při sestavování Monitorovacího výboru bude primárně vycházeno z členství v Platformě MPO pro přípravu OP PIK tak, aby se aktéři zapojení do přípravy OP PIK odpovídajícím způsobem podíleli také na jeho provádění.</w:t>
      </w:r>
      <w:r w:rsidR="00243B68" w:rsidRPr="00DD47DF">
        <w:t xml:space="preserve"> Zapojení partnerů do činnosti </w:t>
      </w:r>
      <w:r w:rsidR="00637F69" w:rsidRPr="00DD47DF">
        <w:t xml:space="preserve">a jednání </w:t>
      </w:r>
      <w:r w:rsidR="00243B68" w:rsidRPr="00DD47DF">
        <w:t>MV OP PIK</w:t>
      </w:r>
      <w:r w:rsidR="00637F69" w:rsidRPr="00DD47DF">
        <w:t xml:space="preserve"> a náklady s tím spojené budou hrazeny z prostředků technické pomoci programu, tj. v rámci SC 5.1 prioritní osy 5 programu. Vedle MV OP PIK bude ustanovena na principu partnerství dále </w:t>
      </w:r>
      <w:r w:rsidR="00637F69" w:rsidRPr="00DD47DF">
        <w:rPr>
          <w:b/>
        </w:rPr>
        <w:t>Platforma pro plánování výzev</w:t>
      </w:r>
      <w:r w:rsidR="00637F69" w:rsidRPr="00DD47DF">
        <w:t xml:space="preserve">, jejíž činnost bude také financována z prostředků technické pomoci. </w:t>
      </w:r>
    </w:p>
    <w:p w14:paraId="3DEED4FC" w14:textId="77777777" w:rsidR="002D7AD5" w:rsidRPr="00DD47DF" w:rsidRDefault="002D7AD5" w:rsidP="002D7AD5">
      <w:pPr>
        <w:pStyle w:val="Modrnadpis"/>
        <w:ind w:left="0" w:firstLine="0"/>
      </w:pPr>
      <w:r w:rsidRPr="00DD47DF">
        <w:t>Hlavní výsledky a závěry z jednání s partnery ve fázi přípravy programu a jejich zohlednění v operačním programu</w:t>
      </w:r>
    </w:p>
    <w:p w14:paraId="0E6D951A" w14:textId="77777777" w:rsidR="002D7AD5" w:rsidRPr="00DD47DF" w:rsidRDefault="002D7AD5" w:rsidP="002D7AD5">
      <w:pPr>
        <w:pStyle w:val="Standardntext"/>
      </w:pPr>
      <w:r w:rsidRPr="00DD47DF">
        <w:t xml:space="preserve">K OP PIK proběhla tři kola připomínkových řízení, ve kterých mohly k návrhu programu vznést připomínky jak členové Platformy, tak členové pracovních skupin. Došlé připomínky byly partnerům prezentovány a s nimi projednány. Při připomínkování první verze programu (březen 2013) převažovaly otázky věcného zaměření intervencí programu a národních strategií, ze kterých by měl program vycházet. V této fázi bylo potřeba ze strany Řídícího orgánu vysvětlovat partnerům celkovou filosofii kohezní politiky 2014 - 2020, která je v mnohem větší míře zaměřena na výsledky a na koncentraci zdrojů na menší počet priorit vázaných na tematické cíle a investiční priority dle příslušných nařízení. Diskuse se vedly např. v oblasti energetiky (distribuční a přenosové sítě), v oblasti míry a rozsahu uplatnění finančních nástrojů v programu, o otázce podpory nejen MSP, ale i velkých podniků, což je pro ČR důležitá otázka při vyjednání programu. </w:t>
      </w:r>
    </w:p>
    <w:p w14:paraId="1CFDB9D9" w14:textId="77777777" w:rsidR="002D7AD5" w:rsidRPr="00DD47DF" w:rsidRDefault="00CB57B2" w:rsidP="002D7AD5">
      <w:pPr>
        <w:pStyle w:val="Standardntext"/>
      </w:pPr>
      <w:r w:rsidRPr="00DD47DF">
        <w:t xml:space="preserve">Při </w:t>
      </w:r>
      <w:r w:rsidR="002D7AD5" w:rsidRPr="00DD47DF">
        <w:t xml:space="preserve">připomínkování druhé verze (červen 2013) a následně čtvrté verze programu (listopad 2013) byly diskutovány otázky vztahující se k implementaci (určení </w:t>
      </w:r>
      <w:r w:rsidR="00487A2D" w:rsidRPr="00DD47DF">
        <w:t xml:space="preserve">zprostředkujícího </w:t>
      </w:r>
      <w:r w:rsidR="002D7AD5" w:rsidRPr="00DD47DF">
        <w:t>subjekt</w:t>
      </w:r>
      <w:r w:rsidR="00487A2D" w:rsidRPr="00DD47DF">
        <w:t>u</w:t>
      </w:r>
      <w:r w:rsidR="002D7AD5" w:rsidRPr="00DD47DF">
        <w:t>, zapojení regionálních partnerů, apod.), návrhy absorpční kapacity a rozložení alokací na jednotlivé prioritní osy, územní dimenze a zejména soulad programu s Dohodou o partnerství. V této fázi bylo docíleno zásadního posunu v zaměření prioritní osy 1, čímž došlo při redukci specifických cílů k efektivnějšímu provázání aktivit mezi OP PIK a OP VVV (podpora aplikovaného průmyslového výzkumu v rámci OP PIK), a prioritní osy 2, kde bylo upřesněno zejména zaměření a rozsah specializovaných služeb pro MSP a odborné vzdělávání v podnicích ve vazbě na OPZ. Dále došlo k zásadním změnám v prioritní ose 3 v oblasti energetiky (inteligentní přenosové sítě, přesun tématu VaVaI v energetice do prioritní osy 1, ekoinovace). Diskutovány byly otázky vazeb mezi programy, zejména vazby mezi OP PIK a OP VVV, kde se předpokládají největší synergické efekty, dále</w:t>
      </w:r>
      <w:r w:rsidR="00BA4E72" w:rsidRPr="00DD47DF">
        <w:t xml:space="preserve"> OP PIK a OPZ</w:t>
      </w:r>
      <w:r w:rsidR="002D7AD5" w:rsidRPr="00DD47DF">
        <w:t xml:space="preserve">, OP ŽP, PRV a OP PPR. V souvislosti s posledně jmenovaným programem byla zvážena možnost využití čl. 70 obecného nařízení k podpoře subjektů v rámci prioritní osy 1 mimo programovou oblast OP PIK, tj. z regionu podporovaného v rámci OP PPR. Důležitým tématem bylo využití finančních nástrojů a příjemců v oblasti finančních nástrojů. V otázce řešení územní dimenze a integrovaných nástrojů (zejména ITI) došlo v rámci jednání s relevantními regionálními partnery a MMR-NOK ke shodě ohledně zohlednění této problematiky v operačním programu. V závěrečné fázi tvorby programu (červen 2014) byla témata z oblasti VaV a inovací navrhovaná k podpoře </w:t>
      </w:r>
      <w:r w:rsidR="002D7AD5" w:rsidRPr="00DD47DF">
        <w:lastRenderedPageBreak/>
        <w:t>v OP PIK diskutována s relevantními partnery z řad podnikatelů v rámci kulatých stolů, které Řídící orgán organizoval pro naplněni doporučení využít v rámci principu partnerství tzv. „</w:t>
      </w:r>
      <w:r w:rsidR="002D7AD5" w:rsidRPr="00DD47DF">
        <w:rPr>
          <w:b/>
        </w:rPr>
        <w:t>entrepreneurial discovery proces</w:t>
      </w:r>
      <w:r w:rsidR="002D7AD5" w:rsidRPr="00DD47DF">
        <w:t>“. Výsledky těchto setkání budou využity zejména při koncipování jednotlivých programů podpory pro VaV a inovace a systému jejich implementace</w:t>
      </w:r>
      <w:r w:rsidR="00637F69" w:rsidRPr="00DD47DF">
        <w:t xml:space="preserve"> (zejména ve vazbě na RIS3)</w:t>
      </w:r>
      <w:r w:rsidR="002D7AD5" w:rsidRPr="00DD47DF">
        <w:t>.</w:t>
      </w:r>
    </w:p>
    <w:p w14:paraId="4CCF8489" w14:textId="77777777" w:rsidR="002D7AD5" w:rsidRPr="00DD47DF" w:rsidRDefault="002D7AD5" w:rsidP="002D7AD5">
      <w:pPr>
        <w:pStyle w:val="Standardntext"/>
      </w:pPr>
      <w:r w:rsidRPr="00DD47DF">
        <w:t>V rámci přípravy prioritní osy 1 nebyly zaznamenány zásadní připomínky týkající se zvolených oblastí podpory, připomínky se týkaly spíše rozčlenění aktivit do specifických cílů, které byly následně upraveny, a ujasňování obsahu plánovaných podporovaných aktivit, které byly promítnuty do rozpracovaných typových projektů. Zohledněny byly rovněž připomínky týkající se nastavení indikátorové soustavy.</w:t>
      </w:r>
    </w:p>
    <w:p w14:paraId="501C5948" w14:textId="77777777" w:rsidR="002D7AD5" w:rsidRPr="00DD47DF" w:rsidRDefault="002D7AD5" w:rsidP="002D7AD5">
      <w:pPr>
        <w:pStyle w:val="Standardntext"/>
      </w:pPr>
      <w:r w:rsidRPr="00DD47DF">
        <w:t>Připomínky partnerů k návrhům v rámci prioritní osy 2 jsou uplatňovány průběžně při jejich přípravě a projednávání. V úvodní etapě přípravy se připomínky týkaly především stanovení cílů, kterých má být PO 2 dosaženo a navrhovaných aktivit. Dále se řešil zejména přístup k podporám začínajících a rozvojových podniků, podnikatelské infrastruktury, poradenství pro začínající podniky, podpora internacionalizace MSP, sociálního podnikání, odborného vzdělávání zaměstnanců a zaměstnavatelů, a také otázky územní dimenze a formy podpory. Připomínky partnerů byly diskutovány na jednáních pracovní skupiny PO 2, elektronicky a také při osobních setkáních na jednáních platformy a dalších tematických akcích OP PIK. Převážná většina připomínek byla na základě argumentace vypořádána a nebyly zaznamenány zásadní rozpory.</w:t>
      </w:r>
    </w:p>
    <w:p w14:paraId="6A99ED01" w14:textId="77777777" w:rsidR="002D7AD5" w:rsidRPr="00DD47DF" w:rsidRDefault="002D7AD5" w:rsidP="002D7AD5">
      <w:pPr>
        <w:pStyle w:val="Standardntext"/>
      </w:pPr>
      <w:r w:rsidRPr="00DD47DF">
        <w:t>V průběhu přípravy PO 3 proběhlo několik jednání, na kterých byly mj. se zástupci odborných asociací, energetických expertů a nevládních organizací diskutovány otázky týkající se zaměření podporovaných aktivit a finanční alokace jednotlivých specifických cílů. Veškeré připomínky byly vypořádány v rámci diskuzních setkání případně přes formální připomínkové řízení. Opakovaně zmiňovaným požadavkem bylo navýšení alokace u SC 3.2 z důvodu naplňování Směrnice Evropského parlamentu a Rady 2012/27/EU o energetické účinnosti, která stanovuje zavedení orientačních vnitrostátních cílů energetické účinnosti do roku 2020. Tento požadavek byl s ohledem na relevantnost plně akceptován. Dále bylo například diskutováno zařazení instalace obnovitelných zdrojů energie v podnicích do SC 3.2, kde pracovní skupina dospěla ke konsenzu v podobě zařazení s upřesněním, že se musí jednat o zařízení pro vlastní spotřebu podniku.</w:t>
      </w:r>
    </w:p>
    <w:p w14:paraId="2E263501" w14:textId="77777777" w:rsidR="002D7AD5" w:rsidRPr="00DD47DF" w:rsidRDefault="002D7AD5" w:rsidP="002D7AD5">
      <w:pPr>
        <w:pStyle w:val="Standardntext"/>
      </w:pPr>
      <w:r w:rsidRPr="00DD47DF">
        <w:t>Pokud jde o prioritní osu 4, partneři zapojení do přípravy této prioritní osy uplatnili v zásadě jen několik málo připomínek zásadního charakteru, např. připomínky týkající se typu technologie aplikovatelné v rámci SC 4.1 (řešení založené na družicové telekomunikaci) či vymezení příjemců podpory v SC 4.2 (neomezovat příjemce selektivně dle klasifikace ekonomických činností).</w:t>
      </w:r>
    </w:p>
    <w:p w14:paraId="0ACC2196" w14:textId="77777777" w:rsidR="002D7AD5" w:rsidRPr="00DD47DF" w:rsidRDefault="002D7AD5" w:rsidP="002D7AD5">
      <w:pPr>
        <w:pStyle w:val="Standardntext"/>
      </w:pPr>
      <w:r w:rsidRPr="00DD47DF">
        <w:t>Povinnou součástí přípravy operačního programu bylo předběžné (ex-ante) hodnocení, které probíhalo paralelně s přípravou programu. Ex-ante hodnotitel byl zapojen do jednání Platformy a dle potřeby se účastnil jednání pracovních skupin či bilaterálních jednání Řídícího orgánu. Verze OP PIK předložená EK je zhodnocena v závěrečné zprávě ex-ante hodnocení, která je přílohou programového dokumentu. Spolupráce řídícího orgánu s ex-ante hodnotitelem probíhala dle doporučení MMR-NOK a EK po celou dobu tvorby programu</w:t>
      </w:r>
      <w:r w:rsidR="00CB57B2" w:rsidRPr="00DD47DF">
        <w:t xml:space="preserve">. </w:t>
      </w:r>
    </w:p>
    <w:p w14:paraId="54313023" w14:textId="77777777" w:rsidR="002F5A67" w:rsidRPr="00DD47DF" w:rsidRDefault="002D7AD5" w:rsidP="002D7AD5">
      <w:pPr>
        <w:pStyle w:val="Standardntext"/>
      </w:pPr>
      <w:r w:rsidRPr="00DD47DF">
        <w:t xml:space="preserve">Za účelem informování veřejnosti o přípravě </w:t>
      </w:r>
      <w:r w:rsidR="00CB57B2" w:rsidRPr="00DD47DF">
        <w:t xml:space="preserve">OP PIK </w:t>
      </w:r>
      <w:r w:rsidRPr="00DD47DF">
        <w:t>a jeho implementaci je Řídícím orgánem zřízena webová stránka</w:t>
      </w:r>
      <w:r w:rsidR="00CB57B2" w:rsidRPr="00DD47DF">
        <w:t xml:space="preserve"> </w:t>
      </w:r>
      <w:r w:rsidRPr="00DD47DF">
        <w:t>(</w:t>
      </w:r>
      <w:hyperlink r:id="rId53" w:history="1">
        <w:r w:rsidRPr="00DD47DF">
          <w:rPr>
            <w:rStyle w:val="Hypertextovodkaz"/>
          </w:rPr>
          <w:t>http://www.mpo.cz/cz/podpora-podnikani/oppik/</w:t>
        </w:r>
      </w:hyperlink>
      <w:r w:rsidRPr="00DD47DF">
        <w:t>).</w:t>
      </w:r>
    </w:p>
    <w:p w14:paraId="7E1094D7" w14:textId="77777777" w:rsidR="006A127B" w:rsidRPr="00DD47DF" w:rsidRDefault="00F64D76" w:rsidP="00F64D76">
      <w:pPr>
        <w:pStyle w:val="Nadpis3"/>
        <w:rPr>
          <w:rFonts w:cs="Calibri"/>
        </w:rPr>
      </w:pPr>
      <w:bookmarkStart w:id="132" w:name="_Toc520445337"/>
      <w:r w:rsidRPr="00DD47DF">
        <w:rPr>
          <w:rFonts w:cs="Calibri"/>
        </w:rPr>
        <w:lastRenderedPageBreak/>
        <w:t>Globální granty (pro ESF, použije-li se)</w:t>
      </w:r>
      <w:bookmarkEnd w:id="132"/>
    </w:p>
    <w:p w14:paraId="5D2AEC0C" w14:textId="77777777" w:rsidR="00091C87" w:rsidRPr="00DD47DF" w:rsidRDefault="000F7B0A" w:rsidP="00064717">
      <w:pPr>
        <w:pStyle w:val="Standardntext"/>
        <w:tabs>
          <w:tab w:val="center" w:pos="4606"/>
        </w:tabs>
      </w:pPr>
      <w:r w:rsidRPr="00DD47DF">
        <w:t>Není relevantní pro OP PIK.</w:t>
      </w:r>
      <w:r w:rsidR="00064717" w:rsidRPr="00DD47DF">
        <w:tab/>
      </w:r>
    </w:p>
    <w:p w14:paraId="52AE7095" w14:textId="77777777" w:rsidR="006A127B" w:rsidRPr="00DD47DF" w:rsidRDefault="00F64D76" w:rsidP="00F64D76">
      <w:pPr>
        <w:pStyle w:val="Nadpis3"/>
        <w:rPr>
          <w:rFonts w:cs="Calibri"/>
        </w:rPr>
      </w:pPr>
      <w:bookmarkStart w:id="133" w:name="_Toc520445338"/>
      <w:r w:rsidRPr="00DD47DF">
        <w:rPr>
          <w:rFonts w:cs="Calibri"/>
        </w:rPr>
        <w:t>Přidělení částky na vytváření kapacit (pro ESF, použije-li se)</w:t>
      </w:r>
      <w:bookmarkEnd w:id="133"/>
    </w:p>
    <w:p w14:paraId="0921F75F" w14:textId="77777777" w:rsidR="00091C87" w:rsidRPr="00DD47DF" w:rsidRDefault="000F7B0A" w:rsidP="008A5FCE">
      <w:pPr>
        <w:pStyle w:val="Standardntext"/>
      </w:pPr>
      <w:r w:rsidRPr="00DD47DF">
        <w:t>Není relevantní pro OP PIK.</w:t>
      </w:r>
    </w:p>
    <w:p w14:paraId="771BB8EC" w14:textId="77777777" w:rsidR="009E6172" w:rsidRPr="00DD47DF" w:rsidRDefault="00FF200C" w:rsidP="00FF200C">
      <w:pPr>
        <w:pStyle w:val="Nadpis1"/>
      </w:pPr>
      <w:bookmarkStart w:id="134" w:name="_Toc520445339"/>
      <w:r w:rsidRPr="00DD47DF">
        <w:lastRenderedPageBreak/>
        <w:t xml:space="preserve">Koordinace mezi fondy, EZFRV, </w:t>
      </w:r>
      <w:r w:rsidR="001B1FD9" w:rsidRPr="00DD47DF">
        <w:t>EMFF</w:t>
      </w:r>
      <w:r w:rsidRPr="00DD47DF">
        <w:t xml:space="preserve"> a dalšími unijními a </w:t>
      </w:r>
      <w:r w:rsidR="00F64D76" w:rsidRPr="00DD47DF">
        <w:t>vnitrostátními</w:t>
      </w:r>
      <w:r w:rsidRPr="00DD47DF">
        <w:t xml:space="preserve"> </w:t>
      </w:r>
      <w:r w:rsidR="00F64D76" w:rsidRPr="00DD47DF">
        <w:t>finančními</w:t>
      </w:r>
      <w:r w:rsidRPr="00DD47DF">
        <w:t xml:space="preserve"> nástroji a s EIB</w:t>
      </w:r>
      <w:bookmarkEnd w:id="134"/>
    </w:p>
    <w:p w14:paraId="7D922586" w14:textId="77777777" w:rsidR="000B1CBB" w:rsidRPr="00DD47DF" w:rsidRDefault="000B1CBB" w:rsidP="00396141">
      <w:pPr>
        <w:pStyle w:val="Modrnadpis"/>
        <w:rPr>
          <w:rFonts w:eastAsia="Arial Unicode MS"/>
        </w:rPr>
      </w:pPr>
      <w:r w:rsidRPr="00DD47DF">
        <w:t xml:space="preserve">Zajištění koordinace </w:t>
      </w:r>
      <w:r w:rsidR="0084638B" w:rsidRPr="00DD47DF">
        <w:t>mezi</w:t>
      </w:r>
      <w:r w:rsidRPr="00DD47DF">
        <w:t xml:space="preserve"> </w:t>
      </w:r>
      <w:r w:rsidR="0016670E" w:rsidRPr="00DD47DF">
        <w:t>programy ESIF</w:t>
      </w:r>
    </w:p>
    <w:p w14:paraId="6AB6862E" w14:textId="77777777" w:rsidR="00732320" w:rsidRPr="00DD47DF" w:rsidRDefault="000B1709" w:rsidP="000B1709">
      <w:pPr>
        <w:pStyle w:val="Standardntext"/>
      </w:pPr>
      <w:r w:rsidRPr="00DD47DF">
        <w:t xml:space="preserve">Bližší specifikace </w:t>
      </w:r>
      <w:r w:rsidR="008C0067" w:rsidRPr="00DD47DF">
        <w:t xml:space="preserve">níže </w:t>
      </w:r>
      <w:r w:rsidRPr="00DD47DF">
        <w:t>identifikovaných komplementárních a synergických vazeb</w:t>
      </w:r>
      <w:r w:rsidR="00CF4719" w:rsidRPr="00DD47DF">
        <w:t>, včetně koordinačních mechanismů,</w:t>
      </w:r>
      <w:r w:rsidRPr="00DD47DF">
        <w:t xml:space="preserve"> je součástí </w:t>
      </w:r>
      <w:r w:rsidR="00D3716C" w:rsidRPr="00DD47DF">
        <w:t>Nepovinné p</w:t>
      </w:r>
      <w:r w:rsidRPr="00DD47DF">
        <w:t xml:space="preserve">řílohy č. </w:t>
      </w:r>
      <w:r w:rsidR="00F734D1" w:rsidRPr="00DD47DF">
        <w:t>4</w:t>
      </w:r>
      <w:r w:rsidRPr="00DD47DF">
        <w:t>.</w:t>
      </w:r>
    </w:p>
    <w:p w14:paraId="77468054" w14:textId="77777777" w:rsidR="000B1709" w:rsidRPr="00DD47DF" w:rsidRDefault="005B0FF9" w:rsidP="000B1709">
      <w:pPr>
        <w:pStyle w:val="Standardntext"/>
      </w:pPr>
      <w:r w:rsidRPr="00DD47DF">
        <w:t xml:space="preserve">Mechanismem spolupráce </w:t>
      </w:r>
      <w:r w:rsidR="00706740" w:rsidRPr="00DD47DF">
        <w:t xml:space="preserve">jsou a nadále </w:t>
      </w:r>
      <w:r w:rsidR="00A567C4" w:rsidRPr="00DD47DF">
        <w:t xml:space="preserve">budou </w:t>
      </w:r>
      <w:r w:rsidRPr="00DD47DF">
        <w:t xml:space="preserve">jednak bilaterální </w:t>
      </w:r>
      <w:r w:rsidR="006D168E" w:rsidRPr="00DD47DF">
        <w:t>(v případě většího počtu zainteresovaných řídících orgánů</w:t>
      </w:r>
      <w:r w:rsidRPr="00DD47DF">
        <w:t xml:space="preserve"> multilaterální</w:t>
      </w:r>
      <w:r w:rsidR="006D168E" w:rsidRPr="00DD47DF">
        <w:t>)</w:t>
      </w:r>
      <w:r w:rsidRPr="00DD47DF">
        <w:t xml:space="preserve"> diskuse ohledně věcného zaměření příslušných oblastí intervencí a rovněž v</w:t>
      </w:r>
      <w:r w:rsidR="006D168E" w:rsidRPr="00DD47DF">
        <w:t>zájemná</w:t>
      </w:r>
      <w:r w:rsidRPr="00DD47DF">
        <w:t xml:space="preserve"> účast v relevantních </w:t>
      </w:r>
      <w:r w:rsidR="00B6210A" w:rsidRPr="00DD47DF">
        <w:t xml:space="preserve">pracovních skupinách či </w:t>
      </w:r>
      <w:r w:rsidRPr="00DD47DF">
        <w:t xml:space="preserve">platformách ustavených </w:t>
      </w:r>
      <w:r w:rsidR="006D168E" w:rsidRPr="00DD47DF">
        <w:t>na úrovni operačních programů</w:t>
      </w:r>
      <w:r w:rsidR="005473E3" w:rsidRPr="00DD47DF">
        <w:t xml:space="preserve"> i</w:t>
      </w:r>
      <w:r w:rsidR="006D168E" w:rsidRPr="00DD47DF">
        <w:t xml:space="preserve"> Dohody o partnerství</w:t>
      </w:r>
      <w:r w:rsidRPr="00DD47DF">
        <w:t>.</w:t>
      </w:r>
      <w:r w:rsidR="00B6210A" w:rsidRPr="00DD47DF">
        <w:t xml:space="preserve"> Ve fázi realizace se </w:t>
      </w:r>
      <w:r w:rsidR="0062540E" w:rsidRPr="00DD47DF">
        <w:t xml:space="preserve">u vybraných aktivit </w:t>
      </w:r>
      <w:r w:rsidR="00B6210A" w:rsidRPr="00DD47DF">
        <w:t xml:space="preserve">předpokládá </w:t>
      </w:r>
      <w:r w:rsidR="0062540E" w:rsidRPr="00DD47DF">
        <w:t xml:space="preserve">koordinace výzev a dále </w:t>
      </w:r>
      <w:r w:rsidR="00B6210A" w:rsidRPr="00DD47DF">
        <w:t>vzájemné zastoupení zástupců řídícího orgánu daného programu na monitorovacích výborech, koordinace prostřednictvím centrálního webového rozhraní MMR-NOK poskytující komplexní informace potenciálním žadatelům, či spolupráce na evaluacích v dané oblasti.</w:t>
      </w:r>
    </w:p>
    <w:p w14:paraId="66B60CC0" w14:textId="77777777" w:rsidR="00B117BE" w:rsidRPr="00DD47DF" w:rsidRDefault="00B117BE" w:rsidP="00DA7257">
      <w:pPr>
        <w:pStyle w:val="Standardntext"/>
        <w:keepNext/>
        <w:keepLines/>
        <w:numPr>
          <w:ilvl w:val="0"/>
          <w:numId w:val="30"/>
        </w:numPr>
        <w:rPr>
          <w:b/>
        </w:rPr>
      </w:pPr>
      <w:r w:rsidRPr="00DD47DF">
        <w:rPr>
          <w:b/>
        </w:rPr>
        <w:t>Inovace a podnikání</w:t>
      </w:r>
    </w:p>
    <w:p w14:paraId="711413DD" w14:textId="77777777" w:rsidR="00B117BE" w:rsidRPr="00DD47DF" w:rsidRDefault="00EF1F7A" w:rsidP="00B117BE">
      <w:pPr>
        <w:pStyle w:val="Standardntext"/>
      </w:pPr>
      <w:r w:rsidRPr="00DD47DF">
        <w:t xml:space="preserve">Jde o synergickou vazbu mezi </w:t>
      </w:r>
      <w:r w:rsidR="00B12201" w:rsidRPr="00DD47DF">
        <w:t>PO</w:t>
      </w:r>
      <w:r w:rsidRPr="00DD47DF">
        <w:t xml:space="preserve"> 1 a 2</w:t>
      </w:r>
      <w:r w:rsidR="00B12201" w:rsidRPr="00DD47DF">
        <w:t xml:space="preserve"> OP PIK</w:t>
      </w:r>
      <w:r w:rsidRPr="00DD47DF">
        <w:t xml:space="preserve">. </w:t>
      </w:r>
      <w:r w:rsidR="00B117BE" w:rsidRPr="00DD47DF">
        <w:t xml:space="preserve">Aktivity </w:t>
      </w:r>
      <w:r w:rsidR="00B12201" w:rsidRPr="00DD47DF">
        <w:t>SC 2.1 a 2.2</w:t>
      </w:r>
      <w:r w:rsidR="00B117BE" w:rsidRPr="00DD47DF">
        <w:t xml:space="preserve"> vytvářejí prostor pro </w:t>
      </w:r>
      <w:r w:rsidR="00B135E4" w:rsidRPr="00DD47DF">
        <w:t>možnost podnikatelů naučit se</w:t>
      </w:r>
      <w:r w:rsidR="00B117BE" w:rsidRPr="00DD47DF">
        <w:t xml:space="preserve"> efektivně využívat služby sofistikovaného inovačního poradenství, na jehož základě se jim otevřou dosud nevyužité možnosti pro růst jejich konkurenceschopnosti na mezinárodním trhu. MSP se tak mohou dostat na vyšší stupeň poznání v oblasti inovací a budou mít možnost využít nové směry pro uplatnění svých podnikatelských záměrů v </w:t>
      </w:r>
      <w:r w:rsidR="005275CF" w:rsidRPr="00DD47DF">
        <w:rPr>
          <w:b/>
        </w:rPr>
        <w:t>PO</w:t>
      </w:r>
      <w:r w:rsidR="00B117BE" w:rsidRPr="00DD47DF">
        <w:rPr>
          <w:b/>
        </w:rPr>
        <w:t xml:space="preserve"> 1 OP PIK</w:t>
      </w:r>
      <w:r w:rsidR="00B117BE" w:rsidRPr="00DD47DF">
        <w:t>, která je orientována spíše na podnikatelské subjekty se zkušenostmi na poli VaVaI.</w:t>
      </w:r>
    </w:p>
    <w:p w14:paraId="2A4AF7A1" w14:textId="77777777" w:rsidR="00A05FA8" w:rsidRPr="00DD47DF" w:rsidRDefault="00A05FA8" w:rsidP="00DA7257">
      <w:pPr>
        <w:pStyle w:val="Standardntext"/>
        <w:keepNext/>
        <w:keepLines/>
        <w:numPr>
          <w:ilvl w:val="0"/>
          <w:numId w:val="30"/>
        </w:numPr>
        <w:rPr>
          <w:b/>
        </w:rPr>
      </w:pPr>
      <w:r w:rsidRPr="00DD47DF">
        <w:rPr>
          <w:b/>
        </w:rPr>
        <w:t>Úspory energií a rekonstrukce podnikatelských nemovitostí</w:t>
      </w:r>
    </w:p>
    <w:p w14:paraId="190A9629" w14:textId="77777777" w:rsidR="00A05FA8" w:rsidRPr="00DD47DF" w:rsidRDefault="005275CF" w:rsidP="00A05FA8">
      <w:pPr>
        <w:pStyle w:val="Standardntext"/>
      </w:pPr>
      <w:r w:rsidRPr="00DD47DF">
        <w:rPr>
          <w:b/>
        </w:rPr>
        <w:t>PO</w:t>
      </w:r>
      <w:r w:rsidR="008C0067" w:rsidRPr="00DD47DF">
        <w:rPr>
          <w:b/>
        </w:rPr>
        <w:t xml:space="preserve"> 3 </w:t>
      </w:r>
      <w:r w:rsidRPr="00DD47DF">
        <w:rPr>
          <w:b/>
        </w:rPr>
        <w:t>OP PIK</w:t>
      </w:r>
      <w:r w:rsidRPr="00DD47DF">
        <w:t xml:space="preserve"> </w:t>
      </w:r>
      <w:r w:rsidR="008C0067" w:rsidRPr="00DD47DF">
        <w:t xml:space="preserve">zajišťuje možnost realizace úspory energie v budovách i u takových operací, které nutně neznamenají kompletní rekonstrukci podnikatelské nemovitosti. Rozsah zásahu v rámci </w:t>
      </w:r>
      <w:r w:rsidR="00B47EAC" w:rsidRPr="00DD47DF">
        <w:t>SC</w:t>
      </w:r>
      <w:r w:rsidR="008C0067" w:rsidRPr="00DD47DF">
        <w:t xml:space="preserve"> 2.3 vhodně doplňuje a rozšiřuje svým obsahem oblast </w:t>
      </w:r>
      <w:r w:rsidR="00B47EAC" w:rsidRPr="00DD47DF">
        <w:t>SC</w:t>
      </w:r>
      <w:r w:rsidR="008C0067" w:rsidRPr="00DD47DF">
        <w:t xml:space="preserve"> 3.2, která pokrývá pouze oblast úspor energie, a je tak svým obsahem nevyužitelná pro záměry komplexních regenerací ploch určených pro podnikání, u nichž pro nové efektivní využití nestačí prostá opatření snižující energetickou náročnost budovy. </w:t>
      </w:r>
      <w:r w:rsidR="00A05FA8" w:rsidRPr="00DD47DF">
        <w:t xml:space="preserve">Dělicí linií mezi </w:t>
      </w:r>
      <w:r w:rsidR="00B12201" w:rsidRPr="00DD47DF">
        <w:t>PO</w:t>
      </w:r>
      <w:r w:rsidR="00816FF7" w:rsidRPr="00DD47DF">
        <w:t xml:space="preserve"> 2 a 3</w:t>
      </w:r>
      <w:r w:rsidR="00A05FA8" w:rsidRPr="00DD47DF">
        <w:t xml:space="preserve"> </w:t>
      </w:r>
      <w:r w:rsidR="00816FF7" w:rsidRPr="00DD47DF">
        <w:t xml:space="preserve">OP PIK </w:t>
      </w:r>
      <w:r w:rsidR="00A05FA8" w:rsidRPr="00DD47DF">
        <w:t xml:space="preserve">je v této oblasti komplexnost opatření. Bude-li investiční hodnota navržených opatření převyšovat hodnotu daného objektu před rekonstrukcí (včetně požadavků na míru opotřebení a technickou degradaci), pak jde o komplexní opatření spadající do </w:t>
      </w:r>
      <w:r w:rsidR="00B12201" w:rsidRPr="00DD47DF">
        <w:t>SC 2.3</w:t>
      </w:r>
      <w:r w:rsidR="00A05FA8" w:rsidRPr="00DD47DF">
        <w:t>. Půjde-li pouze o dílčí opatření s cenou nižší</w:t>
      </w:r>
      <w:r w:rsidR="006E4DCE" w:rsidRPr="00DD47DF">
        <w:t>,</w:t>
      </w:r>
      <w:r w:rsidR="00A05FA8" w:rsidRPr="00DD47DF">
        <w:t xml:space="preserve"> než je hodnota objektu, pak bude možné řešit pouze opatření vedoucí ke snížení energetické náročnosti a projekt bude zařazen do </w:t>
      </w:r>
      <w:r w:rsidR="00B12201" w:rsidRPr="00DD47DF">
        <w:t>SC 3.2</w:t>
      </w:r>
      <w:r w:rsidR="00A05FA8" w:rsidRPr="00DD47DF">
        <w:t>.</w:t>
      </w:r>
    </w:p>
    <w:p w14:paraId="462F5EFD" w14:textId="77777777" w:rsidR="000B1709" w:rsidRPr="00DD47DF" w:rsidRDefault="000B1709" w:rsidP="00DA7257">
      <w:pPr>
        <w:pStyle w:val="Standardntext"/>
        <w:numPr>
          <w:ilvl w:val="0"/>
          <w:numId w:val="30"/>
        </w:numPr>
        <w:rPr>
          <w:b/>
        </w:rPr>
      </w:pPr>
      <w:r w:rsidRPr="00DD47DF">
        <w:rPr>
          <w:b/>
        </w:rPr>
        <w:t>Výzkum, vývoj a inovace</w:t>
      </w:r>
    </w:p>
    <w:p w14:paraId="225BDD50" w14:textId="77777777" w:rsidR="00B135E4" w:rsidRPr="00DD47DF" w:rsidRDefault="000B1709" w:rsidP="00342AA5">
      <w:pPr>
        <w:pStyle w:val="Standardntext"/>
      </w:pPr>
      <w:r w:rsidRPr="00DD47DF">
        <w:t xml:space="preserve">V této oblasti má OP PIK jednoznačnou vazbu na </w:t>
      </w:r>
      <w:r w:rsidRPr="00DD47DF">
        <w:rPr>
          <w:b/>
        </w:rPr>
        <w:t>OP VVV</w:t>
      </w:r>
      <w:r w:rsidR="00B135E4" w:rsidRPr="00DD47DF">
        <w:t>, který</w:t>
      </w:r>
      <w:r w:rsidRPr="00DD47DF">
        <w:t xml:space="preserve"> </w:t>
      </w:r>
      <w:r w:rsidR="00B135E4" w:rsidRPr="00DD47DF">
        <w:t>se zaměřuje</w:t>
      </w:r>
      <w:r w:rsidRPr="00DD47DF">
        <w:t xml:space="preserve"> na spolupráci výzkumných organizací a podniků ve velmi rané fázi výzkumu, kdy je </w:t>
      </w:r>
      <w:r w:rsidR="00627385" w:rsidRPr="00DD47DF">
        <w:t xml:space="preserve">vysoké </w:t>
      </w:r>
      <w:r w:rsidRPr="00DD47DF">
        <w:t xml:space="preserve">riziko </w:t>
      </w:r>
      <w:r w:rsidR="00627385" w:rsidRPr="00DD47DF">
        <w:t xml:space="preserve">výsledku výzkumu a potenciál jeho </w:t>
      </w:r>
      <w:r w:rsidRPr="00DD47DF">
        <w:t>uplatnění až v dlouhodobém horizontu. OP PIK bude naproti tomu podporovat opatření pro zvýšení inovační výkonnosti podniků, využití výsledků aplikovaného výzkumu a experimentálního vývoje v praxi a do rozvoje spolupráce mezi podnikatelským sektorem a veřejnými, vzdělávacími a vědecko-výzkumnými institucemi.</w:t>
      </w:r>
      <w:r w:rsidR="00C46B27" w:rsidRPr="00DD47DF">
        <w:t xml:space="preserve"> Základem vzájemné spolupráce je </w:t>
      </w:r>
      <w:r w:rsidR="00C46B27" w:rsidRPr="00DD47DF">
        <w:rPr>
          <w:i/>
        </w:rPr>
        <w:t>Memorandum o spolupráci při přípravě a budoucí realizaci OP PIK a OP VVV</w:t>
      </w:r>
      <w:r w:rsidR="00C46B27" w:rsidRPr="00DD47DF">
        <w:t xml:space="preserve">. </w:t>
      </w:r>
    </w:p>
    <w:p w14:paraId="394611E4" w14:textId="77777777" w:rsidR="00201994" w:rsidRPr="00DD47DF" w:rsidRDefault="00201994" w:rsidP="00943140">
      <w:pPr>
        <w:pStyle w:val="Standardntext"/>
      </w:pPr>
      <w:r w:rsidRPr="00DD47DF">
        <w:lastRenderedPageBreak/>
        <w:t xml:space="preserve">OP PIK má v oblasti VaVaI dále vazbu na </w:t>
      </w:r>
      <w:r w:rsidR="00627385" w:rsidRPr="00DD47DF">
        <w:t>OP PPR</w:t>
      </w:r>
      <w:r w:rsidR="00B12201" w:rsidRPr="00DD47DF">
        <w:t>, PRV, OP R</w:t>
      </w:r>
      <w:r w:rsidR="002A55DA" w:rsidRPr="00DD47DF">
        <w:t>, vybrané</w:t>
      </w:r>
      <w:r w:rsidRPr="00DD47DF">
        <w:t xml:space="preserve"> </w:t>
      </w:r>
      <w:r w:rsidR="002A55DA" w:rsidRPr="00DD47DF">
        <w:t xml:space="preserve">programy </w:t>
      </w:r>
      <w:r w:rsidR="00F925BD" w:rsidRPr="00DD47DF">
        <w:t xml:space="preserve">přeshraniční spolupráce v rámci </w:t>
      </w:r>
      <w:r w:rsidRPr="00DD47DF">
        <w:t>Cíle 2</w:t>
      </w:r>
      <w:r w:rsidR="004B7028" w:rsidRPr="00DD47DF">
        <w:t xml:space="preserve"> a další</w:t>
      </w:r>
      <w:r w:rsidR="004311B6" w:rsidRPr="00DD47DF">
        <w:t xml:space="preserve"> relevantní program</w:t>
      </w:r>
      <w:r w:rsidR="002A55DA" w:rsidRPr="00DD47DF">
        <w:t xml:space="preserve">y nadnárodní </w:t>
      </w:r>
      <w:r w:rsidR="0015513D" w:rsidRPr="00DD47DF">
        <w:t xml:space="preserve">(Central Europe 2020, Danube) </w:t>
      </w:r>
      <w:r w:rsidR="002A55DA" w:rsidRPr="00DD47DF">
        <w:t>a meziregionální spolupráce</w:t>
      </w:r>
      <w:r w:rsidR="0015513D" w:rsidRPr="00DD47DF">
        <w:t xml:space="preserve"> (Interreg Europe, Espon 2020)</w:t>
      </w:r>
      <w:r w:rsidR="00B135E4" w:rsidRPr="00DD47DF">
        <w:t>.</w:t>
      </w:r>
      <w:r w:rsidR="00BD3CD0" w:rsidRPr="00DD47DF">
        <w:t xml:space="preserve"> Podpora z OP PIK bude mj. umožňovat vícestrannou mezinárodní spolupráci ve výzkumu.</w:t>
      </w:r>
    </w:p>
    <w:p w14:paraId="50292AC6" w14:textId="77777777" w:rsidR="00693B57" w:rsidRPr="00DD47DF" w:rsidRDefault="00693B57" w:rsidP="00DA7257">
      <w:pPr>
        <w:pStyle w:val="Standardntext"/>
        <w:numPr>
          <w:ilvl w:val="0"/>
          <w:numId w:val="30"/>
        </w:numPr>
        <w:spacing w:after="240"/>
        <w:rPr>
          <w:b/>
        </w:rPr>
      </w:pPr>
      <w:r w:rsidRPr="00DD47DF">
        <w:rPr>
          <w:b/>
        </w:rPr>
        <w:t>Podpora podnikání MSP</w:t>
      </w:r>
    </w:p>
    <w:p w14:paraId="565ACAB1" w14:textId="77777777" w:rsidR="00F35D30" w:rsidRPr="00DD47DF" w:rsidRDefault="00693B57" w:rsidP="00295FCA">
      <w:pPr>
        <w:pStyle w:val="Standardntext"/>
      </w:pPr>
      <w:r w:rsidRPr="00DD47DF">
        <w:t xml:space="preserve">Na zvýšení konkurenceschopnosti </w:t>
      </w:r>
      <w:r w:rsidR="006E4DCE" w:rsidRPr="00DD47DF">
        <w:t>MSP</w:t>
      </w:r>
      <w:r w:rsidRPr="00DD47DF">
        <w:t xml:space="preserve"> se kromě OP PIK zaměřuje také </w:t>
      </w:r>
      <w:r w:rsidRPr="00DD47DF">
        <w:rPr>
          <w:b/>
        </w:rPr>
        <w:t>PRV</w:t>
      </w:r>
      <w:r w:rsidR="00F35D30" w:rsidRPr="00DD47DF">
        <w:t xml:space="preserve"> a </w:t>
      </w:r>
      <w:r w:rsidR="00F35D30" w:rsidRPr="00DD47DF">
        <w:rPr>
          <w:b/>
        </w:rPr>
        <w:t>OP R</w:t>
      </w:r>
      <w:r w:rsidRPr="00DD47DF">
        <w:t xml:space="preserve">. </w:t>
      </w:r>
      <w:r w:rsidR="00114021" w:rsidRPr="00DD47DF">
        <w:t>Z</w:t>
      </w:r>
      <w:r w:rsidRPr="00DD47DF">
        <w:t>ákladní rozdělení intervencí mezi OP PIK a PRV je z pohledu příjemců (tj. zemědělský podnikatel, definovaný zákonem o zemědělství, a nezemědělský podnikatel) a dále z pohledu výstupu projektu dle Přílohy I. Smlouvy</w:t>
      </w:r>
      <w:r w:rsidR="00F35D30" w:rsidRPr="00DD47DF">
        <w:t xml:space="preserve"> o fungování EU</w:t>
      </w:r>
      <w:r w:rsidRPr="00DD47DF">
        <w:t xml:space="preserve"> (tzv. annexové a non-annexové položky).</w:t>
      </w:r>
      <w:r w:rsidR="00295FCA" w:rsidRPr="00DD47DF">
        <w:t xml:space="preserve"> </w:t>
      </w:r>
      <w:r w:rsidR="00F35D30" w:rsidRPr="00DD47DF">
        <w:t xml:space="preserve">OP </w:t>
      </w:r>
      <w:r w:rsidR="00295FCA" w:rsidRPr="00DD47DF">
        <w:t xml:space="preserve">R </w:t>
      </w:r>
      <w:r w:rsidR="00F35D30" w:rsidRPr="00DD47DF">
        <w:t>se soustředí na podniky akvakultury v ob</w:t>
      </w:r>
      <w:r w:rsidR="00295FCA" w:rsidRPr="00DD47DF">
        <w:t>lasti zpracovatelského průmyslu</w:t>
      </w:r>
      <w:r w:rsidR="00F35D30" w:rsidRPr="00DD47DF">
        <w:t>.</w:t>
      </w:r>
    </w:p>
    <w:p w14:paraId="741EBD31" w14:textId="77777777" w:rsidR="005530D1" w:rsidRPr="00DD47DF" w:rsidRDefault="005530D1" w:rsidP="00DA7257">
      <w:pPr>
        <w:pStyle w:val="Standardntext"/>
        <w:numPr>
          <w:ilvl w:val="0"/>
          <w:numId w:val="30"/>
        </w:numPr>
        <w:rPr>
          <w:b/>
        </w:rPr>
      </w:pPr>
      <w:r w:rsidRPr="00DD47DF">
        <w:rPr>
          <w:b/>
        </w:rPr>
        <w:t>Sociální podnikání</w:t>
      </w:r>
    </w:p>
    <w:p w14:paraId="5A4CF949" w14:textId="77777777" w:rsidR="005530D1" w:rsidRPr="00DD47DF" w:rsidRDefault="005530D1" w:rsidP="005530D1">
      <w:pPr>
        <w:pStyle w:val="Standardntext"/>
      </w:pPr>
      <w:r w:rsidRPr="00DD47DF">
        <w:t xml:space="preserve">Problematikou sociálního podnikání se primárně zabývají </w:t>
      </w:r>
      <w:r w:rsidRPr="00DD47DF">
        <w:rPr>
          <w:b/>
        </w:rPr>
        <w:t>OP Z</w:t>
      </w:r>
      <w:r w:rsidRPr="00DD47DF">
        <w:t xml:space="preserve">, </w:t>
      </w:r>
      <w:r w:rsidRPr="00DD47DF">
        <w:rPr>
          <w:b/>
        </w:rPr>
        <w:t>IROP</w:t>
      </w:r>
      <w:r w:rsidRPr="00DD47DF">
        <w:t xml:space="preserve"> a </w:t>
      </w:r>
      <w:r w:rsidRPr="00DD47DF">
        <w:rPr>
          <w:b/>
        </w:rPr>
        <w:t>OP PPR</w:t>
      </w:r>
      <w:r w:rsidRPr="00DD47DF">
        <w:t>. Zatímco jmenované operační programy se soustřeďují na sociální podnikání jako takové</w:t>
      </w:r>
      <w:r w:rsidR="004578DA" w:rsidRPr="00DD47DF">
        <w:t xml:space="preserve"> (ve smyslu podpory vzniku a činnosti sociálních podniků), </w:t>
      </w:r>
      <w:r w:rsidRPr="00DD47DF">
        <w:t>předmětem OP PIK je spíše posílení sociálního rozměru podnikání. Jeho podstatou je, aby jakýkoliv malý či střední podnik, který splní dané podmínky a prokáže realizací podpořeného projektu zaměstnávání osob ze znevýhodněných skupin obyvatelstva, byl zvýhodněn oproti jiným žadatelům, kteří v projektu tento typ pracovních míst nevytvoří. Přímá vazba OP PIK na uvedené operační programy se proto v této oblasti nepředpokládá.</w:t>
      </w:r>
    </w:p>
    <w:p w14:paraId="5604425B" w14:textId="77777777" w:rsidR="000B1709" w:rsidRPr="00DD47DF" w:rsidRDefault="000B1709" w:rsidP="00DA7257">
      <w:pPr>
        <w:pStyle w:val="Standardntext"/>
        <w:numPr>
          <w:ilvl w:val="0"/>
          <w:numId w:val="30"/>
        </w:numPr>
        <w:rPr>
          <w:b/>
        </w:rPr>
      </w:pPr>
      <w:r w:rsidRPr="00DD47DF">
        <w:rPr>
          <w:b/>
        </w:rPr>
        <w:t>Odborné vzdělávání</w:t>
      </w:r>
    </w:p>
    <w:p w14:paraId="7C7278EB" w14:textId="77777777" w:rsidR="00B12201" w:rsidRPr="00DD47DF" w:rsidRDefault="00C46B27" w:rsidP="000B1709">
      <w:pPr>
        <w:pStyle w:val="Standardntext"/>
      </w:pPr>
      <w:r w:rsidRPr="00DD47DF">
        <w:t xml:space="preserve">Zatímco odborné vzdělávání jako takové je předmětem podpory v rámci </w:t>
      </w:r>
      <w:r w:rsidRPr="00DD47DF">
        <w:rPr>
          <w:b/>
        </w:rPr>
        <w:t>OP Z</w:t>
      </w:r>
      <w:r w:rsidRPr="00DD47DF">
        <w:t>, OP PIK se orientuje na infrastrukturu pro odborné vzdělávání</w:t>
      </w:r>
      <w:r w:rsidR="003E1F87" w:rsidRPr="00DD47DF">
        <w:t xml:space="preserve"> zaměstnanců (zaměstnavatelů) </w:t>
      </w:r>
      <w:r w:rsidR="005D178C" w:rsidRPr="00DD47DF">
        <w:t>MSP</w:t>
      </w:r>
      <w:r w:rsidR="00FF6238" w:rsidRPr="00DD47DF">
        <w:t xml:space="preserve"> (j</w:t>
      </w:r>
      <w:r w:rsidR="003E1F87" w:rsidRPr="00DD47DF">
        <w:t>de o podpor</w:t>
      </w:r>
      <w:r w:rsidR="00FF6238" w:rsidRPr="00DD47DF">
        <w:t>u</w:t>
      </w:r>
      <w:r w:rsidR="003E1F87" w:rsidRPr="00DD47DF">
        <w:t xml:space="preserve"> tvrdých investic z</w:t>
      </w:r>
      <w:r w:rsidR="00FF6238" w:rsidRPr="00DD47DF">
        <w:t> </w:t>
      </w:r>
      <w:r w:rsidR="003E1F87" w:rsidRPr="00DD47DF">
        <w:t>ERDF</w:t>
      </w:r>
      <w:r w:rsidR="00FF6238" w:rsidRPr="00DD47DF">
        <w:t>)</w:t>
      </w:r>
      <w:r w:rsidRPr="00DD47DF">
        <w:t xml:space="preserve">. </w:t>
      </w:r>
      <w:r w:rsidR="00FF6238" w:rsidRPr="00DD47DF">
        <w:t xml:space="preserve">MPSV bude podporovat další vzdělávání dospělých stojících mimo počáteční vzdělávání v prioritní ose 1 OP Z (podpora měkkých investic z ESF). </w:t>
      </w:r>
      <w:r w:rsidR="00B135E4" w:rsidRPr="00DD47DF">
        <w:t>Oba ř</w:t>
      </w:r>
      <w:r w:rsidRPr="00DD47DF">
        <w:t xml:space="preserve">ídící orgány navazují </w:t>
      </w:r>
      <w:r w:rsidR="00B135E4" w:rsidRPr="00DD47DF">
        <w:t xml:space="preserve">na dřívější spolupráci </w:t>
      </w:r>
      <w:r w:rsidRPr="00DD47DF">
        <w:rPr>
          <w:i/>
        </w:rPr>
        <w:t xml:space="preserve">Memorandem o spolupráci </w:t>
      </w:r>
      <w:r w:rsidR="001C38E4" w:rsidRPr="00DD47DF">
        <w:rPr>
          <w:i/>
        </w:rPr>
        <w:t>při přípravě a budoucí realizaci</w:t>
      </w:r>
      <w:r w:rsidRPr="00DD47DF">
        <w:rPr>
          <w:i/>
        </w:rPr>
        <w:t xml:space="preserve"> OP Z </w:t>
      </w:r>
      <w:r w:rsidRPr="00DD47DF">
        <w:t>uzavřeným na úrovni příslušných ministrů. V něm se oba řídící orgány dohodly, že MPO bude „věcným garantem“ za oblast odborného vzdělávání v průmyslových odvětvích ve vazbě na podporu podnikání v rámci prioritní osy 1 OP Z.</w:t>
      </w:r>
    </w:p>
    <w:p w14:paraId="4E95C3BC" w14:textId="77777777" w:rsidR="008C0067" w:rsidRPr="00DD47DF" w:rsidRDefault="008C0067" w:rsidP="000B1709">
      <w:pPr>
        <w:pStyle w:val="Standardntext"/>
      </w:pPr>
      <w:r w:rsidRPr="00DD47DF">
        <w:t xml:space="preserve">V oblasti vzdělávání intervenuje dále také OP VVV, v rámci něhož bude podporováno odborné vzdělávání studentů a učitelů technických oborů </w:t>
      </w:r>
      <w:r w:rsidR="00D40B0C" w:rsidRPr="00DD47DF">
        <w:t>v rámci</w:t>
      </w:r>
      <w:r w:rsidRPr="00DD47DF">
        <w:t xml:space="preserve"> škol. V OP PIK bude naproti tomu umožněno využití podnikových vzdělávacích kapacit také pro </w:t>
      </w:r>
      <w:r w:rsidR="0004418E" w:rsidRPr="00DD47DF">
        <w:t>odborný výcvik, odborné praxe a stáže žáků a studentů škol</w:t>
      </w:r>
      <w:r w:rsidRPr="00DD47DF">
        <w:t>, se kterými podpořený MSP naváže spolupráci.</w:t>
      </w:r>
    </w:p>
    <w:p w14:paraId="6282E095" w14:textId="77777777" w:rsidR="00B135E4" w:rsidRPr="00DD47DF" w:rsidRDefault="008C0067" w:rsidP="000B1709">
      <w:pPr>
        <w:pStyle w:val="Standardntext"/>
      </w:pPr>
      <w:r w:rsidRPr="00DD47DF">
        <w:t xml:space="preserve">Aktivity PRV jsou sledovány pro účely </w:t>
      </w:r>
      <w:r w:rsidR="0016670E" w:rsidRPr="00DD47DF">
        <w:t>komplexního zajištění odborného vzdělávání – PRV pro zemědělské podniky</w:t>
      </w:r>
      <w:r w:rsidRPr="00DD47DF">
        <w:t>.</w:t>
      </w:r>
    </w:p>
    <w:p w14:paraId="51EE9370" w14:textId="77777777" w:rsidR="0062540E" w:rsidRPr="00DD47DF" w:rsidRDefault="0062540E" w:rsidP="00DA7257">
      <w:pPr>
        <w:pStyle w:val="Standardntext"/>
        <w:numPr>
          <w:ilvl w:val="0"/>
          <w:numId w:val="30"/>
        </w:numPr>
        <w:rPr>
          <w:b/>
        </w:rPr>
      </w:pPr>
      <w:r w:rsidRPr="00DD47DF">
        <w:rPr>
          <w:b/>
        </w:rPr>
        <w:t>Brownfield</w:t>
      </w:r>
      <w:r w:rsidR="00BF7E1C" w:rsidRPr="00DD47DF">
        <w:rPr>
          <w:b/>
        </w:rPr>
        <w:t>y</w:t>
      </w:r>
    </w:p>
    <w:p w14:paraId="489B0B53" w14:textId="77777777" w:rsidR="0062540E" w:rsidRPr="00DD47DF" w:rsidRDefault="0062540E" w:rsidP="004A282B">
      <w:pPr>
        <w:pStyle w:val="Standardntext"/>
      </w:pPr>
      <w:r w:rsidRPr="00DD47DF">
        <w:t>Vedle OP PIK řeší otázku brownfield</w:t>
      </w:r>
      <w:r w:rsidR="00BF7E1C" w:rsidRPr="00DD47DF">
        <w:t>ů</w:t>
      </w:r>
      <w:r w:rsidRPr="00DD47DF">
        <w:t xml:space="preserve"> rovněž </w:t>
      </w:r>
      <w:r w:rsidRPr="00DD47DF">
        <w:rPr>
          <w:b/>
        </w:rPr>
        <w:t>OP ŽP</w:t>
      </w:r>
      <w:r w:rsidRPr="00DD47DF">
        <w:t xml:space="preserve"> a </w:t>
      </w:r>
      <w:r w:rsidR="0023733C" w:rsidRPr="00DD47DF">
        <w:t xml:space="preserve">nepřímo také </w:t>
      </w:r>
      <w:r w:rsidRPr="00DD47DF">
        <w:rPr>
          <w:b/>
        </w:rPr>
        <w:t>PRV</w:t>
      </w:r>
      <w:r w:rsidRPr="00DD47DF">
        <w:t>. Předmětem podpory v OP ŽP je</w:t>
      </w:r>
      <w:r w:rsidR="00E2032C" w:rsidRPr="00DD47DF">
        <w:t xml:space="preserve"> sanace vážně kontaminovaných lokalit, u nichž jsou prokázána rizika pro lidské zdraví a ekosystémy</w:t>
      </w:r>
      <w:r w:rsidR="00B41B04" w:rsidRPr="00DD47DF">
        <w:t>.</w:t>
      </w:r>
      <w:r w:rsidR="00E2032C" w:rsidRPr="00DD47DF">
        <w:t xml:space="preserve"> V rámci OP PIK nebude podporována sanace ekologických zátěží, ale bude podporována demolice a likvidace stavebních materiálů, z nichž některé mohou spadat do vyšší rizikovosti</w:t>
      </w:r>
      <w:r w:rsidR="00270C7E" w:rsidRPr="00DD47DF">
        <w:t>.</w:t>
      </w:r>
    </w:p>
    <w:p w14:paraId="7F0E4E9C" w14:textId="77777777" w:rsidR="0062540E" w:rsidRPr="00DD47DF" w:rsidRDefault="0062540E" w:rsidP="004A282B">
      <w:pPr>
        <w:pStyle w:val="Standardntext"/>
      </w:pPr>
      <w:r w:rsidRPr="00DD47DF">
        <w:t xml:space="preserve">V případě PRV jde </w:t>
      </w:r>
      <w:r w:rsidR="00E2032C" w:rsidRPr="00DD47DF">
        <w:t>rovněž</w:t>
      </w:r>
      <w:r w:rsidRPr="00DD47DF">
        <w:t xml:space="preserve"> o komplementaritu</w:t>
      </w:r>
      <w:r w:rsidR="007A32C8" w:rsidRPr="00DD47DF">
        <w:t>,</w:t>
      </w:r>
      <w:r w:rsidRPr="00DD47DF">
        <w:t xml:space="preserve"> </w:t>
      </w:r>
      <w:r w:rsidR="007A32C8" w:rsidRPr="00DD47DF">
        <w:t xml:space="preserve">kdy výběr projektů </w:t>
      </w:r>
      <w:r w:rsidR="0023733C" w:rsidRPr="00DD47DF">
        <w:t xml:space="preserve">PRV </w:t>
      </w:r>
      <w:r w:rsidR="007A32C8" w:rsidRPr="00DD47DF">
        <w:t>bude v některých opatřeních posuzován také z hlediska možné revitalizace brownfield</w:t>
      </w:r>
      <w:r w:rsidR="00BF7E1C" w:rsidRPr="00DD47DF">
        <w:t>ů</w:t>
      </w:r>
      <w:r w:rsidRPr="00DD47DF">
        <w:t>.</w:t>
      </w:r>
    </w:p>
    <w:p w14:paraId="62EAA03E" w14:textId="77777777" w:rsidR="000B1709" w:rsidRPr="00DD47DF" w:rsidRDefault="000B1709" w:rsidP="00DA7257">
      <w:pPr>
        <w:pStyle w:val="Standardntext"/>
        <w:keepNext/>
        <w:keepLines/>
        <w:numPr>
          <w:ilvl w:val="0"/>
          <w:numId w:val="30"/>
        </w:numPr>
        <w:rPr>
          <w:b/>
        </w:rPr>
      </w:pPr>
      <w:r w:rsidRPr="00DD47DF">
        <w:rPr>
          <w:b/>
        </w:rPr>
        <w:lastRenderedPageBreak/>
        <w:t>Bioplynové stanice</w:t>
      </w:r>
    </w:p>
    <w:p w14:paraId="5E12682D" w14:textId="77777777" w:rsidR="00270C7E" w:rsidRPr="00DD47DF" w:rsidRDefault="000B1709" w:rsidP="00342AA5">
      <w:pPr>
        <w:pStyle w:val="Standardntext"/>
        <w:keepNext/>
        <w:keepLines/>
      </w:pPr>
      <w:r w:rsidRPr="00DD47DF">
        <w:t xml:space="preserve">V této oblasti vykazuje OP PIK </w:t>
      </w:r>
      <w:r w:rsidR="00E30E59" w:rsidRPr="00DD47DF">
        <w:t xml:space="preserve">komplementární </w:t>
      </w:r>
      <w:r w:rsidRPr="00DD47DF">
        <w:t>vazbu na</w:t>
      </w:r>
      <w:r w:rsidRPr="00DD47DF">
        <w:rPr>
          <w:b/>
        </w:rPr>
        <w:t xml:space="preserve"> OP ŽP</w:t>
      </w:r>
      <w:r w:rsidR="00EE4823" w:rsidRPr="00DD47DF">
        <w:rPr>
          <w:b/>
        </w:rPr>
        <w:t xml:space="preserve"> </w:t>
      </w:r>
      <w:r w:rsidR="00EE4823" w:rsidRPr="00DD47DF">
        <w:t xml:space="preserve">a </w:t>
      </w:r>
      <w:r w:rsidR="00EE4823" w:rsidRPr="00DD47DF">
        <w:rPr>
          <w:b/>
        </w:rPr>
        <w:t>PRV</w:t>
      </w:r>
      <w:r w:rsidR="00EE4823" w:rsidRPr="00DD47DF">
        <w:t xml:space="preserve">. </w:t>
      </w:r>
      <w:r w:rsidR="00E1414C" w:rsidRPr="00DD47DF">
        <w:t xml:space="preserve">V OP PIK nebude podporována výstavba nových bioplynových stanic; předmětem podpory bude pouze využití užitečného tepla ze stávajících bioplynových stanic. </w:t>
      </w:r>
      <w:r w:rsidR="00EE4823" w:rsidRPr="00DD47DF">
        <w:t>OP ŽP</w:t>
      </w:r>
      <w:r w:rsidR="0014564F" w:rsidRPr="00DD47DF">
        <w:t xml:space="preserve"> se</w:t>
      </w:r>
      <w:r w:rsidRPr="00DD47DF">
        <w:t xml:space="preserve"> </w:t>
      </w:r>
      <w:r w:rsidR="00E1414C" w:rsidRPr="00DD47DF">
        <w:t xml:space="preserve">na rozdíl od OP PIK </w:t>
      </w:r>
      <w:r w:rsidRPr="00DD47DF">
        <w:t xml:space="preserve">zaměřuje na výstavbu </w:t>
      </w:r>
      <w:r w:rsidR="00E30E59" w:rsidRPr="00DD47DF">
        <w:t xml:space="preserve">nových </w:t>
      </w:r>
      <w:r w:rsidRPr="00DD47DF">
        <w:t>bioplynových stanic v</w:t>
      </w:r>
      <w:r w:rsidR="00270C7E" w:rsidRPr="00DD47DF">
        <w:t xml:space="preserve"> souvislosti s využitím odpadu.</w:t>
      </w:r>
    </w:p>
    <w:p w14:paraId="033377A5" w14:textId="77777777" w:rsidR="000B1709" w:rsidRPr="00DD47DF" w:rsidRDefault="00270C7E" w:rsidP="000B1709">
      <w:pPr>
        <w:pStyle w:val="Standardntext"/>
        <w:rPr>
          <w:b/>
        </w:rPr>
      </w:pPr>
      <w:r w:rsidRPr="00DD47DF">
        <w:t>V</w:t>
      </w:r>
      <w:r w:rsidR="00E1414C" w:rsidRPr="00DD47DF">
        <w:t> PRV bude podporována výstavba koncových zemědělských staveb pro využití tepla (skleník, porodna, apod.)</w:t>
      </w:r>
      <w:r w:rsidR="0098703A" w:rsidRPr="00DD47DF">
        <w:t xml:space="preserve"> a výstavba zemědělských bioplynových stanic</w:t>
      </w:r>
      <w:r w:rsidR="00E1414C" w:rsidRPr="00DD47DF">
        <w:t>.</w:t>
      </w:r>
    </w:p>
    <w:p w14:paraId="68819AA1" w14:textId="77777777" w:rsidR="00C902DA" w:rsidRPr="00DD47DF" w:rsidRDefault="00C902DA" w:rsidP="00DA7257">
      <w:pPr>
        <w:pStyle w:val="Standardntext"/>
        <w:numPr>
          <w:ilvl w:val="0"/>
          <w:numId w:val="30"/>
        </w:numPr>
        <w:rPr>
          <w:b/>
        </w:rPr>
      </w:pPr>
      <w:r w:rsidRPr="00DD47DF">
        <w:rPr>
          <w:b/>
        </w:rPr>
        <w:t>Úspory energie</w:t>
      </w:r>
    </w:p>
    <w:p w14:paraId="4F15FA57" w14:textId="77777777" w:rsidR="00523FA3" w:rsidRPr="00DD47DF" w:rsidRDefault="00523FA3" w:rsidP="00F00824">
      <w:pPr>
        <w:pStyle w:val="Standardntext"/>
      </w:pPr>
      <w:r w:rsidRPr="00DD47DF">
        <w:t>Oblast energetických úspor je kromě OP PIK obsažena také v </w:t>
      </w:r>
      <w:r w:rsidRPr="00DD47DF">
        <w:rPr>
          <w:b/>
        </w:rPr>
        <w:t>OP ŽP</w:t>
      </w:r>
      <w:r w:rsidRPr="00DD47DF">
        <w:t xml:space="preserve">, </w:t>
      </w:r>
      <w:r w:rsidRPr="00DD47DF">
        <w:rPr>
          <w:b/>
        </w:rPr>
        <w:t>IROP</w:t>
      </w:r>
      <w:r w:rsidRPr="00DD47DF">
        <w:t xml:space="preserve">, </w:t>
      </w:r>
      <w:r w:rsidR="002D4D69" w:rsidRPr="00DD47DF">
        <w:rPr>
          <w:b/>
        </w:rPr>
        <w:t xml:space="preserve">OP PPR, </w:t>
      </w:r>
      <w:r w:rsidRPr="00DD47DF">
        <w:rPr>
          <w:b/>
        </w:rPr>
        <w:t>PRV</w:t>
      </w:r>
      <w:r w:rsidRPr="00DD47DF">
        <w:t xml:space="preserve"> a </w:t>
      </w:r>
      <w:r w:rsidRPr="00DD47DF">
        <w:rPr>
          <w:b/>
        </w:rPr>
        <w:t>OP R</w:t>
      </w:r>
      <w:r w:rsidRPr="00DD47DF">
        <w:t>. Komplementární vazbu lze sledovat spíše z úrovně tematického cíle v tom smyslu, že všechny jmenované operační programy přispějí ke zvýšení energetické efektivnosti ČR, ovšem každý operační program se orientuje na jinou oblast.</w:t>
      </w:r>
    </w:p>
    <w:p w14:paraId="1931C302" w14:textId="77777777" w:rsidR="00523FA3" w:rsidRPr="00DD47DF" w:rsidRDefault="00523FA3" w:rsidP="00DA7257">
      <w:pPr>
        <w:pStyle w:val="Standardntext"/>
        <w:numPr>
          <w:ilvl w:val="0"/>
          <w:numId w:val="30"/>
        </w:numPr>
        <w:rPr>
          <w:b/>
        </w:rPr>
      </w:pPr>
      <w:r w:rsidRPr="00DD47DF">
        <w:rPr>
          <w:b/>
        </w:rPr>
        <w:t>Druhotné suroviny</w:t>
      </w:r>
    </w:p>
    <w:p w14:paraId="2512F0AE" w14:textId="77777777" w:rsidR="00523FA3" w:rsidRPr="00DD47DF" w:rsidRDefault="00523FA3" w:rsidP="00523FA3">
      <w:pPr>
        <w:pStyle w:val="Standardntext"/>
      </w:pPr>
      <w:r w:rsidRPr="00DD47DF">
        <w:t xml:space="preserve">Problematika zavádění inovativních nízkouhlíkatých technologií v oblasti zpracování a využívání druhotných surovin je řešena pouze v OP PIK. Nicméně tato oblast je sledována z důvodu věcné blízkosti tématu odpadového hospodářství, které je v působnosti </w:t>
      </w:r>
      <w:r w:rsidRPr="00DD47DF">
        <w:rPr>
          <w:b/>
        </w:rPr>
        <w:t>OP ŽP</w:t>
      </w:r>
      <w:r w:rsidR="001F3B71" w:rsidRPr="00DD47DF">
        <w:t>.</w:t>
      </w:r>
    </w:p>
    <w:p w14:paraId="62A80B97" w14:textId="77777777" w:rsidR="00E71F34" w:rsidRPr="00DD47DF" w:rsidRDefault="00980F42" w:rsidP="00DA7257">
      <w:pPr>
        <w:pStyle w:val="Standardntext"/>
        <w:numPr>
          <w:ilvl w:val="0"/>
          <w:numId w:val="30"/>
        </w:numPr>
        <w:rPr>
          <w:b/>
        </w:rPr>
      </w:pPr>
      <w:r w:rsidRPr="00DD47DF">
        <w:rPr>
          <w:b/>
        </w:rPr>
        <w:t xml:space="preserve">Alternativní </w:t>
      </w:r>
      <w:r w:rsidR="006D1839" w:rsidRPr="00DD47DF">
        <w:rPr>
          <w:b/>
        </w:rPr>
        <w:t xml:space="preserve">zdroje </w:t>
      </w:r>
      <w:r w:rsidR="00EF6944" w:rsidRPr="00DD47DF">
        <w:rPr>
          <w:b/>
        </w:rPr>
        <w:t xml:space="preserve">paliv </w:t>
      </w:r>
      <w:r w:rsidR="006D1839" w:rsidRPr="00DD47DF">
        <w:rPr>
          <w:b/>
        </w:rPr>
        <w:t>v d</w:t>
      </w:r>
      <w:r w:rsidRPr="00DD47DF">
        <w:rPr>
          <w:b/>
        </w:rPr>
        <w:t>oprav</w:t>
      </w:r>
      <w:r w:rsidR="006D1839" w:rsidRPr="00DD47DF">
        <w:rPr>
          <w:b/>
        </w:rPr>
        <w:t>ě</w:t>
      </w:r>
    </w:p>
    <w:p w14:paraId="63D18B87" w14:textId="77777777" w:rsidR="00C73091" w:rsidRPr="00DD47DF" w:rsidRDefault="00C73091" w:rsidP="00E71F34">
      <w:pPr>
        <w:pStyle w:val="Standardntext"/>
      </w:pPr>
      <w:r w:rsidRPr="00DD47DF">
        <w:t xml:space="preserve">OP PIK se soustředí na zavádění inovativních nízkouhlíkových technologií v oblasti nízkouhlíkové dopravy v podnicích. Alternativní dopravou se dále zabývá také </w:t>
      </w:r>
      <w:r w:rsidR="00FF022E" w:rsidRPr="00DD47DF">
        <w:rPr>
          <w:b/>
        </w:rPr>
        <w:t>IROP</w:t>
      </w:r>
      <w:r w:rsidR="00226CB2" w:rsidRPr="00DD47DF">
        <w:t>,</w:t>
      </w:r>
      <w:r w:rsidRPr="00DD47DF">
        <w:t xml:space="preserve"> </w:t>
      </w:r>
      <w:r w:rsidRPr="00DD47DF">
        <w:rPr>
          <w:b/>
        </w:rPr>
        <w:t>OP D</w:t>
      </w:r>
      <w:r w:rsidR="00226CB2" w:rsidRPr="00DD47DF">
        <w:rPr>
          <w:b/>
        </w:rPr>
        <w:t xml:space="preserve"> </w:t>
      </w:r>
      <w:r w:rsidR="00226CB2" w:rsidRPr="00DD47DF">
        <w:t>a</w:t>
      </w:r>
      <w:r w:rsidR="00226CB2" w:rsidRPr="00DD47DF">
        <w:rPr>
          <w:b/>
        </w:rPr>
        <w:t xml:space="preserve"> OP PPR</w:t>
      </w:r>
      <w:r w:rsidRPr="00DD47DF">
        <w:t xml:space="preserve">. V případě podpory MSP je dělící hranicí skutečnost, že v rámci </w:t>
      </w:r>
      <w:r w:rsidR="00FF022E" w:rsidRPr="00DD47DF">
        <w:t>IROP</w:t>
      </w:r>
      <w:r w:rsidRPr="00DD47DF">
        <w:t xml:space="preserve"> budou, na rozdíl od OP PIK, podporovány subjekty, které zajišťují veřejnou službu. Cílovou skupinou OP D v rámci podpory rozvoje sítě napájecích stanic alternativních energií na silniční síti jsou příjemci podpory definování jako vlastníci/správci dotčené infrastruktury s veřejným přístupem.</w:t>
      </w:r>
    </w:p>
    <w:p w14:paraId="78E2948E" w14:textId="77777777" w:rsidR="008C0067" w:rsidRPr="00DD47DF" w:rsidRDefault="008C0067" w:rsidP="00E71F34">
      <w:pPr>
        <w:pStyle w:val="Standardntext"/>
      </w:pPr>
      <w:r w:rsidRPr="00DD47DF">
        <w:t>Aktivity OP PPR jsou sledovány z úrovně tematického cíle, kdy OP PIK i OP PPR přispívají k plnění TC 4, avšak intervence mají odlišný charakter (OP PPR se soustředí na aktivity ve vazbě na městskou hromadnou dopravu hl. m. Prahy).</w:t>
      </w:r>
    </w:p>
    <w:p w14:paraId="2769F59C" w14:textId="77777777" w:rsidR="00C902DA" w:rsidRPr="00DD47DF" w:rsidRDefault="00C902DA" w:rsidP="00DA7257">
      <w:pPr>
        <w:pStyle w:val="Standardntext"/>
        <w:keepNext/>
        <w:keepLines/>
        <w:numPr>
          <w:ilvl w:val="0"/>
          <w:numId w:val="30"/>
        </w:numPr>
        <w:rPr>
          <w:b/>
        </w:rPr>
      </w:pPr>
      <w:r w:rsidRPr="00DD47DF">
        <w:rPr>
          <w:b/>
        </w:rPr>
        <w:t>Soustavy zásobování teplem</w:t>
      </w:r>
    </w:p>
    <w:p w14:paraId="27003C69" w14:textId="77777777" w:rsidR="00C902DA" w:rsidRPr="00DD47DF" w:rsidRDefault="005B0FF9" w:rsidP="00DB63A3">
      <w:pPr>
        <w:pStyle w:val="Standardntext"/>
        <w:keepNext/>
        <w:keepLines/>
      </w:pPr>
      <w:r w:rsidRPr="00DD47DF">
        <w:t xml:space="preserve">Rekonstrukcí soustav zásobování teplem se vedle OP PIK zabývá rovněž </w:t>
      </w:r>
      <w:r w:rsidRPr="00DD47DF">
        <w:rPr>
          <w:b/>
        </w:rPr>
        <w:t>OP ŽP</w:t>
      </w:r>
      <w:r w:rsidRPr="00DD47DF">
        <w:t>. Oba operační programy se doplňují z hlediska příjemců podpory, kdy OP PIK je orientován na podnikatelské subj</w:t>
      </w:r>
      <w:r w:rsidR="001F3B71" w:rsidRPr="00DD47DF">
        <w:t>ekty a OP ŽP na veřejný sektor.</w:t>
      </w:r>
    </w:p>
    <w:p w14:paraId="4F1A60B6" w14:textId="77777777" w:rsidR="00C902DA" w:rsidRPr="00DD47DF" w:rsidRDefault="00C902DA" w:rsidP="00DA7257">
      <w:pPr>
        <w:pStyle w:val="Standardntext"/>
        <w:numPr>
          <w:ilvl w:val="0"/>
          <w:numId w:val="30"/>
        </w:numPr>
        <w:rPr>
          <w:b/>
        </w:rPr>
      </w:pPr>
      <w:r w:rsidRPr="00DD47DF">
        <w:rPr>
          <w:b/>
        </w:rPr>
        <w:t>Vysokorychlostní přístup k internetu</w:t>
      </w:r>
    </w:p>
    <w:p w14:paraId="41FCF46B" w14:textId="77777777" w:rsidR="00C902DA" w:rsidRPr="00DD47DF" w:rsidRDefault="005B0FF9" w:rsidP="00A83EAE">
      <w:pPr>
        <w:pStyle w:val="Standardntext"/>
      </w:pPr>
      <w:r w:rsidRPr="00DD47DF">
        <w:t xml:space="preserve">OP PIK se zaměřuje na zřizování </w:t>
      </w:r>
      <w:r w:rsidR="00BD3CD0" w:rsidRPr="00DD47DF">
        <w:t>či modernizaci</w:t>
      </w:r>
      <w:r w:rsidRPr="00DD47DF">
        <w:t xml:space="preserve"> sítí pro vysokorychlostní přístup k internetu. Naproti tomu </w:t>
      </w:r>
      <w:r w:rsidRPr="00DD47DF">
        <w:rPr>
          <w:b/>
        </w:rPr>
        <w:t>IROP</w:t>
      </w:r>
      <w:r w:rsidRPr="00DD47DF">
        <w:t xml:space="preserve"> se soustředí na </w:t>
      </w:r>
      <w:r w:rsidR="00385D89" w:rsidRPr="00DD47DF">
        <w:t>pořízení datových sítí veřejné správy za účelem předcházení a řešení případných krizových situací</w:t>
      </w:r>
      <w:r w:rsidR="001F3B71" w:rsidRPr="00DD47DF">
        <w:t>.</w:t>
      </w:r>
      <w:r w:rsidR="006A0400" w:rsidRPr="00DD47DF">
        <w:t xml:space="preserve"> Podpořená infrastruktura v rámci IROP bude oproti OP PIK ve vlastnictví státu a nebude využita pro komerční sféru.</w:t>
      </w:r>
    </w:p>
    <w:p w14:paraId="20397F98" w14:textId="77777777" w:rsidR="000B1CBB" w:rsidRPr="00DD47DF" w:rsidRDefault="000B1CBB" w:rsidP="00396141">
      <w:pPr>
        <w:pStyle w:val="Modrnadpis"/>
      </w:pPr>
      <w:r w:rsidRPr="00DD47DF">
        <w:t>Zajištění koordinace s ostatními nástroji EU</w:t>
      </w:r>
    </w:p>
    <w:p w14:paraId="58E0B213" w14:textId="77777777" w:rsidR="000B1709" w:rsidRPr="00DD47DF" w:rsidRDefault="000B1709" w:rsidP="000B1709">
      <w:pPr>
        <w:pStyle w:val="Standardntext"/>
      </w:pPr>
      <w:r w:rsidRPr="00DD47DF">
        <w:t xml:space="preserve">Bližší specifikace </w:t>
      </w:r>
      <w:r w:rsidR="008C0067" w:rsidRPr="00DD47DF">
        <w:t xml:space="preserve">níže </w:t>
      </w:r>
      <w:r w:rsidRPr="00DD47DF">
        <w:t xml:space="preserve">identifikovaných komplementárních vazeb je součástí </w:t>
      </w:r>
      <w:r w:rsidR="00D3716C" w:rsidRPr="00DD47DF">
        <w:t>Nepovinné p</w:t>
      </w:r>
      <w:r w:rsidRPr="00DD47DF">
        <w:t>řílohy č.</w:t>
      </w:r>
      <w:r w:rsidR="00D3716C" w:rsidRPr="00DD47DF">
        <w:t xml:space="preserve"> </w:t>
      </w:r>
      <w:r w:rsidR="00F734D1" w:rsidRPr="00DD47DF">
        <w:t>4</w:t>
      </w:r>
      <w:r w:rsidRPr="00DD47DF">
        <w:t>.</w:t>
      </w:r>
    </w:p>
    <w:p w14:paraId="3F1C6429" w14:textId="77777777" w:rsidR="00C902DA" w:rsidRPr="00DD47DF" w:rsidRDefault="00C902DA" w:rsidP="00DA7257">
      <w:pPr>
        <w:pStyle w:val="Standardntext"/>
        <w:keepNext/>
        <w:keepLines/>
        <w:numPr>
          <w:ilvl w:val="0"/>
          <w:numId w:val="32"/>
        </w:numPr>
        <w:rPr>
          <w:b/>
        </w:rPr>
      </w:pPr>
      <w:r w:rsidRPr="00DD47DF">
        <w:rPr>
          <w:b/>
        </w:rPr>
        <w:lastRenderedPageBreak/>
        <w:t>Výzkum, vývoj a inovace</w:t>
      </w:r>
    </w:p>
    <w:p w14:paraId="3F3B49E4" w14:textId="77777777" w:rsidR="00FC7FA8" w:rsidRPr="00DD47DF" w:rsidRDefault="00EB4AA0" w:rsidP="00284818">
      <w:pPr>
        <w:pStyle w:val="Standardntext"/>
        <w:keepNext/>
        <w:keepLines/>
      </w:pPr>
      <w:r w:rsidRPr="00DD47DF">
        <w:t xml:space="preserve">OP PIK má v oblasti VaVaI vazbu na dva komunitární programy, kterými jsou </w:t>
      </w:r>
      <w:r w:rsidR="0087102E" w:rsidRPr="00DD47DF">
        <w:rPr>
          <w:b/>
        </w:rPr>
        <w:t>Horizont 2020</w:t>
      </w:r>
      <w:r w:rsidRPr="00DD47DF">
        <w:t xml:space="preserve"> a </w:t>
      </w:r>
      <w:r w:rsidRPr="00DD47DF">
        <w:rPr>
          <w:b/>
        </w:rPr>
        <w:t>COSME</w:t>
      </w:r>
      <w:r w:rsidRPr="00DD47DF">
        <w:t>. V případě obou programů se jedná o komplementární vazby na většinu aktivit obou specifický</w:t>
      </w:r>
      <w:r w:rsidR="00270C7E" w:rsidRPr="00DD47DF">
        <w:t>ch cílů prioritní osy 1 OP PIK.</w:t>
      </w:r>
    </w:p>
    <w:p w14:paraId="608E973A" w14:textId="3B361968" w:rsidR="00254765" w:rsidRPr="00DD47DF" w:rsidRDefault="00834D1C" w:rsidP="00C902DA">
      <w:pPr>
        <w:pStyle w:val="Standardntext"/>
      </w:pPr>
      <w:r w:rsidRPr="00834D1C">
        <w:t>Způsob implementace těchto a dalších komunitárních nástrojů je blíže specifikován v Nepovinné příloze č. 4.</w:t>
      </w:r>
    </w:p>
    <w:p w14:paraId="594C7F62" w14:textId="77777777" w:rsidR="00C902DA" w:rsidRPr="00DD47DF" w:rsidRDefault="00C902DA" w:rsidP="00DA7257">
      <w:pPr>
        <w:pStyle w:val="Standardntext"/>
        <w:numPr>
          <w:ilvl w:val="0"/>
          <w:numId w:val="32"/>
        </w:numPr>
        <w:rPr>
          <w:b/>
        </w:rPr>
      </w:pPr>
      <w:r w:rsidRPr="00DD47DF">
        <w:rPr>
          <w:b/>
        </w:rPr>
        <w:t>Zvýšení konkurenceschopnosti MSP</w:t>
      </w:r>
    </w:p>
    <w:p w14:paraId="66BFC158" w14:textId="77777777" w:rsidR="00C902DA" w:rsidRPr="00DD47DF" w:rsidRDefault="00270C7E" w:rsidP="00C902DA">
      <w:pPr>
        <w:pStyle w:val="Standardntext"/>
      </w:pPr>
      <w:r w:rsidRPr="00DD47DF">
        <w:t>Zde lze</w:t>
      </w:r>
      <w:r w:rsidR="00F82437" w:rsidRPr="00DD47DF">
        <w:t xml:space="preserve"> opět </w:t>
      </w:r>
      <w:r w:rsidRPr="00DD47DF">
        <w:t xml:space="preserve">identifikovat </w:t>
      </w:r>
      <w:r w:rsidR="00F82437" w:rsidRPr="00DD47DF">
        <w:t>vazbu</w:t>
      </w:r>
      <w:r w:rsidRPr="00DD47DF">
        <w:t xml:space="preserve"> OP PIK</w:t>
      </w:r>
      <w:r w:rsidR="00F82437" w:rsidRPr="00DD47DF">
        <w:t xml:space="preserve"> vůči programům </w:t>
      </w:r>
      <w:r w:rsidR="0087102E" w:rsidRPr="00DD47DF">
        <w:rPr>
          <w:b/>
        </w:rPr>
        <w:t>Horizont 2020</w:t>
      </w:r>
      <w:r w:rsidR="00F82437" w:rsidRPr="00DD47DF">
        <w:t xml:space="preserve"> a </w:t>
      </w:r>
      <w:r w:rsidR="00F82437" w:rsidRPr="00DD47DF">
        <w:rPr>
          <w:b/>
        </w:rPr>
        <w:t>COSME</w:t>
      </w:r>
      <w:r w:rsidRPr="00DD47DF">
        <w:t>., přičemž v</w:t>
      </w:r>
      <w:r w:rsidR="00F82437" w:rsidRPr="00DD47DF">
        <w:t xml:space="preserve">zájemné vazby </w:t>
      </w:r>
      <w:r w:rsidRPr="00DD47DF">
        <w:t xml:space="preserve">je možné </w:t>
      </w:r>
      <w:r w:rsidR="00F82437" w:rsidRPr="00DD47DF">
        <w:t xml:space="preserve">vysledovat především </w:t>
      </w:r>
      <w:r w:rsidR="00FB6649" w:rsidRPr="00DD47DF">
        <w:t xml:space="preserve">v otázce internacionalizace MSP a </w:t>
      </w:r>
      <w:r w:rsidR="00F82437" w:rsidRPr="00DD47DF">
        <w:t>v</w:t>
      </w:r>
      <w:r w:rsidR="00FB6649" w:rsidRPr="00DD47DF">
        <w:t>e</w:t>
      </w:r>
      <w:r w:rsidR="00F82437" w:rsidRPr="00DD47DF">
        <w:t xml:space="preserve"> </w:t>
      </w:r>
      <w:r w:rsidR="00FB6649" w:rsidRPr="00DD47DF">
        <w:t>zlepšení přístupu MSP k financování, včetně rizikového kapitálu.</w:t>
      </w:r>
    </w:p>
    <w:p w14:paraId="656938A4" w14:textId="77777777" w:rsidR="0098539A" w:rsidRPr="00DD47DF" w:rsidRDefault="00FB6649" w:rsidP="00C902DA">
      <w:pPr>
        <w:pStyle w:val="Standardntext"/>
      </w:pPr>
      <w:r w:rsidRPr="00DD47DF">
        <w:t xml:space="preserve">S tím úzce souvisí i problematika přístupu mikropodniků k financování, což je téma společné pro prioritní osu 2 OP PIK a </w:t>
      </w:r>
      <w:r w:rsidR="00253374" w:rsidRPr="00DD47DF">
        <w:rPr>
          <w:b/>
        </w:rPr>
        <w:t>EaSI</w:t>
      </w:r>
      <w:r w:rsidRPr="00DD47DF">
        <w:t>, konkrétně osa „Mikrofinancování a sociální podnikání“.</w:t>
      </w:r>
    </w:p>
    <w:p w14:paraId="10AEC618" w14:textId="77777777" w:rsidR="00FB6649" w:rsidRPr="00DD47DF" w:rsidRDefault="0098539A" w:rsidP="00C902DA">
      <w:pPr>
        <w:pStyle w:val="Standardntext"/>
      </w:pPr>
      <w:r w:rsidRPr="00DD47DF">
        <w:t xml:space="preserve">V případě programu </w:t>
      </w:r>
      <w:r w:rsidR="00A45FC1" w:rsidRPr="00DD47DF">
        <w:rPr>
          <w:b/>
        </w:rPr>
        <w:t>Kreativní</w:t>
      </w:r>
      <w:r w:rsidRPr="00DD47DF">
        <w:rPr>
          <w:b/>
        </w:rPr>
        <w:t xml:space="preserve"> Evropa</w:t>
      </w:r>
      <w:r w:rsidRPr="00DD47DF">
        <w:t xml:space="preserve"> je komplementární vazba spatřována u aktivit </w:t>
      </w:r>
      <w:r w:rsidR="00146DC1" w:rsidRPr="00DD47DF">
        <w:t xml:space="preserve">směřujících k </w:t>
      </w:r>
      <w:r w:rsidRPr="00DD47DF">
        <w:t xml:space="preserve">posílení finančních možností MSP, kdy příjemci podpory v OP PIK mohou být </w:t>
      </w:r>
      <w:r w:rsidR="00146DC1" w:rsidRPr="00DD47DF">
        <w:t>rovněž</w:t>
      </w:r>
      <w:r w:rsidRPr="00DD47DF">
        <w:t xml:space="preserve"> žadatelé </w:t>
      </w:r>
      <w:r w:rsidR="00146DC1" w:rsidRPr="00DD47DF">
        <w:t xml:space="preserve">z </w:t>
      </w:r>
      <w:r w:rsidRPr="00DD47DF">
        <w:t>kulturních a kreativních odvětví.</w:t>
      </w:r>
    </w:p>
    <w:p w14:paraId="1BF24A62" w14:textId="77777777" w:rsidR="00C902DA" w:rsidRPr="00DD47DF" w:rsidRDefault="00FB6649" w:rsidP="00DA7257">
      <w:pPr>
        <w:pStyle w:val="Standardntext"/>
        <w:numPr>
          <w:ilvl w:val="0"/>
          <w:numId w:val="32"/>
        </w:numPr>
        <w:rPr>
          <w:b/>
        </w:rPr>
      </w:pPr>
      <w:r w:rsidRPr="00DD47DF">
        <w:rPr>
          <w:b/>
        </w:rPr>
        <w:t>Energetika</w:t>
      </w:r>
    </w:p>
    <w:p w14:paraId="391C45E7" w14:textId="77777777" w:rsidR="005A6B88" w:rsidRPr="00DD47DF" w:rsidRDefault="00FB6649" w:rsidP="005D178C">
      <w:pPr>
        <w:pStyle w:val="Standardntext"/>
      </w:pPr>
      <w:r w:rsidRPr="00DD47DF">
        <w:t xml:space="preserve">V oblasti energetiky </w:t>
      </w:r>
      <w:r w:rsidR="005A6B88" w:rsidRPr="00DD47DF">
        <w:t xml:space="preserve">vykazuje OP PIK vazby na </w:t>
      </w:r>
      <w:r w:rsidR="0087102E" w:rsidRPr="00DD47DF">
        <w:rPr>
          <w:b/>
        </w:rPr>
        <w:t>Horizont 2020</w:t>
      </w:r>
      <w:r w:rsidR="00A73155" w:rsidRPr="00DD47DF">
        <w:t xml:space="preserve">, kde </w:t>
      </w:r>
      <w:r w:rsidR="005A6B88" w:rsidRPr="00DD47DF">
        <w:t xml:space="preserve">jde zejména o snižování spotřeby energie, </w:t>
      </w:r>
      <w:r w:rsidR="008D375D" w:rsidRPr="00DD47DF">
        <w:t>OZE</w:t>
      </w:r>
      <w:r w:rsidR="005A6B88" w:rsidRPr="00DD47DF">
        <w:t xml:space="preserve">, energetickou infrastrukturu, </w:t>
      </w:r>
      <w:r w:rsidR="005A6B88" w:rsidRPr="00DD47DF">
        <w:rPr>
          <w:bCs/>
        </w:rPr>
        <w:t>zavádění inovativních nízkouhlíkových technologií, včetně nízkouhlíkové dopravy či oblasti druhotných surovin</w:t>
      </w:r>
      <w:r w:rsidR="00DF6069" w:rsidRPr="00DD47DF">
        <w:t>.</w:t>
      </w:r>
    </w:p>
    <w:p w14:paraId="0CB28085" w14:textId="77777777" w:rsidR="000023FB" w:rsidRPr="00DD47DF" w:rsidRDefault="00F00824" w:rsidP="00EE06C7">
      <w:pPr>
        <w:pStyle w:val="Standardntext"/>
      </w:pPr>
      <w:r w:rsidRPr="00DD47DF">
        <w:t>Z</w:t>
      </w:r>
      <w:r w:rsidR="000961BF" w:rsidRPr="00DD47DF">
        <w:t> nástroje CEF</w:t>
      </w:r>
      <w:r w:rsidRPr="00DD47DF">
        <w:t xml:space="preserve"> lze financovat jen projekty</w:t>
      </w:r>
      <w:r w:rsidR="000961BF" w:rsidRPr="00DD47DF">
        <w:t>, které byly zařazeny na seznam Projektů společného zájmu (PCI)</w:t>
      </w:r>
      <w:r w:rsidRPr="00DD47DF">
        <w:t xml:space="preserve">. </w:t>
      </w:r>
      <w:r w:rsidR="000023FB" w:rsidRPr="00DD47DF">
        <w:t xml:space="preserve">Nicméně jen </w:t>
      </w:r>
      <w:r w:rsidR="001D7E3C" w:rsidRPr="00DD47DF">
        <w:t>velmi omezené množství projektů</w:t>
      </w:r>
      <w:r w:rsidR="000023FB" w:rsidRPr="00DD47DF">
        <w:t xml:space="preserve"> PCI bude podpořeno z CEF, takže v případě, že projekt nebude mít zajištěno financování z CEF, bude prioritně financován z OP PIK.</w:t>
      </w:r>
    </w:p>
    <w:p w14:paraId="36F91A60" w14:textId="77777777" w:rsidR="000B1709" w:rsidRPr="00DD47DF" w:rsidRDefault="00356BE6" w:rsidP="00DA7257">
      <w:pPr>
        <w:pStyle w:val="Standardntext"/>
        <w:numPr>
          <w:ilvl w:val="0"/>
          <w:numId w:val="32"/>
        </w:numPr>
        <w:rPr>
          <w:b/>
        </w:rPr>
      </w:pPr>
      <w:r w:rsidRPr="00DD47DF">
        <w:rPr>
          <w:b/>
        </w:rPr>
        <w:t>ICT</w:t>
      </w:r>
    </w:p>
    <w:p w14:paraId="0D75A739" w14:textId="77777777" w:rsidR="000B1709" w:rsidRPr="00DD47DF" w:rsidRDefault="00356BE6" w:rsidP="000B1709">
      <w:pPr>
        <w:pStyle w:val="Standardntext"/>
      </w:pPr>
      <w:r w:rsidRPr="00DD47DF">
        <w:t xml:space="preserve">Také v případě ICT má OP PIK vazbu na </w:t>
      </w:r>
      <w:r w:rsidR="0087102E" w:rsidRPr="00DD47DF">
        <w:rPr>
          <w:b/>
        </w:rPr>
        <w:t>Horizont 2020</w:t>
      </w:r>
      <w:r w:rsidR="00A73155" w:rsidRPr="00DD47DF">
        <w:t>, kde</w:t>
      </w:r>
      <w:r w:rsidRPr="00DD47DF">
        <w:t xml:space="preserve"> lze spatřovat </w:t>
      </w:r>
      <w:r w:rsidR="00A73155" w:rsidRPr="00DD47DF">
        <w:t xml:space="preserve">vazby </w:t>
      </w:r>
      <w:r w:rsidRPr="00DD47DF">
        <w:t>především v oblasti internetové infrastruktury a vývoji pokročilých a inteligencích systémů.</w:t>
      </w:r>
    </w:p>
    <w:p w14:paraId="759D0115" w14:textId="77777777" w:rsidR="001C66E1" w:rsidRPr="00DD47DF" w:rsidRDefault="003128E1" w:rsidP="00396141">
      <w:pPr>
        <w:pStyle w:val="Modrnadpis"/>
      </w:pPr>
      <w:r w:rsidRPr="00DD47DF">
        <w:t>Zajištění koordinace s relevantními národními nástroji podpory</w:t>
      </w:r>
    </w:p>
    <w:p w14:paraId="233F787E" w14:textId="77777777" w:rsidR="000B1709" w:rsidRPr="00DD47DF" w:rsidRDefault="000B1709" w:rsidP="000B1709">
      <w:pPr>
        <w:pStyle w:val="Standardntext"/>
      </w:pPr>
      <w:r w:rsidRPr="00DD47DF">
        <w:t xml:space="preserve">Bližší specifikace </w:t>
      </w:r>
      <w:r w:rsidR="008C0067" w:rsidRPr="00DD47DF">
        <w:t xml:space="preserve">níže </w:t>
      </w:r>
      <w:r w:rsidRPr="00DD47DF">
        <w:t xml:space="preserve">identifikovaných komplementárních vazeb je součástí </w:t>
      </w:r>
      <w:r w:rsidR="00D3716C" w:rsidRPr="00DD47DF">
        <w:rPr>
          <w:b/>
        </w:rPr>
        <w:t xml:space="preserve">Nepovinné přílohy č. </w:t>
      </w:r>
      <w:r w:rsidR="00F734D1" w:rsidRPr="00DD47DF">
        <w:rPr>
          <w:b/>
        </w:rPr>
        <w:t>4</w:t>
      </w:r>
      <w:r w:rsidRPr="00DD47DF">
        <w:t>.</w:t>
      </w:r>
    </w:p>
    <w:p w14:paraId="54FE48F9" w14:textId="77777777" w:rsidR="00C902DA" w:rsidRPr="00DD47DF" w:rsidRDefault="00C902DA" w:rsidP="00DA7257">
      <w:pPr>
        <w:pStyle w:val="Standardntext"/>
        <w:numPr>
          <w:ilvl w:val="0"/>
          <w:numId w:val="31"/>
        </w:numPr>
        <w:rPr>
          <w:b/>
        </w:rPr>
      </w:pPr>
      <w:r w:rsidRPr="00DD47DF">
        <w:rPr>
          <w:b/>
        </w:rPr>
        <w:t>Aplikovaný výzkum a vývoj</w:t>
      </w:r>
    </w:p>
    <w:p w14:paraId="3A425212" w14:textId="7C25D1A7" w:rsidR="00920D09" w:rsidRPr="00DD47DF" w:rsidRDefault="00920D09" w:rsidP="00284818">
      <w:pPr>
        <w:pStyle w:val="Standardntext"/>
      </w:pPr>
      <w:r w:rsidRPr="00DD47DF">
        <w:t xml:space="preserve">Zatímco OP PIK je v této oblasti více zaměřen na průmyslové výzvy a </w:t>
      </w:r>
      <w:r w:rsidR="00BC3665" w:rsidRPr="00DD47DF">
        <w:t>KETs</w:t>
      </w:r>
      <w:r w:rsidRPr="00DD47DF">
        <w:t xml:space="preserve">, </w:t>
      </w:r>
      <w:r w:rsidR="00CD130E" w:rsidRPr="00DD47DF">
        <w:t xml:space="preserve">program </w:t>
      </w:r>
      <w:r w:rsidR="00CD130E" w:rsidRPr="00DD47DF">
        <w:rPr>
          <w:b/>
        </w:rPr>
        <w:t>Epsilon TA ČR</w:t>
      </w:r>
      <w:r w:rsidR="00CD130E" w:rsidRPr="00DD47DF">
        <w:t xml:space="preserve"> je založen na plnění cílů Národních priorit orientovaného výzkumu, experimentálního vývoje a inovací, nikoliv oborově, a je nastaven flexibilně, aby nenarušil implementaci příslušných operačních programů v období 2014 – 2020.</w:t>
      </w:r>
      <w:r w:rsidRPr="00DD47DF">
        <w:t xml:space="preserve"> </w:t>
      </w:r>
      <w:r w:rsidR="00060CF3" w:rsidRPr="00DD47DF">
        <w:t xml:space="preserve">Program </w:t>
      </w:r>
      <w:r w:rsidR="00060CF3" w:rsidRPr="00DD47DF">
        <w:rPr>
          <w:b/>
        </w:rPr>
        <w:t xml:space="preserve">Delta TA ČR </w:t>
      </w:r>
      <w:r w:rsidR="00060CF3" w:rsidRPr="00DD47DF">
        <w:t>se orientuje na podporu mezinárodní spolupráce v aplikovaném výzkumu a experimentálním vývoji se subjekty mimo ČR na základě bilaterálních memorand s obdobnými organizacemi jako je TA ČR.</w:t>
      </w:r>
    </w:p>
    <w:p w14:paraId="1D535FAC" w14:textId="77777777" w:rsidR="00C902DA" w:rsidRPr="00DD47DF" w:rsidRDefault="00C902DA" w:rsidP="00DA7257">
      <w:pPr>
        <w:pStyle w:val="Standardntext"/>
        <w:keepNext/>
        <w:keepLines/>
        <w:numPr>
          <w:ilvl w:val="0"/>
          <w:numId w:val="31"/>
        </w:numPr>
        <w:rPr>
          <w:b/>
        </w:rPr>
      </w:pPr>
      <w:r w:rsidRPr="00DD47DF">
        <w:rPr>
          <w:b/>
        </w:rPr>
        <w:lastRenderedPageBreak/>
        <w:t>Proof – of – concept</w:t>
      </w:r>
    </w:p>
    <w:p w14:paraId="228A08E0" w14:textId="77777777" w:rsidR="00EF7E53" w:rsidRPr="00DD47DF" w:rsidRDefault="00920D09" w:rsidP="00284818">
      <w:pPr>
        <w:pStyle w:val="Standardntext"/>
        <w:keepNext/>
        <w:keepLines/>
      </w:pPr>
      <w:r w:rsidRPr="00DD47DF">
        <w:t>OP PIK se zaměřuje výhradně na</w:t>
      </w:r>
      <w:r w:rsidR="00270C7E" w:rsidRPr="00DD47DF">
        <w:t xml:space="preserve"> </w:t>
      </w:r>
      <w:r w:rsidR="0088604E" w:rsidRPr="00DD47DF">
        <w:t>ověření komerčního potenciálu a dotažení výrobku/služby do finálního stádia a jeho uvedení na trh</w:t>
      </w:r>
      <w:r w:rsidRPr="00DD47DF">
        <w:t xml:space="preserve">. Zatímco program </w:t>
      </w:r>
      <w:r w:rsidRPr="00DD47DF">
        <w:rPr>
          <w:b/>
        </w:rPr>
        <w:t>Gama</w:t>
      </w:r>
      <w:r w:rsidR="00BC3665" w:rsidRPr="00DD47DF">
        <w:rPr>
          <w:b/>
        </w:rPr>
        <w:t xml:space="preserve"> TA </w:t>
      </w:r>
      <w:r w:rsidRPr="00DD47DF">
        <w:rPr>
          <w:b/>
        </w:rPr>
        <w:t>ČR</w:t>
      </w:r>
      <w:r w:rsidRPr="00DD47DF">
        <w:t xml:space="preserve"> se zaměřuje na nastavení systému </w:t>
      </w:r>
      <w:r w:rsidR="0088604E" w:rsidRPr="00DD47DF">
        <w:t>proof of concept ve výzkumných organizacích a na další vývoj a uvedení na trh výsledků, které jsou výstupem jiných projektů a vyžadují ještě doplňující aktivity pro uvedení výrobku/služby na trh</w:t>
      </w:r>
      <w:r w:rsidR="00590B07" w:rsidRPr="00DD47DF">
        <w:t>.</w:t>
      </w:r>
      <w:r w:rsidR="00D17DBE" w:rsidRPr="00DD47DF">
        <w:t xml:space="preserve"> </w:t>
      </w:r>
    </w:p>
    <w:p w14:paraId="2483467A" w14:textId="77777777" w:rsidR="00C902DA" w:rsidRPr="00DD47DF" w:rsidRDefault="00C902DA" w:rsidP="00DA7257">
      <w:pPr>
        <w:pStyle w:val="Standardntext"/>
        <w:numPr>
          <w:ilvl w:val="0"/>
          <w:numId w:val="31"/>
        </w:numPr>
        <w:rPr>
          <w:b/>
        </w:rPr>
      </w:pPr>
      <w:r w:rsidRPr="00DD47DF">
        <w:rPr>
          <w:b/>
        </w:rPr>
        <w:t>Zvýšení konkurenceschopnosti MSP</w:t>
      </w:r>
    </w:p>
    <w:p w14:paraId="5B338CA3" w14:textId="77777777" w:rsidR="00C902DA" w:rsidRPr="00DD47DF" w:rsidRDefault="00923777" w:rsidP="00C902DA">
      <w:pPr>
        <w:pStyle w:val="Standardntext"/>
      </w:pPr>
      <w:r w:rsidRPr="00DD47DF">
        <w:t>Mezi národní programy v</w:t>
      </w:r>
      <w:r w:rsidR="005516F9" w:rsidRPr="00DD47DF">
        <w:t> </w:t>
      </w:r>
      <w:r w:rsidRPr="00DD47DF">
        <w:t>této</w:t>
      </w:r>
      <w:r w:rsidR="000239E7" w:rsidRPr="00DD47DF">
        <w:t xml:space="preserve"> oblasti patří program záruk pro </w:t>
      </w:r>
      <w:r w:rsidR="004D3EA2" w:rsidRPr="00DD47DF">
        <w:t>MSP</w:t>
      </w:r>
      <w:r w:rsidR="000239E7" w:rsidRPr="00DD47DF">
        <w:t xml:space="preserve"> </w:t>
      </w:r>
      <w:r w:rsidR="000239E7" w:rsidRPr="00DD47DF">
        <w:rPr>
          <w:b/>
        </w:rPr>
        <w:t>ZÁRUKA</w:t>
      </w:r>
      <w:r w:rsidR="005516F9" w:rsidRPr="00DD47DF">
        <w:t xml:space="preserve">, </w:t>
      </w:r>
      <w:r w:rsidR="000239E7" w:rsidRPr="00DD47DF">
        <w:t xml:space="preserve">program záruk za úvěry začínajícím podnikatelům v Olomouckém a Moravskoslezském kraji </w:t>
      </w:r>
      <w:r w:rsidR="000239E7" w:rsidRPr="00DD47DF">
        <w:rPr>
          <w:b/>
        </w:rPr>
        <w:t>INOSTART</w:t>
      </w:r>
      <w:r w:rsidR="005516F9" w:rsidRPr="00DD47DF">
        <w:t xml:space="preserve"> a </w:t>
      </w:r>
      <w:r w:rsidR="000239E7" w:rsidRPr="00DD47DF">
        <w:t xml:space="preserve">program </w:t>
      </w:r>
      <w:r w:rsidR="000239E7" w:rsidRPr="00DD47DF">
        <w:rPr>
          <w:b/>
        </w:rPr>
        <w:t>REVIT</w:t>
      </w:r>
      <w:r w:rsidR="000239E7" w:rsidRPr="00DD47DF">
        <w:t xml:space="preserve"> na léta 2014 - 2020</w:t>
      </w:r>
      <w:r w:rsidR="005516F9" w:rsidRPr="00DD47DF">
        <w:t xml:space="preserve">. </w:t>
      </w:r>
      <w:r w:rsidR="0053261C" w:rsidRPr="00DD47DF">
        <w:t>Jedná se o doplňkové programy k OP PIK; u</w:t>
      </w:r>
      <w:r w:rsidRPr="00DD47DF">
        <w:t xml:space="preserve"> všech </w:t>
      </w:r>
      <w:r w:rsidR="0053261C" w:rsidRPr="00DD47DF">
        <w:t>těchto</w:t>
      </w:r>
      <w:r w:rsidRPr="00DD47DF">
        <w:t xml:space="preserve"> programů se předpokládají komplementarity</w:t>
      </w:r>
      <w:r w:rsidR="00BC3665" w:rsidRPr="00DD47DF">
        <w:t xml:space="preserve"> v oblasti finančních nástrojů</w:t>
      </w:r>
      <w:r w:rsidRPr="00DD47DF">
        <w:t>.</w:t>
      </w:r>
    </w:p>
    <w:p w14:paraId="63A72CA5" w14:textId="77777777" w:rsidR="00C730AF" w:rsidRPr="00DD47DF" w:rsidRDefault="00C730AF" w:rsidP="00DA7257">
      <w:pPr>
        <w:pStyle w:val="Standardntext"/>
        <w:numPr>
          <w:ilvl w:val="0"/>
          <w:numId w:val="31"/>
        </w:numPr>
        <w:rPr>
          <w:b/>
        </w:rPr>
      </w:pPr>
      <w:r w:rsidRPr="00DD47DF">
        <w:rPr>
          <w:b/>
        </w:rPr>
        <w:t>Podnikatelské nemovitosti</w:t>
      </w:r>
    </w:p>
    <w:p w14:paraId="1F689135" w14:textId="77777777" w:rsidR="00060CF3" w:rsidRPr="00DD47DF" w:rsidRDefault="00390A8C" w:rsidP="00060CF3">
      <w:pPr>
        <w:pStyle w:val="Standardntext"/>
      </w:pPr>
      <w:r w:rsidRPr="00DD47DF">
        <w:t xml:space="preserve">MPO je správcem národního </w:t>
      </w:r>
      <w:r w:rsidRPr="00DD47DF">
        <w:rPr>
          <w:b/>
        </w:rPr>
        <w:t>Programu na podporu podnikatelských nemovitostí a infrastruktury</w:t>
      </w:r>
      <w:r w:rsidR="00732320" w:rsidRPr="00DD47DF">
        <w:t>, který</w:t>
      </w:r>
      <w:r w:rsidRPr="00DD47DF">
        <w:t xml:space="preserve"> je doplňkový vůči OP PIK. Odlišná je cílová skupina potenciálních příjemců, kdy se OP PIK orientuje na podnikatelské subjekty a národní program pouze na obce a kraje.</w:t>
      </w:r>
    </w:p>
    <w:p w14:paraId="09975AE0" w14:textId="77777777" w:rsidR="00C902DA" w:rsidRPr="00DD47DF" w:rsidRDefault="00C902DA" w:rsidP="00DA7257">
      <w:pPr>
        <w:pStyle w:val="Standardntext"/>
        <w:numPr>
          <w:ilvl w:val="0"/>
          <w:numId w:val="31"/>
        </w:numPr>
        <w:rPr>
          <w:b/>
        </w:rPr>
      </w:pPr>
      <w:r w:rsidRPr="00DD47DF">
        <w:rPr>
          <w:b/>
        </w:rPr>
        <w:t>Úspory energie</w:t>
      </w:r>
    </w:p>
    <w:p w14:paraId="0E85F4D5" w14:textId="77777777" w:rsidR="00C902DA" w:rsidRPr="00DD47DF" w:rsidRDefault="003D7BAA" w:rsidP="00C902DA">
      <w:pPr>
        <w:pStyle w:val="Standardntext"/>
      </w:pPr>
      <w:r w:rsidRPr="00DD47DF">
        <w:t>Národním programem v oblasti úspor energie je program Efekt</w:t>
      </w:r>
      <w:r w:rsidR="0015513D" w:rsidRPr="00DD47DF">
        <w:t>, který každoročně</w:t>
      </w:r>
      <w:r w:rsidRPr="00DD47DF">
        <w:t xml:space="preserve"> </w:t>
      </w:r>
      <w:r w:rsidR="0015513D" w:rsidRPr="00DD47DF">
        <w:t>vyhlašuje MPO</w:t>
      </w:r>
      <w:r w:rsidRPr="00DD47DF">
        <w:t>. Program je zaměřen především na osvětovou a informační činnost a investiční akce menšího rozsahu. Je doplňkovým programem k energetickým programům podporovaným z ESIF</w:t>
      </w:r>
      <w:r w:rsidR="00732320" w:rsidRPr="00DD47DF">
        <w:t>.</w:t>
      </w:r>
    </w:p>
    <w:p w14:paraId="440E3E5C" w14:textId="77777777" w:rsidR="00C902DA" w:rsidRPr="00DD47DF" w:rsidRDefault="00C902DA" w:rsidP="00DA7257">
      <w:pPr>
        <w:pStyle w:val="Standardntext"/>
        <w:numPr>
          <w:ilvl w:val="0"/>
          <w:numId w:val="31"/>
        </w:numPr>
        <w:rPr>
          <w:b/>
        </w:rPr>
      </w:pPr>
      <w:r w:rsidRPr="00DD47DF">
        <w:rPr>
          <w:b/>
        </w:rPr>
        <w:t>Vysokorychlostní přístup k internetu</w:t>
      </w:r>
    </w:p>
    <w:p w14:paraId="717B24FD" w14:textId="77777777" w:rsidR="000B1709" w:rsidRPr="00DD47DF" w:rsidRDefault="00B000CD" w:rsidP="00A83EAE">
      <w:pPr>
        <w:pStyle w:val="Standardntext"/>
      </w:pPr>
      <w:r w:rsidRPr="00DD47DF">
        <w:t>ČR v současné době připravuje návrh národního programu podpory projektů zaměřených na budování přístupových sítí nové generace. Národní program je však zatím v rané fázi přípravy a jeho konkrétní podoba není v tuto chvíli známa.</w:t>
      </w:r>
    </w:p>
    <w:p w14:paraId="1C46E863" w14:textId="77777777" w:rsidR="000B1CBB" w:rsidRPr="00DD47DF" w:rsidRDefault="000B1CBB" w:rsidP="00396141">
      <w:pPr>
        <w:pStyle w:val="Modrnadpis"/>
        <w:rPr>
          <w:rFonts w:eastAsia="Arial Unicode MS"/>
        </w:rPr>
      </w:pPr>
      <w:r w:rsidRPr="00DD47DF">
        <w:t>Zajištění koordinace s Evropskou investiční bankou</w:t>
      </w:r>
    </w:p>
    <w:p w14:paraId="674DD5C9" w14:textId="77777777" w:rsidR="000B1CBB" w:rsidRPr="00DD47DF" w:rsidRDefault="00886924" w:rsidP="00886924">
      <w:pPr>
        <w:pStyle w:val="Standardntext"/>
      </w:pPr>
      <w:r w:rsidRPr="00DD47DF">
        <w:t xml:space="preserve">Ve vztahu ke skupině EIB se nabízí především spolupráce v oblasti finančních nástrojů. ŘO OP PIK počítá s využitím služeb skupiny EIB při zpracování </w:t>
      </w:r>
      <w:r w:rsidR="003B7DC0" w:rsidRPr="00DD47DF">
        <w:t>předběžného posouzení</w:t>
      </w:r>
      <w:r w:rsidRPr="00DD47DF">
        <w:t xml:space="preserve"> finančních nástrojů podle </w:t>
      </w:r>
      <w:r w:rsidR="00673465" w:rsidRPr="00DD47DF">
        <w:t>čl. 3</w:t>
      </w:r>
      <w:r w:rsidR="00192FBA" w:rsidRPr="00DD47DF">
        <w:t>7</w:t>
      </w:r>
      <w:r w:rsidR="00673465" w:rsidRPr="00DD47DF">
        <w:t xml:space="preserve"> </w:t>
      </w:r>
      <w:r w:rsidR="003B7DC0" w:rsidRPr="00DD47DF">
        <w:t xml:space="preserve">odst. 2 </w:t>
      </w:r>
      <w:r w:rsidR="00673465" w:rsidRPr="00DD47DF">
        <w:t>o</w:t>
      </w:r>
      <w:r w:rsidRPr="00DD47DF">
        <w:t>becného nařízení. V návaznosti na toto vyhodnocení nelze vyloučit ani případnou další spolupráci ve fázi implementace finančních nástrojů OP PIK.</w:t>
      </w:r>
    </w:p>
    <w:p w14:paraId="300F6639" w14:textId="77777777" w:rsidR="003B7DC0" w:rsidRPr="00DD47DF" w:rsidRDefault="003B7DC0" w:rsidP="003B7DC0">
      <w:pPr>
        <w:pStyle w:val="Standardntext"/>
      </w:pPr>
      <w:r w:rsidRPr="00DD47DF">
        <w:t>Co se týče koordinace s existujícími a chystanými finančními nástroji prováděnými skupinou EIB, jedná se o nástroje uvedené v</w:t>
      </w:r>
      <w:r w:rsidR="00D3716C" w:rsidRPr="00DD47DF">
        <w:t xml:space="preserve"> Nepovinné příloze č. </w:t>
      </w:r>
      <w:r w:rsidR="00F734D1" w:rsidRPr="00DD47DF">
        <w:t>4</w:t>
      </w:r>
      <w:r w:rsidRPr="00DD47DF">
        <w:t>, zejména finanční nástroje implementované v rámci unijních programů COSME a Horizont 2020.</w:t>
      </w:r>
    </w:p>
    <w:p w14:paraId="59D16941" w14:textId="77777777" w:rsidR="003B7DC0" w:rsidRDefault="003B7DC0" w:rsidP="003B7DC0">
      <w:pPr>
        <w:pStyle w:val="Standardntext"/>
      </w:pPr>
      <w:r w:rsidRPr="00DD47DF">
        <w:t>Č</w:t>
      </w:r>
      <w:r w:rsidR="0015513D" w:rsidRPr="00DD47DF">
        <w:t>R</w:t>
      </w:r>
      <w:r w:rsidRPr="00DD47DF">
        <w:t xml:space="preserve"> nemá v úmyslu využít možnost zapojení do společných finančních nástrojů tzv. SME initiative podle čl. 39 </w:t>
      </w:r>
      <w:r w:rsidR="0087102E" w:rsidRPr="00DD47DF">
        <w:t>o</w:t>
      </w:r>
      <w:r w:rsidRPr="00DD47DF">
        <w:t>becného nařízení.</w:t>
      </w:r>
    </w:p>
    <w:p w14:paraId="51BFC691" w14:textId="77777777" w:rsidR="00886924" w:rsidRPr="00055EAE" w:rsidRDefault="003D28C7" w:rsidP="003D28C7">
      <w:pPr>
        <w:pStyle w:val="Modrnadpis"/>
        <w:rPr>
          <w:b w:val="0"/>
        </w:rPr>
      </w:pPr>
      <w:r w:rsidRPr="00055EAE">
        <w:rPr>
          <w:b w:val="0"/>
        </w:rPr>
        <w:t>Oddíl 8 bude v případě nových programů aktualizován.</w:t>
      </w:r>
    </w:p>
    <w:p w14:paraId="45318E5A" w14:textId="77777777" w:rsidR="00886924" w:rsidRPr="00DD47DF" w:rsidRDefault="00886924" w:rsidP="003D28C7">
      <w:pPr>
        <w:pStyle w:val="Modrnadpis"/>
        <w:sectPr w:rsidR="00886924" w:rsidRPr="00DD47DF" w:rsidSect="00F258CA">
          <w:headerReference w:type="default" r:id="rId54"/>
          <w:footerReference w:type="default" r:id="rId55"/>
          <w:pgSz w:w="11906" w:h="16838"/>
          <w:pgMar w:top="1418" w:right="1276" w:bottom="1276" w:left="1418" w:header="709" w:footer="709" w:gutter="0"/>
          <w:cols w:space="708"/>
          <w:docGrid w:linePitch="272"/>
        </w:sectPr>
      </w:pPr>
    </w:p>
    <w:p w14:paraId="192EFF32" w14:textId="77777777" w:rsidR="009E6172" w:rsidRPr="00DD47DF" w:rsidRDefault="00FF200C" w:rsidP="00FF200C">
      <w:pPr>
        <w:pStyle w:val="Nadpis1"/>
      </w:pPr>
      <w:bookmarkStart w:id="135" w:name="_Toc520445340"/>
      <w:r w:rsidRPr="00DD47DF">
        <w:lastRenderedPageBreak/>
        <w:t>Předběžné podmínky</w:t>
      </w:r>
      <w:bookmarkEnd w:id="135"/>
    </w:p>
    <w:p w14:paraId="3B00D53D" w14:textId="77777777" w:rsidR="00F05C0C" w:rsidRPr="00DD47DF" w:rsidRDefault="00F05C0C" w:rsidP="00F05C0C">
      <w:pPr>
        <w:pStyle w:val="Nadpis2"/>
        <w:rPr>
          <w:rFonts w:cs="Calibri"/>
        </w:rPr>
      </w:pPr>
      <w:bookmarkStart w:id="136" w:name="_Toc520445341"/>
      <w:r w:rsidRPr="00DD47DF">
        <w:rPr>
          <w:rFonts w:cs="Calibri"/>
        </w:rPr>
        <w:t>Předběžné podmínky</w:t>
      </w:r>
      <w:bookmarkEnd w:id="136"/>
      <w:r w:rsidRPr="00DD47DF">
        <w:rPr>
          <w:rFonts w:cs="Calibri"/>
        </w:rPr>
        <w:t xml:space="preserve"> </w:t>
      </w:r>
    </w:p>
    <w:p w14:paraId="2A016838" w14:textId="77777777" w:rsidR="00171578" w:rsidRPr="00DD47DF" w:rsidRDefault="00171578" w:rsidP="00606577">
      <w:pPr>
        <w:pStyle w:val="Standardntext"/>
      </w:pPr>
      <w:r w:rsidRPr="00DD47DF">
        <w:rPr>
          <w:rFonts w:eastAsia="Arial Unicode MS"/>
        </w:rPr>
        <w:t xml:space="preserve">V souvislosti s požadavkem Evropské komise zajistit dosahování prokazatelných výsledků intervencí z Evropských strukturálních a investičních fondů, zavádí obecné nařízení instrument v podobě tzv. předběžných podmínek. Jejich cílem je zajistit, </w:t>
      </w:r>
      <w:r w:rsidRPr="00DD47DF">
        <w:t>že budou existovat nezbytné rámcové podmínky pro účinné využívání podpory</w:t>
      </w:r>
      <w:r w:rsidR="00BA4E72" w:rsidRPr="00DD47DF">
        <w:t xml:space="preserve"> </w:t>
      </w:r>
      <w:r w:rsidRPr="00DD47DF">
        <w:t>ESIF. Předběžná podmínka je podle obecného nařízení „</w:t>
      </w:r>
      <w:r w:rsidRPr="00DD47DF">
        <w:rPr>
          <w:i/>
        </w:rPr>
        <w:t>předem přesně vymezený podstatný faktor, který je nezbytným předpokladem pro účinné a efektivní splnění specifického cíle investiční priority […]</w:t>
      </w:r>
      <w:r w:rsidRPr="00DD47DF">
        <w:t xml:space="preserve">“. V rámci předběžných podmínek jsou dále definována dílčí kritéria splnění. </w:t>
      </w:r>
    </w:p>
    <w:p w14:paraId="1307E4C5" w14:textId="77777777" w:rsidR="00171578" w:rsidRPr="00DD47DF" w:rsidRDefault="00171578" w:rsidP="00606577">
      <w:pPr>
        <w:pStyle w:val="Standardntext"/>
      </w:pPr>
      <w:r w:rsidRPr="00DD47DF">
        <w:rPr>
          <w:rFonts w:eastAsia="Arial Unicode MS"/>
        </w:rPr>
        <w:t>Podle obecného nařízení by předběžné podmínky měly být splněny k datu předložení Dohody o partnerství</w:t>
      </w:r>
      <w:r w:rsidR="00782365" w:rsidRPr="00DD47DF">
        <w:rPr>
          <w:rFonts w:eastAsia="Arial Unicode MS"/>
        </w:rPr>
        <w:t xml:space="preserve"> a operačních programů</w:t>
      </w:r>
      <w:r w:rsidRPr="00DD47DF">
        <w:rPr>
          <w:rFonts w:eastAsia="Arial Unicode MS"/>
        </w:rPr>
        <w:t>, není-li tomu tak, pak nejpozději do 31. 12. 2016. N</w:t>
      </w:r>
      <w:r w:rsidRPr="00DD47DF">
        <w:t>esplnění předběžných podmínek ve lhůtě do 31. 12. 2016 je důvodem pro pozastavení všech nebo části plateb na příslušnou prioritu programu ze strany EK.</w:t>
      </w:r>
      <w:r w:rsidRPr="00DD47DF">
        <w:rPr>
          <w:rFonts w:eastAsia="Arial Unicode MS"/>
        </w:rPr>
        <w:t xml:space="preserve"> </w:t>
      </w:r>
      <w:r w:rsidRPr="00DD47DF">
        <w:t xml:space="preserve">Opětovné spuštění průběžných plateb bude znovu možné až po splnění předběžné podmínky. </w:t>
      </w:r>
    </w:p>
    <w:p w14:paraId="30E0046D" w14:textId="77777777" w:rsidR="00171578" w:rsidRPr="00DD47DF" w:rsidRDefault="00171578" w:rsidP="00606577">
      <w:pPr>
        <w:pStyle w:val="Standardntext"/>
      </w:pPr>
      <w:r w:rsidRPr="00DD47DF">
        <w:t xml:space="preserve">Koordinací naplňování předběžných podmínek na národní úrovni zajišťuje Ministerstvo pro místní rozvoj, které k tomu účelu vydává Akční plán řízení a koordinace předběžných podmínek v programovém období 2014-2020 (dále </w:t>
      </w:r>
      <w:r w:rsidR="00DF4F92" w:rsidRPr="00DD47DF">
        <w:t>také „</w:t>
      </w:r>
      <w:r w:rsidRPr="00DD47DF">
        <w:t>Akční plán</w:t>
      </w:r>
      <w:r w:rsidR="00DF4F92" w:rsidRPr="00DD47DF">
        <w:t>“</w:t>
      </w:r>
      <w:r w:rsidRPr="00DD47DF">
        <w:t>). V souladu s</w:t>
      </w:r>
      <w:r w:rsidR="00BA4E72" w:rsidRPr="00DD47DF">
        <w:t xml:space="preserve"> </w:t>
      </w:r>
      <w:r w:rsidRPr="00DD47DF">
        <w:t>Akčním plánem zajišťuje Ministerstvo průmyslu a obchodu</w:t>
      </w:r>
      <w:r w:rsidR="00F11481" w:rsidRPr="00DD47DF">
        <w:t xml:space="preserve"> jako </w:t>
      </w:r>
      <w:r w:rsidRPr="00DD47DF">
        <w:t>Řídící orgán OP PIK</w:t>
      </w:r>
      <w:r w:rsidR="00F11481" w:rsidRPr="00DD47DF">
        <w:t xml:space="preserve"> </w:t>
      </w:r>
      <w:r w:rsidRPr="00DD47DF">
        <w:t>úlohu gestora věcného naplnění některých předběžných podmínek</w:t>
      </w:r>
      <w:r w:rsidR="00F11481" w:rsidRPr="00DD47DF">
        <w:t xml:space="preserve"> a p</w:t>
      </w:r>
      <w:r w:rsidRPr="00DD47DF">
        <w:t xml:space="preserve">růběžně </w:t>
      </w:r>
      <w:r w:rsidR="00F11481" w:rsidRPr="00DD47DF">
        <w:t xml:space="preserve">je </w:t>
      </w:r>
      <w:r w:rsidRPr="00DD47DF">
        <w:t>sleduje a vyhodnocuje</w:t>
      </w:r>
      <w:r w:rsidR="00F11481" w:rsidRPr="00DD47DF">
        <w:t xml:space="preserve">. </w:t>
      </w:r>
      <w:r w:rsidRPr="00DD47DF">
        <w:t>Zvláštní pozornost věnuje Řídící orgán OP PIK zejména tzv. rizikovým předběžným podmínkám, u kterých bylo identifikováno riziko je</w:t>
      </w:r>
      <w:r w:rsidR="001C38E4" w:rsidRPr="00DD47DF">
        <w:t xml:space="preserve">jich </w:t>
      </w:r>
      <w:r w:rsidR="001E08D2" w:rsidRPr="00DD47DF">
        <w:t xml:space="preserve">nesplnění </w:t>
      </w:r>
      <w:r w:rsidRPr="00DD47DF">
        <w:t xml:space="preserve">(riziko časové, implementační a riziko jejich nejasného či příliš obecného výkladu). </w:t>
      </w:r>
    </w:p>
    <w:p w14:paraId="1D169F8B" w14:textId="77777777" w:rsidR="00171578" w:rsidRPr="00DD47DF" w:rsidRDefault="00171578" w:rsidP="00606577">
      <w:pPr>
        <w:pStyle w:val="Standardntext"/>
      </w:pPr>
      <w:r w:rsidRPr="00DD47DF">
        <w:t>Řídící orgán OP PIK zajišťuje naplnění předběžných podmínek souběžně s přípravou OP PIK v rámci působnosti Ministerstva průmyslu a obchodu ve spolupráci s příslušnými odbornými útvary ministerstva.</w:t>
      </w:r>
      <w:r w:rsidR="00BA4E72" w:rsidRPr="00DD47DF">
        <w:t xml:space="preserve"> </w:t>
      </w:r>
      <w:r w:rsidRPr="00DD47DF">
        <w:t xml:space="preserve">Ve spolupráci s nimi jsou definována opatření a harmonogram ke splnění dosud částečně splněných nebo nesplněných předběžných podmínek. Spolupracuje také s dalšími resorty a subjekty, které jsou jejich spolugestory či gestory předběžných podmínek, do jejichž působnosti také příslušné předběžné podmínky spadají. Řídící orgán OP PIK při zpracování programu průběžně aktivně spolupracuje také s Ministerstvem pro místní rozvoj s cílem </w:t>
      </w:r>
      <w:r w:rsidR="00587DF3" w:rsidRPr="00DD47DF">
        <w:t xml:space="preserve">řešit </w:t>
      </w:r>
      <w:r w:rsidRPr="00DD47DF">
        <w:t>otevřené či nejasné otázky v souvislosti s předběžnými podmínkami a prostřednictvím Ministerstva pro místní rozvoj také usiluje o vyjasnění těchto otázek na straně EK.</w:t>
      </w:r>
    </w:p>
    <w:p w14:paraId="07F35817" w14:textId="77777777" w:rsidR="005021A2" w:rsidRPr="00DD47DF" w:rsidRDefault="005021A2" w:rsidP="005021A2">
      <w:pPr>
        <w:pStyle w:val="Standardntext"/>
      </w:pPr>
      <w:r w:rsidRPr="00DD47DF">
        <w:t>V souladu s principem předběžných podmínek, kterým je vytvoření nezbytných rámcových podmínek pro účinné využívání podpory</w:t>
      </w:r>
      <w:r w:rsidR="00BA4E72" w:rsidRPr="00DD47DF">
        <w:t xml:space="preserve"> </w:t>
      </w:r>
      <w:r w:rsidRPr="00DD47DF">
        <w:t>ESIF</w:t>
      </w:r>
      <w:r w:rsidR="00BA4E72" w:rsidRPr="00DD47DF">
        <w:t xml:space="preserve"> </w:t>
      </w:r>
      <w:r w:rsidRPr="00DD47DF">
        <w:t xml:space="preserve">v rámci plánovaných intervencí, bylo pro OP PIK s ohledem na zvolené investiční priority a specifické cíle identifikováno 9 aplikovatelných tematických předběžných podmínek (1.1, 2.1, 2.2, 3.1, 4.1, 4.2, 4.3, 7.4, 8.2) dle Přílohy XI. obecného nařízení. Jde o tematické předběžné podmínky, které požadují jak existenci strategických dokumentů, tak i implementaci legislativních aktů, včetně přijetí opatření vyplývajících </w:t>
      </w:r>
      <w:r w:rsidR="00686589" w:rsidRPr="00DD47DF">
        <w:t>z</w:t>
      </w:r>
      <w:r w:rsidRPr="00DD47DF">
        <w:t xml:space="preserve"> nelegislativních dokumentů Evropské unie. Dále jsou pro OP PIK aplikovatelné </w:t>
      </w:r>
      <w:r w:rsidR="00D1542E" w:rsidRPr="00DD47DF">
        <w:t xml:space="preserve">všechny </w:t>
      </w:r>
      <w:r w:rsidRPr="00DD47DF">
        <w:t xml:space="preserve">obecné předběžné podmínky. Z hlediska zaměření intervencí OP PIK dle zvolených investičních priorit považuje Řídící orgán OP PIK za nerelevantní pro OP PIK u předběžné podmínky č. 2.1 „Digitální růst: Strategický rámec politiky pro digitální růst, jež má stimulovat poptávku po cenově dostupných, kvalitních a interoperabilních soukromých a veřejných službách v oblasti IKT a zvýšit míru jejich využívání občany, včetně zranitelných skupin, </w:t>
      </w:r>
      <w:r w:rsidRPr="00DD47DF">
        <w:lastRenderedPageBreak/>
        <w:t xml:space="preserve">podniky a orgány veřejné správy včetně přeshraničních iniciativ“ kritérium „ukazatele umožňující měření pokroku opatření v oblastech, jako jsou počítačová gramotnost, začleňování občanů do informační společnosti, přístupnost elektronických technologií a elektronického zdravotnictví v mezích článku 168 SFEU, jež jsou v souladu tam, kde je to vhodné, s příslušnými stávajícími unijními, vnitrostátními nebo regionálními strategiemi pro jednotlivá odvětví“. Intervence do této oblasti se vztahují k investiční prioritě 2c) dle čl. 5 nařízení pro Evropský fond pro regionální rozvoj v rámci Tematického cíle 2 – Zlepšení dostupnosti, využití a kvality informačních a komunikačních technologií“, která není součástí OP PIK. </w:t>
      </w:r>
    </w:p>
    <w:p w14:paraId="1D870D80" w14:textId="77777777" w:rsidR="005021A2" w:rsidRPr="00DD47DF" w:rsidRDefault="005021A2" w:rsidP="005021A2">
      <w:pPr>
        <w:pStyle w:val="Standardntext"/>
      </w:pPr>
      <w:r w:rsidRPr="00DD47DF">
        <w:t>Volba předběžných podmínek byla provedena také v souladu s dokumentem Evropské komise „Draft Guidance on Ex Ante Conditionalities“</w:t>
      </w:r>
      <w:r w:rsidRPr="00DD47DF">
        <w:rPr>
          <w:rStyle w:val="Znakapoznpodarou"/>
        </w:rPr>
        <w:footnoteReference w:id="92"/>
      </w:r>
      <w:r w:rsidRPr="00DD47DF">
        <w:t xml:space="preserve">. Přehled všech aplikovatelných předběžných podmínek je obsažen v tabulce č. 24. MPO, jako Řídící orgán OP PIK, je současně gestorem/spolugestorem plnění uvedených tematických předběžných podmínek. V případě předběžné podmínky 1.1 </w:t>
      </w:r>
      <w:r w:rsidR="00FC061B" w:rsidRPr="00DD47DF">
        <w:t xml:space="preserve">bylo </w:t>
      </w:r>
      <w:r w:rsidRPr="00DD47DF">
        <w:t>hlavním koordinátorem přípravy Národní strategie pro inteligentní specializaci Ministerstvo školství, mládeže a tělovýchovy (MŠMT)</w:t>
      </w:r>
      <w:r w:rsidR="00FC061B" w:rsidRPr="00DD47DF">
        <w:t>, od 8.12.2014 gesce přešla na</w:t>
      </w:r>
      <w:r w:rsidRPr="00DD47DF">
        <w:t xml:space="preserve"> </w:t>
      </w:r>
      <w:r w:rsidR="00FC061B" w:rsidRPr="00DD47DF">
        <w:t xml:space="preserve">Úřad vlády ČR. </w:t>
      </w:r>
      <w:r w:rsidRPr="00DD47DF">
        <w:t>MPO se na její přípravě aktivně podíl</w:t>
      </w:r>
      <w:r w:rsidR="00FC061B" w:rsidRPr="00DD47DF">
        <w:t>elo</w:t>
      </w:r>
      <w:r w:rsidRPr="00DD47DF">
        <w:t>. Podílí se taktéž na plnění dílčích kritérií obecných předběžných podmínek.</w:t>
      </w:r>
    </w:p>
    <w:p w14:paraId="611DA23E" w14:textId="77777777" w:rsidR="00171578" w:rsidRPr="00DD47DF" w:rsidRDefault="00171578" w:rsidP="00171578">
      <w:pPr>
        <w:pStyle w:val="Standardntext"/>
      </w:pPr>
      <w:r w:rsidRPr="00DD47DF">
        <w:t xml:space="preserve">Vyhodnocení plnění předběžných podmínek dle daných kritérií bylo provedeno v rámci přípravy OP PIK s využitím </w:t>
      </w:r>
      <w:r w:rsidR="00A60A6E" w:rsidRPr="00DD47DF">
        <w:t>„</w:t>
      </w:r>
      <w:r w:rsidRPr="00DD47DF">
        <w:t>Draft Guidance on Ex Ante Conditionalities</w:t>
      </w:r>
      <w:r w:rsidR="00A60A6E" w:rsidRPr="00DD47DF">
        <w:t>“</w:t>
      </w:r>
      <w:r w:rsidRPr="00DD47DF">
        <w:t xml:space="preserve"> a dle dalších pokynů Ministerstva pro místní rozvoj – NOK v souladu s Akčním plánem. V současné fázi je podle vyhodnocení Řídícího orgánu OP PIK s plněním aplikovatelných předběžných podmínek spojeno několik typů rizika. </w:t>
      </w:r>
      <w:r w:rsidR="00E36103" w:rsidRPr="00DD47DF">
        <w:t xml:space="preserve">Jde o riziko časové i implementační. </w:t>
      </w:r>
      <w:r w:rsidRPr="00DD47DF">
        <w:t xml:space="preserve">Ke splnění všech kritérií předběžných podmínek zbývá dokončit některé strategické či analytické dokumenty </w:t>
      </w:r>
      <w:r w:rsidR="00686589" w:rsidRPr="00DD47DF">
        <w:t>a přijmout úpravu právních předpisů. Podrobněji jsou rizika popsána ve vyjádření u konkrétních předběžných podmínek v další části kapitoly.</w:t>
      </w:r>
    </w:p>
    <w:p w14:paraId="48E60DF3" w14:textId="77777777" w:rsidR="008C3BE4" w:rsidRPr="00DD47DF" w:rsidRDefault="005021A2" w:rsidP="005021A2">
      <w:pPr>
        <w:pStyle w:val="Standardntext"/>
      </w:pPr>
      <w:r w:rsidRPr="00DD47DF">
        <w:t xml:space="preserve">Z hlediska OP PIK jsou aplikovatelné také předběžné podmínky, které jsou spojeny s výše </w:t>
      </w:r>
      <w:r w:rsidR="00D5692F" w:rsidRPr="00DD47DF">
        <w:t>zmíněnými</w:t>
      </w:r>
      <w:r w:rsidRPr="00DD47DF">
        <w:t xml:space="preserve"> riziky. Na dopracování strategických dokumentů nebo dalších dokumentů k naplnění kritérií předběžných podmínek je vázáno naplnění předběžných podmínek 1.1, 2.1, 2.2, dále musí být přijata legislativní opatření pro jejich naplnění. V této souvislosti jde o podmínku 3.1, resp. 8.2 - požadavek na zkrácení doby a snížení nákladů na založení podniku. Gestorem příslušných legislativních opatření je Ministerstvo spravedlnosti, které zpracovalo </w:t>
      </w:r>
      <w:r w:rsidR="00587DF3" w:rsidRPr="00DD47DF">
        <w:t xml:space="preserve">aktualizovaný </w:t>
      </w:r>
      <w:r w:rsidRPr="00DD47DF">
        <w:t>Akční plán ke splnění požadavků předběžných podmínek. Specifický problém spatřuje Řídící orgán OP PIK v souvislosti s</w:t>
      </w:r>
      <w:r w:rsidR="00D5692F" w:rsidRPr="00DD47DF">
        <w:t> </w:t>
      </w:r>
      <w:r w:rsidRPr="00DD47DF">
        <w:t>předběžn</w:t>
      </w:r>
      <w:r w:rsidR="00D5692F" w:rsidRPr="00DD47DF">
        <w:t>ými podmínkami pro Tematický cíl 4 (4.1 a 4.3),</w:t>
      </w:r>
      <w:r w:rsidRPr="00DD47DF">
        <w:t xml:space="preserve"> kde bylo identifikováno riziko v podobě probíhajících řízení o porušení Smlouvy, která s ČR vede EK v souvislosti s transpozicí směrnic v oblasti energetiky</w:t>
      </w:r>
      <w:r w:rsidRPr="00DD47DF">
        <w:rPr>
          <w:rStyle w:val="Znakapoznpodarou"/>
        </w:rPr>
        <w:footnoteReference w:id="93"/>
      </w:r>
      <w:r w:rsidRPr="00DD47DF">
        <w:t xml:space="preserve"> (podrobnosti jsou uvedeny </w:t>
      </w:r>
      <w:r w:rsidR="00D5692F" w:rsidRPr="00DD47DF">
        <w:t xml:space="preserve">v </w:t>
      </w:r>
      <w:r w:rsidRPr="00DD47DF">
        <w:t>tabul</w:t>
      </w:r>
      <w:r w:rsidR="00D5692F" w:rsidRPr="00DD47DF">
        <w:t>ce</w:t>
      </w:r>
      <w:r w:rsidRPr="00DD47DF">
        <w:t xml:space="preserve"> č. 24). Řídící orgán usiloval o vyjasnění stanoviska Evropské komise k této otázce již během přípravy OP PIK, nicméně jasné stanovisko EK ČR </w:t>
      </w:r>
      <w:r w:rsidR="00686589" w:rsidRPr="00DD47DF">
        <w:t xml:space="preserve">obdržela </w:t>
      </w:r>
      <w:r w:rsidRPr="00DD47DF">
        <w:t xml:space="preserve">až v rámci reakce na Dohodu o partnerství v rámci neformálního dialogu. Dle tohoto stanoviska EK nebude tyto předběžné podmínky považovat za splněné. V rámci řešení situace přistoupil Řídící orgány OP PIK k jednání s MMR a </w:t>
      </w:r>
      <w:r w:rsidR="00782365" w:rsidRPr="00DD47DF">
        <w:t xml:space="preserve">byla zahájena </w:t>
      </w:r>
      <w:r w:rsidRPr="00DD47DF">
        <w:t xml:space="preserve">přímá jednání s EK s cílem dosáhnout řešení těchto případů s ohledem na nutnost naplnění předběžných podmínek. Současně byl zpracován </w:t>
      </w:r>
      <w:r w:rsidRPr="00DD47DF">
        <w:lastRenderedPageBreak/>
        <w:t>Akční plán pro uvedené předběžné podmínky</w:t>
      </w:r>
      <w:r w:rsidR="009914C7" w:rsidRPr="00DD47DF">
        <w:t>. V návaznosti na technické jednání s Evropskou komisí dne 30. 4. 2014, kdy EK uvedla, že řízení o porušení Smlouvy nemají dopad na předběžnou podmínku 4.3, byl Akční plán aktualizován pro předběžnou podmínku 4.1.</w:t>
      </w:r>
      <w:r w:rsidR="00BA4E72" w:rsidRPr="00DD47DF">
        <w:t xml:space="preserve"> </w:t>
      </w:r>
      <w:r w:rsidR="00E35843" w:rsidRPr="00DD47DF">
        <w:t>Problematika naplnění předběžných podmínek pro Tematický cíl 2 je řešena ve spolupráci s dalšími resorty a subjekty, zodpovědnými za realizaci opatření ke splnění podmínek či dopracování příslušných strategických dokumentů</w:t>
      </w:r>
      <w:r w:rsidR="00242E72" w:rsidRPr="00DD47DF">
        <w:t xml:space="preserve"> a</w:t>
      </w:r>
      <w:r w:rsidR="00E35843" w:rsidRPr="00DD47DF">
        <w:t xml:space="preserve"> </w:t>
      </w:r>
      <w:r w:rsidR="00242E72" w:rsidRPr="00DD47DF">
        <w:t>byly zpracovány Akční plány ke splnění předběžných podmínek 2.1 a 2.2.</w:t>
      </w:r>
      <w:r w:rsidR="00895285" w:rsidRPr="00DD47DF">
        <w:t xml:space="preserve"> K OP PIK jsou připojeny výše zmíněné akční plány, jakož i další akční plány k předběžným podmínkám, které spadají do působnosti jiných resortů – akční plán pro předběžnou podmínku 1.1 (RIS3 Strategie, gesce </w:t>
      </w:r>
      <w:r w:rsidR="00FC061B" w:rsidRPr="00DD47DF">
        <w:t>Úřad vlády ČR</w:t>
      </w:r>
      <w:r w:rsidR="00895285" w:rsidRPr="00DD47DF">
        <w:t>) a obecnou předběžnou podmínku EIA (gesce MŽP).</w:t>
      </w:r>
      <w:r w:rsidR="00587DF3" w:rsidRPr="00DD47DF">
        <w:t xml:space="preserve"> Akční plány tematických předběžných podmínek byly aktualizovány v návaznosti na postup plnění opatření k jejich splnění a další aktuální vývoj. </w:t>
      </w:r>
      <w:r w:rsidR="00A83C7A" w:rsidRPr="00DD47DF">
        <w:t>Aktuální Akční plány a další podklady k tematickým předběžným podmínkám v návaznosti na připomínky Evropské komise byly doplněny do Přílohy II.</w:t>
      </w:r>
    </w:p>
    <w:p w14:paraId="3CB1EC8F" w14:textId="77777777" w:rsidR="00587DF3" w:rsidRPr="00DD47DF" w:rsidRDefault="008C3BE4" w:rsidP="00587DF3">
      <w:pPr>
        <w:pStyle w:val="Standardntext"/>
      </w:pPr>
      <w:r w:rsidRPr="00DD47DF">
        <w:t>Na základě připomín</w:t>
      </w:r>
      <w:r w:rsidR="00587DF3" w:rsidRPr="00DD47DF">
        <w:t>ek</w:t>
      </w:r>
      <w:r w:rsidRPr="00DD47DF">
        <w:t xml:space="preserve"> Evropské komise ke kapitole předběžných podmínek v OP PIK bylo do Přílohy II doplněno úplné znění naplňování obecných předběžných podmínek na národní úrovni v rámci Dohody o partn</w:t>
      </w:r>
      <w:r w:rsidR="00F3375C" w:rsidRPr="00DD47DF">
        <w:t>e</w:t>
      </w:r>
      <w:r w:rsidRPr="00DD47DF">
        <w:t>rství</w:t>
      </w:r>
      <w:r w:rsidR="00587DF3" w:rsidRPr="00DD47DF">
        <w:t>, kde bylo doplněno jak naplňování obecných předběžných podmínek, tak i detailní akční plán na centrální úrovni. Současně bylo v návaznosti na připomínky EK doplněno naplňování obecných předběžných podmínek i upřesnění opatření k jejich splnění na úrovni operačního programu.</w:t>
      </w:r>
    </w:p>
    <w:p w14:paraId="10CCF628" w14:textId="77777777" w:rsidR="008C3BE4" w:rsidRPr="00DD47DF" w:rsidRDefault="00F10204" w:rsidP="005021A2">
      <w:pPr>
        <w:pStyle w:val="Standardntext"/>
        <w:sectPr w:rsidR="008C3BE4" w:rsidRPr="00DD47DF" w:rsidSect="00F258CA">
          <w:headerReference w:type="default" r:id="rId56"/>
          <w:footerReference w:type="default" r:id="rId57"/>
          <w:pgSz w:w="11906" w:h="16838"/>
          <w:pgMar w:top="1418" w:right="1276" w:bottom="1276" w:left="1418" w:header="709" w:footer="709" w:gutter="0"/>
          <w:cols w:space="708"/>
          <w:docGrid w:linePitch="272"/>
        </w:sectPr>
      </w:pPr>
      <w:r w:rsidRPr="00DD47DF">
        <w:t>Struktura informací k naplňování obecných předběžných podmínek i opatřením k jejich splnění reflektuje požadavky EK.</w:t>
      </w:r>
    </w:p>
    <w:p w14:paraId="220C0598" w14:textId="77777777" w:rsidR="00BF3FE5" w:rsidRPr="00DD47DF" w:rsidRDefault="00BF3FE5" w:rsidP="00FF200C">
      <w:pPr>
        <w:pStyle w:val="Titulek"/>
      </w:pPr>
      <w:r w:rsidRPr="00DD47DF">
        <w:lastRenderedPageBreak/>
        <w:t>Tabulka</w:t>
      </w:r>
      <w:r w:rsidR="00FF200C" w:rsidRPr="00DD47DF">
        <w:t xml:space="preserve"> </w:t>
      </w:r>
      <w:r w:rsidR="002756E7" w:rsidRPr="00DD47DF">
        <w:fldChar w:fldCharType="begin"/>
      </w:r>
      <w:r w:rsidR="000E35F2" w:rsidRPr="00DD47DF">
        <w:instrText xml:space="preserve"> SEQ Tabulka \* ARABIC </w:instrText>
      </w:r>
      <w:r w:rsidR="002756E7" w:rsidRPr="00DD47DF">
        <w:fldChar w:fldCharType="separate"/>
      </w:r>
      <w:r w:rsidR="00117847">
        <w:rPr>
          <w:noProof/>
        </w:rPr>
        <w:t>24</w:t>
      </w:r>
      <w:r w:rsidR="002756E7" w:rsidRPr="00DD47DF">
        <w:rPr>
          <w:noProof/>
        </w:rPr>
        <w:fldChar w:fldCharType="end"/>
      </w:r>
      <w:r w:rsidRPr="00DD47DF">
        <w:t xml:space="preserve">: </w:t>
      </w:r>
      <w:r w:rsidR="00F64D76" w:rsidRPr="00DD47DF">
        <w:t>Určení příslušných předběžných podmínek a posouzení jejich plnění</w:t>
      </w:r>
    </w:p>
    <w:tbl>
      <w:tblPr>
        <w:tblW w:w="14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752"/>
        <w:gridCol w:w="1701"/>
        <w:gridCol w:w="1276"/>
        <w:gridCol w:w="1843"/>
        <w:gridCol w:w="1134"/>
        <w:gridCol w:w="2126"/>
        <w:gridCol w:w="4394"/>
      </w:tblGrid>
      <w:tr w:rsidR="00790A0D" w:rsidRPr="00DD47DF" w14:paraId="22C14F93" w14:textId="77777777" w:rsidTr="006D2F5F">
        <w:tc>
          <w:tcPr>
            <w:tcW w:w="1752" w:type="dxa"/>
            <w:shd w:val="clear" w:color="auto" w:fill="B8CCE4"/>
            <w:vAlign w:val="center"/>
          </w:tcPr>
          <w:p w14:paraId="423F6060" w14:textId="77777777" w:rsidR="00790A0D" w:rsidRPr="00DD47DF" w:rsidRDefault="00790A0D" w:rsidP="006D2F5F">
            <w:pPr>
              <w:pStyle w:val="Tabulka"/>
              <w:rPr>
                <w:rFonts w:cs="Calibri"/>
                <w:b/>
              </w:rPr>
            </w:pPr>
            <w:r w:rsidRPr="00DD47DF">
              <w:rPr>
                <w:rFonts w:cs="Calibri"/>
                <w:b/>
              </w:rPr>
              <w:t>Předběžná podmínka</w:t>
            </w:r>
          </w:p>
        </w:tc>
        <w:tc>
          <w:tcPr>
            <w:tcW w:w="1701" w:type="dxa"/>
            <w:shd w:val="clear" w:color="auto" w:fill="B8CCE4"/>
            <w:vAlign w:val="center"/>
          </w:tcPr>
          <w:p w14:paraId="146119A5" w14:textId="77777777" w:rsidR="00790A0D" w:rsidRPr="00DD47DF" w:rsidRDefault="00790A0D" w:rsidP="006D2F5F">
            <w:pPr>
              <w:pStyle w:val="Tabulka"/>
              <w:rPr>
                <w:rFonts w:cs="Calibri"/>
                <w:b/>
              </w:rPr>
            </w:pPr>
            <w:r w:rsidRPr="00DD47DF">
              <w:rPr>
                <w:rFonts w:cs="Calibri"/>
                <w:b/>
              </w:rPr>
              <w:t>Prioritní osy, kterých se podmínka týká</w:t>
            </w:r>
          </w:p>
        </w:tc>
        <w:tc>
          <w:tcPr>
            <w:tcW w:w="1276" w:type="dxa"/>
            <w:shd w:val="clear" w:color="auto" w:fill="B8CCE4"/>
            <w:vAlign w:val="center"/>
          </w:tcPr>
          <w:p w14:paraId="6C218F74" w14:textId="77777777" w:rsidR="00790A0D" w:rsidRPr="00DD47DF" w:rsidRDefault="00790A0D" w:rsidP="006D2F5F">
            <w:pPr>
              <w:pStyle w:val="Tabulka"/>
              <w:rPr>
                <w:rFonts w:cs="Calibri"/>
                <w:b/>
              </w:rPr>
            </w:pPr>
            <w:r w:rsidRPr="00DD47DF">
              <w:rPr>
                <w:rFonts w:cs="Calibri"/>
                <w:b/>
              </w:rPr>
              <w:t>Předběžná podmínka splněna: ano/ne/částečně</w:t>
            </w:r>
          </w:p>
        </w:tc>
        <w:tc>
          <w:tcPr>
            <w:tcW w:w="1843" w:type="dxa"/>
            <w:shd w:val="clear" w:color="auto" w:fill="B8CCE4"/>
            <w:vAlign w:val="center"/>
          </w:tcPr>
          <w:p w14:paraId="5E893E0A" w14:textId="77777777" w:rsidR="00790A0D" w:rsidRPr="00DD47DF" w:rsidRDefault="00790A0D" w:rsidP="006D2F5F">
            <w:pPr>
              <w:pStyle w:val="Tabulka"/>
              <w:rPr>
                <w:rFonts w:cs="Calibri"/>
                <w:b/>
              </w:rPr>
            </w:pPr>
            <w:r w:rsidRPr="00DD47DF">
              <w:rPr>
                <w:rFonts w:cs="Calibri"/>
                <w:b/>
              </w:rPr>
              <w:t>Kritéria</w:t>
            </w:r>
          </w:p>
        </w:tc>
        <w:tc>
          <w:tcPr>
            <w:tcW w:w="1134" w:type="dxa"/>
            <w:shd w:val="clear" w:color="auto" w:fill="B8CCE4"/>
            <w:vAlign w:val="center"/>
          </w:tcPr>
          <w:p w14:paraId="521DEADC" w14:textId="77777777" w:rsidR="00790A0D" w:rsidRPr="00DD47DF" w:rsidRDefault="00790A0D" w:rsidP="006D2F5F">
            <w:pPr>
              <w:pStyle w:val="Tabulka"/>
              <w:rPr>
                <w:rFonts w:cs="Calibri"/>
                <w:b/>
              </w:rPr>
            </w:pPr>
            <w:r w:rsidRPr="00DD47DF">
              <w:rPr>
                <w:rFonts w:cs="Calibri"/>
                <w:b/>
              </w:rPr>
              <w:t>Kritéria splněna</w:t>
            </w:r>
          </w:p>
          <w:p w14:paraId="60C7E2F8" w14:textId="77777777" w:rsidR="00790A0D" w:rsidRPr="00DD47DF" w:rsidRDefault="00790A0D" w:rsidP="006D2F5F">
            <w:pPr>
              <w:pStyle w:val="Tabulka"/>
              <w:rPr>
                <w:rFonts w:cs="Calibri"/>
                <w:b/>
              </w:rPr>
            </w:pPr>
            <w:r w:rsidRPr="00DD47DF">
              <w:rPr>
                <w:rFonts w:cs="Calibri"/>
                <w:b/>
              </w:rPr>
              <w:t>ano/ne</w:t>
            </w:r>
          </w:p>
        </w:tc>
        <w:tc>
          <w:tcPr>
            <w:tcW w:w="2126" w:type="dxa"/>
            <w:shd w:val="clear" w:color="auto" w:fill="B8CCE4"/>
            <w:vAlign w:val="center"/>
          </w:tcPr>
          <w:p w14:paraId="6F5B3742" w14:textId="77777777" w:rsidR="00790A0D" w:rsidRPr="00DD47DF" w:rsidRDefault="00790A0D" w:rsidP="006D2F5F">
            <w:pPr>
              <w:pStyle w:val="Tabulka"/>
              <w:rPr>
                <w:rFonts w:cs="Calibri"/>
                <w:b/>
              </w:rPr>
            </w:pPr>
            <w:r w:rsidRPr="00DD47DF">
              <w:rPr>
                <w:rFonts w:cs="Calibri"/>
                <w:b/>
              </w:rPr>
              <w:t>Odkaz</w:t>
            </w:r>
          </w:p>
        </w:tc>
        <w:tc>
          <w:tcPr>
            <w:tcW w:w="4394" w:type="dxa"/>
            <w:shd w:val="clear" w:color="auto" w:fill="B8CCE4"/>
            <w:vAlign w:val="center"/>
          </w:tcPr>
          <w:p w14:paraId="1963BFC9" w14:textId="77777777" w:rsidR="00790A0D" w:rsidRPr="00DD47DF" w:rsidRDefault="00790A0D" w:rsidP="006D2F5F">
            <w:pPr>
              <w:pStyle w:val="Tabulka"/>
              <w:rPr>
                <w:rFonts w:cs="Calibri"/>
                <w:b/>
              </w:rPr>
            </w:pPr>
            <w:r w:rsidRPr="00DD47DF">
              <w:rPr>
                <w:rFonts w:cs="Calibri"/>
                <w:b/>
              </w:rPr>
              <w:t>Vysvětlení</w:t>
            </w:r>
            <w:r w:rsidRPr="00DD47DF">
              <w:rPr>
                <w:rStyle w:val="Znakapoznpodarou"/>
                <w:rFonts w:eastAsia="Calibri" w:cs="Calibri"/>
              </w:rPr>
              <w:footnoteReference w:id="94"/>
            </w:r>
          </w:p>
        </w:tc>
      </w:tr>
      <w:tr w:rsidR="00790A0D" w:rsidRPr="00DD47DF" w14:paraId="38436906" w14:textId="77777777" w:rsidTr="006D2F5F">
        <w:tc>
          <w:tcPr>
            <w:tcW w:w="1752" w:type="dxa"/>
            <w:vMerge w:val="restart"/>
            <w:shd w:val="clear" w:color="auto" w:fill="auto"/>
          </w:tcPr>
          <w:p w14:paraId="6D166DCD" w14:textId="77777777" w:rsidR="00790A0D" w:rsidRPr="00DD47DF" w:rsidRDefault="00790A0D" w:rsidP="006D2F5F">
            <w:pPr>
              <w:pStyle w:val="Tabulka"/>
              <w:jc w:val="left"/>
              <w:rPr>
                <w:rFonts w:cs="Calibri"/>
                <w:b/>
              </w:rPr>
            </w:pPr>
            <w:r w:rsidRPr="00DD47DF">
              <w:rPr>
                <w:rFonts w:cs="Calibri"/>
                <w:b/>
              </w:rPr>
              <w:t xml:space="preserve">Existence administrativní kapacity pro provádění a uplatňování právních předpisů a politiky Unie v oblasti boje pro diskriminaci v případě fondů ESI </w:t>
            </w:r>
          </w:p>
        </w:tc>
        <w:tc>
          <w:tcPr>
            <w:tcW w:w="1701" w:type="dxa"/>
            <w:vMerge w:val="restart"/>
            <w:shd w:val="clear" w:color="auto" w:fill="auto"/>
          </w:tcPr>
          <w:p w14:paraId="107F428B" w14:textId="77777777" w:rsidR="00790A0D" w:rsidRPr="00DD47DF" w:rsidRDefault="00790A0D" w:rsidP="006D2F5F">
            <w:pPr>
              <w:pStyle w:val="Tabulka"/>
              <w:jc w:val="left"/>
              <w:rPr>
                <w:rFonts w:cs="Calibri"/>
              </w:rPr>
            </w:pPr>
            <w:r w:rsidRPr="00DD47DF">
              <w:rPr>
                <w:rFonts w:cs="Calibri"/>
              </w:rPr>
              <w:t>Všechny prioritní osy OP PIK</w:t>
            </w:r>
          </w:p>
        </w:tc>
        <w:tc>
          <w:tcPr>
            <w:tcW w:w="1276" w:type="dxa"/>
            <w:vMerge w:val="restart"/>
            <w:shd w:val="clear" w:color="auto" w:fill="auto"/>
          </w:tcPr>
          <w:p w14:paraId="7D2885B7" w14:textId="77777777" w:rsidR="00790A0D" w:rsidRPr="00DD47DF" w:rsidRDefault="00790A0D" w:rsidP="006D2F5F">
            <w:pPr>
              <w:pStyle w:val="Tabulka"/>
              <w:jc w:val="left"/>
              <w:rPr>
                <w:rFonts w:cs="Calibri"/>
              </w:rPr>
            </w:pPr>
            <w:r w:rsidRPr="00DD47DF">
              <w:rPr>
                <w:rFonts w:cs="Calibri"/>
              </w:rPr>
              <w:t xml:space="preserve">Ano </w:t>
            </w:r>
          </w:p>
          <w:p w14:paraId="169EB8AA" w14:textId="77777777" w:rsidR="00790A0D" w:rsidRPr="00DD47DF" w:rsidRDefault="00790A0D" w:rsidP="006D2F5F">
            <w:pPr>
              <w:pStyle w:val="Tabulka"/>
              <w:jc w:val="left"/>
              <w:rPr>
                <w:rFonts w:cs="Calibri"/>
              </w:rPr>
            </w:pPr>
          </w:p>
          <w:p w14:paraId="621F1CE9" w14:textId="77777777" w:rsidR="00790A0D" w:rsidRPr="00DD47DF" w:rsidRDefault="00790A0D" w:rsidP="006D2F5F">
            <w:pPr>
              <w:pStyle w:val="Tabulka"/>
              <w:jc w:val="left"/>
              <w:rPr>
                <w:rFonts w:cs="Calibri"/>
              </w:rPr>
            </w:pPr>
          </w:p>
        </w:tc>
        <w:tc>
          <w:tcPr>
            <w:tcW w:w="1843" w:type="dxa"/>
            <w:shd w:val="clear" w:color="auto" w:fill="auto"/>
          </w:tcPr>
          <w:p w14:paraId="5EA4F79A" w14:textId="77777777" w:rsidR="00790A0D" w:rsidRPr="00DD47DF" w:rsidRDefault="00790A0D" w:rsidP="006D2F5F">
            <w:pPr>
              <w:pStyle w:val="Tabulka"/>
              <w:jc w:val="left"/>
              <w:rPr>
                <w:rFonts w:cs="Calibri"/>
              </w:rPr>
            </w:pPr>
            <w:r w:rsidRPr="00DD47DF">
              <w:rPr>
                <w:rFonts w:cs="Calibri"/>
              </w:rPr>
              <w:t>Ustanovení v souladu s institucionálním a právním rámcem členských států za účelem zapojení subjektů odpovědných za prosazování rovného zacházení se všemi osobami v rámci přípravy a provádění programů včetně poskytování poradenství v otázkách rovnosti v rámci činností týkajících se fondů ESI.</w:t>
            </w:r>
          </w:p>
        </w:tc>
        <w:tc>
          <w:tcPr>
            <w:tcW w:w="1134" w:type="dxa"/>
            <w:shd w:val="clear" w:color="auto" w:fill="auto"/>
          </w:tcPr>
          <w:p w14:paraId="79BBAA6E"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2F8635D9" w14:textId="77777777" w:rsidR="00790A0D" w:rsidRPr="00DD47DF" w:rsidRDefault="00AF6FE3" w:rsidP="006D2F5F">
            <w:pPr>
              <w:pStyle w:val="Tabulka"/>
              <w:jc w:val="left"/>
              <w:rPr>
                <w:rStyle w:val="Hypertextovodkaz"/>
                <w:rFonts w:cs="Calibri"/>
              </w:rPr>
            </w:pPr>
            <w:hyperlink r:id="rId58" w:history="1">
              <w:r w:rsidR="00790A0D" w:rsidRPr="00DD47DF">
                <w:rPr>
                  <w:rStyle w:val="Hypertextovodkaz"/>
                  <w:rFonts w:cs="Calibri"/>
                </w:rPr>
                <w:t>http://www.ochrance.cz/en/discrimination/</w:t>
              </w:r>
            </w:hyperlink>
          </w:p>
          <w:p w14:paraId="4ACC9149" w14:textId="77777777" w:rsidR="00790A0D" w:rsidRPr="00DD47DF" w:rsidRDefault="00790A0D" w:rsidP="006D2F5F">
            <w:pPr>
              <w:pStyle w:val="Tabulka"/>
              <w:jc w:val="left"/>
              <w:rPr>
                <w:rStyle w:val="Hypertextovodkaz"/>
                <w:rFonts w:cs="Calibri"/>
              </w:rPr>
            </w:pPr>
          </w:p>
          <w:p w14:paraId="24EE73FD" w14:textId="77777777" w:rsidR="00790A0D" w:rsidRPr="00DD47DF" w:rsidRDefault="00AF6FE3" w:rsidP="006D2F5F">
            <w:pPr>
              <w:pStyle w:val="Tabulka"/>
              <w:jc w:val="left"/>
              <w:rPr>
                <w:rFonts w:cs="Calibri"/>
              </w:rPr>
            </w:pPr>
            <w:hyperlink r:id="rId59" w:history="1">
              <w:r w:rsidR="00790A0D" w:rsidRPr="00DD47DF">
                <w:rPr>
                  <w:rStyle w:val="Hypertextovodkaz"/>
                </w:rPr>
                <w:t>http://www.vlada.cz/cz/ppov/zmocnenec-vlady-pro-lidska-prava/organizace-sekce-lp/organizace-sekce-lidskych-prav-107606/</w:t>
              </w:r>
            </w:hyperlink>
          </w:p>
        </w:tc>
        <w:tc>
          <w:tcPr>
            <w:tcW w:w="4394" w:type="dxa"/>
            <w:shd w:val="clear" w:color="auto" w:fill="auto"/>
          </w:tcPr>
          <w:p w14:paraId="6AE47BE9" w14:textId="77777777" w:rsidR="00CE492D" w:rsidRPr="00DD47DF" w:rsidRDefault="00CE492D" w:rsidP="006D2F5F">
            <w:pPr>
              <w:pStyle w:val="Tabulka"/>
              <w:jc w:val="left"/>
              <w:rPr>
                <w:rFonts w:cs="Calibri"/>
              </w:rPr>
            </w:pPr>
            <w:r w:rsidRPr="00DD47DF">
              <w:rPr>
                <w:rFonts w:cs="Calibri"/>
              </w:rPr>
              <w:t>Gestor PP: plnění ANO</w:t>
            </w:r>
          </w:p>
          <w:p w14:paraId="5A729307" w14:textId="77777777" w:rsidR="00CE492D" w:rsidRPr="00DD47DF" w:rsidRDefault="00CE492D" w:rsidP="00CE492D">
            <w:pPr>
              <w:spacing w:before="80" w:after="80"/>
              <w:rPr>
                <w:sz w:val="22"/>
                <w:szCs w:val="22"/>
              </w:rPr>
            </w:pPr>
            <w:r w:rsidRPr="00DD47DF">
              <w:rPr>
                <w:sz w:val="22"/>
                <w:szCs w:val="22"/>
              </w:rPr>
              <w:t>Úkoly vztahující se k  předběžné podmínce „Existence administrativní kapacity pro implementaci a aplikaci evropského antidiskriminačního práva a politiky v oblasti ESI fondů zajišťuje Úřad vlády.</w:t>
            </w:r>
          </w:p>
          <w:p w14:paraId="787F5745" w14:textId="77777777" w:rsidR="00570E7E" w:rsidRPr="00DD47DF" w:rsidRDefault="00570E7E" w:rsidP="00CE492D">
            <w:pPr>
              <w:spacing w:before="80" w:after="80"/>
              <w:rPr>
                <w:sz w:val="22"/>
                <w:szCs w:val="22"/>
              </w:rPr>
            </w:pPr>
            <w:r w:rsidRPr="00DD47DF">
              <w:rPr>
                <w:sz w:val="22"/>
                <w:szCs w:val="22"/>
              </w:rPr>
              <w:t>ŘO: plnění ANO</w:t>
            </w:r>
          </w:p>
          <w:p w14:paraId="4843E934" w14:textId="77777777" w:rsidR="00790A0D" w:rsidRPr="00DD47DF" w:rsidRDefault="00790A0D" w:rsidP="006D2F5F">
            <w:pPr>
              <w:pStyle w:val="Tabulka"/>
              <w:jc w:val="left"/>
              <w:rPr>
                <w:rFonts w:cs="Calibri"/>
              </w:rPr>
            </w:pPr>
            <w:r w:rsidRPr="00DD47DF">
              <w:rPr>
                <w:rFonts w:cs="Calibri"/>
              </w:rPr>
              <w:t xml:space="preserve">V rámci agendy nediskriminace je kontaktní osobou, zabývající se implementací a aplikací antidiskriminačního práva, která je zároveň odpovědná za koordinací aktivit a spolupráci s Úřadem vlády a MPSV, komunikační úředník OP PIK. Ve fázi implementace operačního programu bude také zajištěna účast zástupce gestora (ÚV ČR – Sekce pro lidská práva) v Monitorovacím výboru OP PIK. </w:t>
            </w:r>
          </w:p>
          <w:p w14:paraId="70564289" w14:textId="77777777" w:rsidR="00790A0D" w:rsidRPr="00DD47DF" w:rsidRDefault="00790A0D" w:rsidP="000D5493">
            <w:pPr>
              <w:pStyle w:val="Tabulka"/>
              <w:jc w:val="left"/>
              <w:rPr>
                <w:rFonts w:cs="Calibri"/>
              </w:rPr>
            </w:pPr>
            <w:r w:rsidRPr="00DD47DF">
              <w:rPr>
                <w:rFonts w:cs="Calibri"/>
              </w:rPr>
              <w:t>Specifické naplňování na národní úrovni je uvedeno v rámci Dohody o partnerství</w:t>
            </w:r>
            <w:r w:rsidR="000D5493" w:rsidRPr="00DD47DF">
              <w:rPr>
                <w:rFonts w:cs="Calibri"/>
              </w:rPr>
              <w:t xml:space="preserve"> – viz Příloha II</w:t>
            </w:r>
            <w:r w:rsidRPr="00DD47DF">
              <w:rPr>
                <w:rFonts w:cs="Calibri"/>
              </w:rPr>
              <w:t>.</w:t>
            </w:r>
          </w:p>
        </w:tc>
      </w:tr>
      <w:tr w:rsidR="00790A0D" w:rsidRPr="00DD47DF" w14:paraId="7D730CCE" w14:textId="77777777" w:rsidTr="006D2F5F">
        <w:tc>
          <w:tcPr>
            <w:tcW w:w="1752" w:type="dxa"/>
            <w:vMerge/>
            <w:shd w:val="clear" w:color="auto" w:fill="auto"/>
          </w:tcPr>
          <w:p w14:paraId="0D20CA59" w14:textId="77777777" w:rsidR="00790A0D" w:rsidRPr="00DD47DF" w:rsidRDefault="00790A0D" w:rsidP="006D2F5F">
            <w:pPr>
              <w:pStyle w:val="Tabulka"/>
              <w:jc w:val="left"/>
              <w:rPr>
                <w:rFonts w:cs="Calibri"/>
                <w:b/>
              </w:rPr>
            </w:pPr>
          </w:p>
        </w:tc>
        <w:tc>
          <w:tcPr>
            <w:tcW w:w="1701" w:type="dxa"/>
            <w:vMerge/>
            <w:shd w:val="clear" w:color="auto" w:fill="auto"/>
          </w:tcPr>
          <w:p w14:paraId="3DFF7087" w14:textId="77777777" w:rsidR="00790A0D" w:rsidRPr="00DD47DF" w:rsidRDefault="00790A0D" w:rsidP="006D2F5F">
            <w:pPr>
              <w:pStyle w:val="Tabulka"/>
              <w:jc w:val="left"/>
              <w:rPr>
                <w:rFonts w:cs="Calibri"/>
              </w:rPr>
            </w:pPr>
          </w:p>
        </w:tc>
        <w:tc>
          <w:tcPr>
            <w:tcW w:w="1276" w:type="dxa"/>
            <w:vMerge/>
            <w:shd w:val="clear" w:color="auto" w:fill="auto"/>
          </w:tcPr>
          <w:p w14:paraId="0B8CCDBA" w14:textId="77777777" w:rsidR="00790A0D" w:rsidRPr="00DD47DF" w:rsidRDefault="00790A0D" w:rsidP="006D2F5F">
            <w:pPr>
              <w:pStyle w:val="Tabulka"/>
              <w:jc w:val="left"/>
              <w:rPr>
                <w:rFonts w:cs="Calibri"/>
              </w:rPr>
            </w:pPr>
          </w:p>
        </w:tc>
        <w:tc>
          <w:tcPr>
            <w:tcW w:w="1843" w:type="dxa"/>
            <w:shd w:val="clear" w:color="auto" w:fill="auto"/>
          </w:tcPr>
          <w:p w14:paraId="33BD1484" w14:textId="77777777" w:rsidR="00790A0D" w:rsidRPr="00DD47DF" w:rsidRDefault="00790A0D" w:rsidP="006D2F5F">
            <w:pPr>
              <w:pStyle w:val="Tabulka"/>
              <w:jc w:val="left"/>
              <w:rPr>
                <w:rFonts w:cs="Calibri"/>
              </w:rPr>
            </w:pPr>
            <w:r w:rsidRPr="00DD47DF">
              <w:rPr>
                <w:rFonts w:cs="Calibri"/>
              </w:rPr>
              <w:t xml:space="preserve">Opatření za účelem vzdělávání zaměstnanců orgánů zapojených do řízení a kontroly fondů ESI v oblasti právních předpisů a politiky Unie proti diskriminaci </w:t>
            </w:r>
          </w:p>
        </w:tc>
        <w:tc>
          <w:tcPr>
            <w:tcW w:w="1134" w:type="dxa"/>
            <w:shd w:val="clear" w:color="auto" w:fill="auto"/>
          </w:tcPr>
          <w:p w14:paraId="77C8CB6A"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6D309BF0" w14:textId="77777777" w:rsidR="00790A0D" w:rsidRPr="00DD47DF" w:rsidRDefault="00AF6FE3" w:rsidP="006D2F5F">
            <w:pPr>
              <w:pStyle w:val="Tabulka"/>
              <w:jc w:val="left"/>
              <w:rPr>
                <w:rFonts w:cs="Calibri"/>
              </w:rPr>
            </w:pPr>
            <w:hyperlink r:id="rId60" w:history="1">
              <w:r w:rsidR="00790A0D" w:rsidRPr="00DD47DF">
                <w:rPr>
                  <w:rStyle w:val="Hypertextovodkaz"/>
                </w:rPr>
                <w:t>http://www.strukturalni-fondy.cz/cs/Fondy-EU/2014-2020/Metodicke-pokyny/Metodika-rozvoje-lidskych-zdroju</w:t>
              </w:r>
            </w:hyperlink>
          </w:p>
        </w:tc>
        <w:tc>
          <w:tcPr>
            <w:tcW w:w="4394" w:type="dxa"/>
            <w:shd w:val="clear" w:color="auto" w:fill="auto"/>
          </w:tcPr>
          <w:p w14:paraId="7CDB3EE5" w14:textId="77777777" w:rsidR="00570E7E" w:rsidRPr="00DD47DF" w:rsidRDefault="00570E7E" w:rsidP="006D2F5F">
            <w:pPr>
              <w:pStyle w:val="Tabulka"/>
              <w:jc w:val="left"/>
              <w:rPr>
                <w:rFonts w:cs="Calibri"/>
              </w:rPr>
            </w:pPr>
            <w:r w:rsidRPr="00DD47DF">
              <w:rPr>
                <w:rFonts w:cs="Calibri"/>
              </w:rPr>
              <w:t>Gestor PP: Plnění ANO</w:t>
            </w:r>
          </w:p>
          <w:p w14:paraId="0208C903" w14:textId="77777777" w:rsidR="00570E7E" w:rsidRPr="00DD47DF" w:rsidRDefault="00790A0D" w:rsidP="00570E7E">
            <w:pPr>
              <w:pStyle w:val="DAVA"/>
              <w:spacing w:before="80" w:after="80"/>
              <w:rPr>
                <w:rFonts w:ascii="Times New Roman" w:hAnsi="Times New Roman"/>
                <w:color w:val="000000"/>
                <w:sz w:val="22"/>
                <w:szCs w:val="22"/>
                <w:lang w:eastAsia="cs-CZ"/>
              </w:rPr>
            </w:pPr>
            <w:r w:rsidRPr="00DD47DF">
              <w:rPr>
                <w:rFonts w:ascii="Times New Roman" w:hAnsi="Times New Roman"/>
                <w:sz w:val="22"/>
                <w:szCs w:val="22"/>
              </w:rPr>
              <w:t>Ve spolupráci ÚV ČR a veřejného ochránce práv byly připraveny programy školení relevantních zaměstnanců k tématu rovného zacházení a zákazu diskriminace.</w:t>
            </w:r>
            <w:r w:rsidRPr="00DD47DF">
              <w:rPr>
                <w:rFonts w:cs="Calibri"/>
                <w:sz w:val="22"/>
                <w:szCs w:val="22"/>
              </w:rPr>
              <w:t xml:space="preserve"> </w:t>
            </w:r>
            <w:r w:rsidR="00570E7E" w:rsidRPr="00DD47DF">
              <w:rPr>
                <w:rFonts w:ascii="Times New Roman" w:hAnsi="Times New Roman"/>
                <w:sz w:val="22"/>
                <w:szCs w:val="22"/>
                <w:lang w:eastAsia="cs-CZ"/>
              </w:rPr>
              <w:t xml:space="preserve">Plnění tohoto kritéria již probíhá a bude probíhat průběžně po celou dobu programového období. </w:t>
            </w:r>
            <w:r w:rsidRPr="00DD47DF">
              <w:rPr>
                <w:rFonts w:ascii="Times New Roman" w:hAnsi="Times New Roman"/>
                <w:sz w:val="22"/>
                <w:szCs w:val="22"/>
              </w:rPr>
              <w:t xml:space="preserve">MMR-NOK zajišťuje na horizontální úrovni proškolení zaměstnanců implementujících fondy EU v rámci Systému vzdělávání. </w:t>
            </w:r>
            <w:r w:rsidR="00570E7E" w:rsidRPr="00DD47DF">
              <w:rPr>
                <w:rFonts w:ascii="Times New Roman" w:hAnsi="Times New Roman"/>
                <w:color w:val="000000"/>
                <w:sz w:val="22"/>
                <w:szCs w:val="22"/>
                <w:lang w:eastAsia="cs-CZ"/>
              </w:rPr>
              <w:t>Sekce pro lidská práva ÚV zajišťuje obsahovou náplň vzdělávání a lektorské zajištění.</w:t>
            </w:r>
          </w:p>
          <w:p w14:paraId="26142845" w14:textId="77777777" w:rsidR="00570E7E" w:rsidRPr="00DD47DF" w:rsidRDefault="00570E7E" w:rsidP="00570E7E">
            <w:pPr>
              <w:pStyle w:val="DAVA"/>
              <w:spacing w:before="80" w:after="80"/>
              <w:rPr>
                <w:rFonts w:ascii="Times New Roman" w:hAnsi="Times New Roman"/>
                <w:sz w:val="22"/>
                <w:szCs w:val="22"/>
                <w:lang w:eastAsia="cs-CZ"/>
              </w:rPr>
            </w:pPr>
            <w:r w:rsidRPr="00DD47DF">
              <w:rPr>
                <w:rFonts w:ascii="Times New Roman" w:hAnsi="Times New Roman"/>
                <w:color w:val="000000"/>
                <w:sz w:val="22"/>
                <w:szCs w:val="22"/>
                <w:lang w:eastAsia="cs-CZ"/>
              </w:rPr>
              <w:t>ŘO: Plnění ANO</w:t>
            </w:r>
          </w:p>
          <w:p w14:paraId="6E59B10A" w14:textId="77777777" w:rsidR="00790A0D" w:rsidRPr="00DD47DF" w:rsidRDefault="00790A0D" w:rsidP="006D2F5F">
            <w:pPr>
              <w:pStyle w:val="Tabulka"/>
              <w:jc w:val="left"/>
              <w:rPr>
                <w:rFonts w:cs="Calibri"/>
              </w:rPr>
            </w:pPr>
            <w:r w:rsidRPr="00DD47DF">
              <w:rPr>
                <w:rFonts w:cs="Calibri"/>
              </w:rPr>
              <w:t>Zaměstnanci ŘO OP PIK jsou zapojeni do Systému vzdělávání a účastní se průběžně a dle potřeby příslušných školení s problematikou nediskriminace a rovného zacházení.</w:t>
            </w:r>
          </w:p>
          <w:p w14:paraId="01E9B28A" w14:textId="77777777" w:rsidR="00790A0D" w:rsidRPr="00DD47DF" w:rsidRDefault="00790A0D" w:rsidP="000D5493">
            <w:pPr>
              <w:pStyle w:val="Tabulka"/>
              <w:jc w:val="left"/>
              <w:rPr>
                <w:rFonts w:cs="Calibri"/>
              </w:rPr>
            </w:pPr>
            <w:r w:rsidRPr="00DD47DF">
              <w:rPr>
                <w:rFonts w:cs="Calibri"/>
              </w:rPr>
              <w:t>Specifické naplňování na národní úrovni je uvedeno v rámci Dohody o partnerství</w:t>
            </w:r>
            <w:r w:rsidR="000D5493" w:rsidRPr="00DD47DF">
              <w:rPr>
                <w:rFonts w:cs="Calibri"/>
              </w:rPr>
              <w:t xml:space="preserve"> – viz Příloha II</w:t>
            </w:r>
            <w:r w:rsidRPr="00DD47DF">
              <w:rPr>
                <w:rFonts w:cs="Calibri"/>
              </w:rPr>
              <w:t>.</w:t>
            </w:r>
          </w:p>
        </w:tc>
      </w:tr>
      <w:tr w:rsidR="00790A0D" w:rsidRPr="00DD47DF" w14:paraId="3AA75771" w14:textId="77777777" w:rsidTr="006D2F5F">
        <w:tc>
          <w:tcPr>
            <w:tcW w:w="1752" w:type="dxa"/>
            <w:vMerge w:val="restart"/>
            <w:shd w:val="clear" w:color="auto" w:fill="auto"/>
          </w:tcPr>
          <w:p w14:paraId="41BF2F47" w14:textId="77777777" w:rsidR="00790A0D" w:rsidRPr="00DD47DF" w:rsidRDefault="00790A0D" w:rsidP="006D2F5F">
            <w:pPr>
              <w:pStyle w:val="Tabulka"/>
              <w:jc w:val="left"/>
              <w:rPr>
                <w:rFonts w:cs="Calibri"/>
                <w:b/>
              </w:rPr>
            </w:pPr>
            <w:r w:rsidRPr="00DD47DF">
              <w:rPr>
                <w:rFonts w:cs="Calibri"/>
                <w:b/>
              </w:rPr>
              <w:t xml:space="preserve">Existence administrativní kapacity pro provádění a uplatňování právních předpisů a politiky Unie v oblasti rovnosti mezi ženami a muži v případě </w:t>
            </w:r>
            <w:r w:rsidRPr="00DD47DF">
              <w:rPr>
                <w:rFonts w:cs="Calibri"/>
                <w:b/>
              </w:rPr>
              <w:lastRenderedPageBreak/>
              <w:t>fondů ESI</w:t>
            </w:r>
          </w:p>
        </w:tc>
        <w:tc>
          <w:tcPr>
            <w:tcW w:w="1701" w:type="dxa"/>
            <w:vMerge w:val="restart"/>
            <w:shd w:val="clear" w:color="auto" w:fill="auto"/>
          </w:tcPr>
          <w:p w14:paraId="5E858BAF" w14:textId="77777777" w:rsidR="00790A0D" w:rsidRPr="00DD47DF" w:rsidRDefault="00790A0D" w:rsidP="006D2F5F">
            <w:pPr>
              <w:pStyle w:val="Tabulka"/>
              <w:jc w:val="left"/>
              <w:rPr>
                <w:rFonts w:cs="Calibri"/>
              </w:rPr>
            </w:pPr>
            <w:r w:rsidRPr="00DD47DF">
              <w:rPr>
                <w:rFonts w:cs="Calibri"/>
              </w:rPr>
              <w:lastRenderedPageBreak/>
              <w:t>Všechny prioritní osy OP PIK</w:t>
            </w:r>
          </w:p>
        </w:tc>
        <w:tc>
          <w:tcPr>
            <w:tcW w:w="1276" w:type="dxa"/>
            <w:vMerge w:val="restart"/>
            <w:shd w:val="clear" w:color="auto" w:fill="auto"/>
          </w:tcPr>
          <w:p w14:paraId="444CB10F" w14:textId="77777777" w:rsidR="00790A0D" w:rsidRPr="00DD47DF" w:rsidRDefault="00790A0D" w:rsidP="006D2F5F">
            <w:pPr>
              <w:pStyle w:val="Tabulka"/>
              <w:jc w:val="left"/>
              <w:rPr>
                <w:rFonts w:cs="Calibri"/>
              </w:rPr>
            </w:pPr>
            <w:r w:rsidRPr="00DD47DF">
              <w:rPr>
                <w:rFonts w:cs="Calibri"/>
              </w:rPr>
              <w:t>Ano</w:t>
            </w:r>
          </w:p>
          <w:p w14:paraId="4D316949" w14:textId="77777777" w:rsidR="00790A0D" w:rsidRPr="00DD47DF" w:rsidRDefault="00790A0D" w:rsidP="006D2F5F">
            <w:pPr>
              <w:pStyle w:val="Tabulka"/>
              <w:jc w:val="left"/>
              <w:rPr>
                <w:rFonts w:cs="Calibri"/>
              </w:rPr>
            </w:pPr>
          </w:p>
        </w:tc>
        <w:tc>
          <w:tcPr>
            <w:tcW w:w="1843" w:type="dxa"/>
            <w:shd w:val="clear" w:color="auto" w:fill="auto"/>
          </w:tcPr>
          <w:p w14:paraId="7BA0F161" w14:textId="77777777" w:rsidR="00790A0D" w:rsidRPr="00DD47DF" w:rsidRDefault="00790A0D" w:rsidP="006D2F5F">
            <w:pPr>
              <w:pStyle w:val="Tabulka"/>
              <w:jc w:val="left"/>
              <w:rPr>
                <w:rFonts w:cs="Calibri"/>
              </w:rPr>
            </w:pPr>
            <w:r w:rsidRPr="00DD47DF">
              <w:rPr>
                <w:rFonts w:cs="Calibri"/>
              </w:rPr>
              <w:t xml:space="preserve">Ustanovení v souladu s institucionálním a právním rámcem členských států za účelem zapojení subjektů odpovědných za rovnost mezi ženami a muži v rámci přípravy a </w:t>
            </w:r>
            <w:r w:rsidRPr="00DD47DF">
              <w:rPr>
                <w:rFonts w:cs="Calibri"/>
              </w:rPr>
              <w:lastRenderedPageBreak/>
              <w:t>provádění programů, včetně poskytování poradenství v otázkách rovnosti mezi ženami a muži v rámci činností týkajících se fondů ESI;</w:t>
            </w:r>
          </w:p>
        </w:tc>
        <w:tc>
          <w:tcPr>
            <w:tcW w:w="1134" w:type="dxa"/>
            <w:shd w:val="clear" w:color="auto" w:fill="auto"/>
          </w:tcPr>
          <w:p w14:paraId="68590A9A" w14:textId="77777777" w:rsidR="00790A0D" w:rsidRPr="00DD47DF" w:rsidRDefault="00790A0D" w:rsidP="006D2F5F">
            <w:pPr>
              <w:pStyle w:val="Tabulka"/>
              <w:jc w:val="left"/>
              <w:rPr>
                <w:rFonts w:cs="Calibri"/>
              </w:rPr>
            </w:pPr>
            <w:r w:rsidRPr="00DD47DF">
              <w:rPr>
                <w:rFonts w:cs="Calibri"/>
              </w:rPr>
              <w:lastRenderedPageBreak/>
              <w:t>ano</w:t>
            </w:r>
          </w:p>
        </w:tc>
        <w:tc>
          <w:tcPr>
            <w:tcW w:w="2126" w:type="dxa"/>
            <w:shd w:val="clear" w:color="auto" w:fill="auto"/>
          </w:tcPr>
          <w:p w14:paraId="3AF8933B" w14:textId="77777777" w:rsidR="00790A0D" w:rsidRPr="00DD47DF" w:rsidRDefault="00AF6FE3" w:rsidP="006D2F5F">
            <w:pPr>
              <w:pStyle w:val="Tabulka"/>
              <w:jc w:val="left"/>
              <w:rPr>
                <w:rStyle w:val="Hypertextovodkaz"/>
                <w:rFonts w:cs="Calibri"/>
              </w:rPr>
            </w:pPr>
            <w:hyperlink r:id="rId61" w:history="1">
              <w:r w:rsidR="00790A0D" w:rsidRPr="00DD47DF">
                <w:rPr>
                  <w:rStyle w:val="Hypertextovodkaz"/>
                  <w:rFonts w:cs="Calibri"/>
                </w:rPr>
                <w:t>http://www.ochrance.cz/en/discrimination/</w:t>
              </w:r>
            </w:hyperlink>
          </w:p>
          <w:p w14:paraId="6D351DBD" w14:textId="77777777" w:rsidR="00790A0D" w:rsidRPr="00DD47DF" w:rsidRDefault="00790A0D" w:rsidP="006D2F5F">
            <w:pPr>
              <w:pStyle w:val="Tabulka"/>
              <w:jc w:val="left"/>
              <w:rPr>
                <w:rStyle w:val="Hypertextovodkaz"/>
                <w:rFonts w:cs="Calibri"/>
              </w:rPr>
            </w:pPr>
          </w:p>
          <w:p w14:paraId="29C2DDAA" w14:textId="77777777" w:rsidR="00790A0D" w:rsidRPr="00DD47DF" w:rsidRDefault="00AF6FE3" w:rsidP="006D2F5F">
            <w:pPr>
              <w:pStyle w:val="Tabulka"/>
              <w:jc w:val="left"/>
              <w:rPr>
                <w:rFonts w:cs="Calibri"/>
              </w:rPr>
            </w:pPr>
            <w:hyperlink r:id="rId62" w:history="1">
              <w:r w:rsidR="00790A0D" w:rsidRPr="00DD47DF">
                <w:rPr>
                  <w:rStyle w:val="Hypertextovodkaz"/>
                  <w:rFonts w:cs="Calibri"/>
                </w:rPr>
                <w:t>http://www.mpsv.cz/cs/12152</w:t>
              </w:r>
            </w:hyperlink>
          </w:p>
        </w:tc>
        <w:tc>
          <w:tcPr>
            <w:tcW w:w="4394" w:type="dxa"/>
            <w:shd w:val="clear" w:color="auto" w:fill="auto"/>
          </w:tcPr>
          <w:p w14:paraId="33BE7BEE" w14:textId="77777777" w:rsidR="00570E7E" w:rsidRPr="00DD47DF" w:rsidRDefault="00570E7E" w:rsidP="006D2F5F">
            <w:pPr>
              <w:pStyle w:val="Tabulka"/>
              <w:jc w:val="left"/>
              <w:rPr>
                <w:rFonts w:cs="Calibri"/>
              </w:rPr>
            </w:pPr>
            <w:r w:rsidRPr="00DD47DF">
              <w:rPr>
                <w:rFonts w:cs="Calibri"/>
              </w:rPr>
              <w:t>Gestor PP: Plnění ANO</w:t>
            </w:r>
          </w:p>
          <w:p w14:paraId="2DA523A4" w14:textId="77777777" w:rsidR="00D709F2" w:rsidRPr="00DD47DF" w:rsidRDefault="00570E7E" w:rsidP="006D2F5F">
            <w:pPr>
              <w:pStyle w:val="Tabulka"/>
              <w:jc w:val="left"/>
              <w:rPr>
                <w:color w:val="000000"/>
              </w:rPr>
            </w:pPr>
            <w:r w:rsidRPr="00DD47DF">
              <w:rPr>
                <w:color w:val="000000"/>
              </w:rPr>
              <w:t xml:space="preserve">Úkoly vztahující se k použitelné předběžné podmínce zajištuje </w:t>
            </w:r>
            <w:r w:rsidRPr="00DD47DF">
              <w:t xml:space="preserve"> </w:t>
            </w:r>
            <w:r w:rsidRPr="00DD47DF">
              <w:rPr>
                <w:color w:val="000000"/>
              </w:rPr>
              <w:t>Úřad vlády jakožto vnitrostátní koordinátor agendy rovných příležitostí žen a mužů, spolu s určenými kontaktními pracovníky ŘO jednotlivých ESI fondů.</w:t>
            </w:r>
          </w:p>
          <w:p w14:paraId="33551DAD" w14:textId="77777777" w:rsidR="00570E7E" w:rsidRPr="00DD47DF" w:rsidRDefault="00570E7E" w:rsidP="006D2F5F">
            <w:pPr>
              <w:pStyle w:val="Tabulka"/>
              <w:jc w:val="left"/>
              <w:rPr>
                <w:rFonts w:cs="Calibri"/>
              </w:rPr>
            </w:pPr>
            <w:r w:rsidRPr="00DD47DF">
              <w:rPr>
                <w:rFonts w:cs="Calibri"/>
              </w:rPr>
              <w:t>ŘO: Plnění ANO</w:t>
            </w:r>
          </w:p>
          <w:p w14:paraId="63603A2E" w14:textId="6F2017EE" w:rsidR="00790A0D" w:rsidRPr="00DD47DF" w:rsidRDefault="00790A0D" w:rsidP="006D2F5F">
            <w:pPr>
              <w:pStyle w:val="Tabulka"/>
              <w:jc w:val="left"/>
              <w:rPr>
                <w:rFonts w:cs="Calibri"/>
              </w:rPr>
            </w:pPr>
            <w:r w:rsidRPr="00DD47DF">
              <w:rPr>
                <w:rFonts w:cs="Calibri"/>
              </w:rPr>
              <w:t xml:space="preserve">V OPPIK bude zajištěno, aby podpořené projekty přispívaly k naplňování principu </w:t>
            </w:r>
            <w:r w:rsidRPr="00DD47DF">
              <w:rPr>
                <w:rFonts w:cs="Calibri"/>
              </w:rPr>
              <w:lastRenderedPageBreak/>
              <w:t>rovnosti žen a mužů u relevantních intervencí. V OPPIK budou mít ke všem programům podpory stejný přístup ženy i muži</w:t>
            </w:r>
            <w:r w:rsidR="00D93B75" w:rsidRPr="00DD47DF">
              <w:rPr>
                <w:rFonts w:cs="Calibri"/>
              </w:rPr>
              <w:t>.</w:t>
            </w:r>
            <w:r w:rsidRPr="00DD47DF">
              <w:rPr>
                <w:rFonts w:cs="Calibri"/>
              </w:rPr>
              <w:t xml:space="preserve"> </w:t>
            </w:r>
            <w:r w:rsidR="00D93B75" w:rsidRPr="00DD47DF">
              <w:rPr>
                <w:rFonts w:cs="Calibri"/>
              </w:rPr>
              <w:t>P</w:t>
            </w:r>
            <w:r w:rsidRPr="00DD47DF">
              <w:rPr>
                <w:rFonts w:cs="Calibri"/>
              </w:rPr>
              <w:t xml:space="preserve">rincip rovnosti žen a mužů bude zahrnut do výběrových kritérií subprogramů podpory. V případě, že </w:t>
            </w:r>
            <w:r w:rsidR="00BA68C1">
              <w:rPr>
                <w:rFonts w:cs="Calibri"/>
              </w:rPr>
              <w:t>výběrová</w:t>
            </w:r>
            <w:r w:rsidR="00BA68C1" w:rsidRPr="00DD47DF">
              <w:rPr>
                <w:rFonts w:cs="Calibri"/>
              </w:rPr>
              <w:t xml:space="preserve"> </w:t>
            </w:r>
            <w:r w:rsidRPr="00DD47DF">
              <w:rPr>
                <w:rFonts w:cs="Calibri"/>
              </w:rPr>
              <w:t xml:space="preserve">komise shledá, že projekt nebude projekt podpořen. Aktivity v PO 5 – Technická pomoc budou přístupné všem, bez rozdílu pohlaví. Rovnost mužů a žen bude zajištěna také ve složení Monitorovacího výboru. </w:t>
            </w:r>
            <w:r w:rsidR="00D93B75" w:rsidRPr="00DD47DF">
              <w:rPr>
                <w:rFonts w:cs="Calibri"/>
              </w:rPr>
              <w:t>Ko</w:t>
            </w:r>
            <w:r w:rsidRPr="00DD47DF">
              <w:rPr>
                <w:rFonts w:cs="Calibri"/>
              </w:rPr>
              <w:t>ntaktní osobou, zabývající se implementací a aplikaci práva rovnosti žen a mužů, která je zároveň odpovědná za koordinaci aktivit a spolupráci s</w:t>
            </w:r>
            <w:r w:rsidR="00D93B75" w:rsidRPr="00DD47DF">
              <w:rPr>
                <w:rFonts w:cs="Calibri"/>
              </w:rPr>
              <w:t>  ÚV ČR</w:t>
            </w:r>
            <w:r w:rsidRPr="00DD47DF">
              <w:rPr>
                <w:rFonts w:cs="Calibri"/>
              </w:rPr>
              <w:t>, komunikační úředník.</w:t>
            </w:r>
          </w:p>
          <w:p w14:paraId="7DA4E9B9" w14:textId="77777777" w:rsidR="00790A0D" w:rsidRPr="00DD47DF" w:rsidRDefault="00790A0D" w:rsidP="002A5257">
            <w:pPr>
              <w:pStyle w:val="Tabulka"/>
              <w:jc w:val="left"/>
              <w:rPr>
                <w:rFonts w:cs="Calibri"/>
              </w:rPr>
            </w:pPr>
            <w:r w:rsidRPr="00DD47DF">
              <w:rPr>
                <w:rFonts w:cs="Calibri"/>
              </w:rPr>
              <w:t xml:space="preserve">Specifické naplňování na národní úrovni </w:t>
            </w:r>
            <w:r w:rsidR="002A5257" w:rsidRPr="00DD47DF">
              <w:rPr>
                <w:rFonts w:cs="Calibri"/>
              </w:rPr>
              <w:t xml:space="preserve"> - viz Příloha II.</w:t>
            </w:r>
          </w:p>
        </w:tc>
      </w:tr>
      <w:tr w:rsidR="00790A0D" w:rsidRPr="00DD47DF" w14:paraId="4B36422D" w14:textId="77777777" w:rsidTr="006D2F5F">
        <w:tc>
          <w:tcPr>
            <w:tcW w:w="1752" w:type="dxa"/>
            <w:vMerge/>
            <w:shd w:val="clear" w:color="auto" w:fill="auto"/>
          </w:tcPr>
          <w:p w14:paraId="40D25FFE" w14:textId="77777777" w:rsidR="00790A0D" w:rsidRPr="00DD47DF" w:rsidRDefault="00790A0D" w:rsidP="006D2F5F">
            <w:pPr>
              <w:pStyle w:val="Tabulka"/>
              <w:jc w:val="left"/>
              <w:rPr>
                <w:rFonts w:cs="Calibri"/>
                <w:b/>
              </w:rPr>
            </w:pPr>
          </w:p>
        </w:tc>
        <w:tc>
          <w:tcPr>
            <w:tcW w:w="1701" w:type="dxa"/>
            <w:vMerge/>
            <w:shd w:val="clear" w:color="auto" w:fill="auto"/>
          </w:tcPr>
          <w:p w14:paraId="61B97A39" w14:textId="77777777" w:rsidR="00790A0D" w:rsidRPr="00DD47DF" w:rsidRDefault="00790A0D" w:rsidP="006D2F5F">
            <w:pPr>
              <w:pStyle w:val="Tabulka"/>
              <w:jc w:val="left"/>
              <w:rPr>
                <w:rFonts w:cs="Calibri"/>
              </w:rPr>
            </w:pPr>
          </w:p>
        </w:tc>
        <w:tc>
          <w:tcPr>
            <w:tcW w:w="1276" w:type="dxa"/>
            <w:vMerge/>
            <w:shd w:val="clear" w:color="auto" w:fill="auto"/>
          </w:tcPr>
          <w:p w14:paraId="2392CC94" w14:textId="77777777" w:rsidR="00790A0D" w:rsidRPr="00DD47DF" w:rsidRDefault="00790A0D" w:rsidP="006D2F5F">
            <w:pPr>
              <w:pStyle w:val="Tabulka"/>
              <w:jc w:val="left"/>
              <w:rPr>
                <w:rFonts w:cs="Calibri"/>
              </w:rPr>
            </w:pPr>
          </w:p>
        </w:tc>
        <w:tc>
          <w:tcPr>
            <w:tcW w:w="1843" w:type="dxa"/>
            <w:shd w:val="clear" w:color="auto" w:fill="auto"/>
          </w:tcPr>
          <w:p w14:paraId="51BF0482" w14:textId="77777777" w:rsidR="00790A0D" w:rsidRPr="00DD47DF" w:rsidRDefault="00790A0D" w:rsidP="006D2F5F">
            <w:pPr>
              <w:pStyle w:val="Tabulka"/>
              <w:jc w:val="left"/>
              <w:rPr>
                <w:rFonts w:cs="Calibri"/>
              </w:rPr>
            </w:pPr>
            <w:r w:rsidRPr="00DD47DF">
              <w:rPr>
                <w:rFonts w:cs="Calibri"/>
              </w:rPr>
              <w:t>Opatření za účelem vzdělávání zaměstnanců orgánů zapojených do řízení a kontroly fondů ESI v oblasti právních předpisů a politiky Unie týkajících se rovnosti mezi ženami a muži a zohledňování rovnosti mezi ženami a muži.</w:t>
            </w:r>
          </w:p>
        </w:tc>
        <w:tc>
          <w:tcPr>
            <w:tcW w:w="1134" w:type="dxa"/>
            <w:shd w:val="clear" w:color="auto" w:fill="auto"/>
          </w:tcPr>
          <w:p w14:paraId="281CD8A7"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75B047F2" w14:textId="77777777" w:rsidR="00790A0D" w:rsidRPr="00DD47DF" w:rsidRDefault="00AF6FE3" w:rsidP="006D2F5F">
            <w:pPr>
              <w:pStyle w:val="Tabulka"/>
              <w:jc w:val="left"/>
              <w:rPr>
                <w:rFonts w:cs="Calibri"/>
              </w:rPr>
            </w:pPr>
            <w:hyperlink r:id="rId63" w:history="1">
              <w:r w:rsidR="00790A0D" w:rsidRPr="00DD47DF">
                <w:rPr>
                  <w:rStyle w:val="Hypertextovodkaz"/>
                </w:rPr>
                <w:t>http://www.strukturalni-fondy.cz/cs/Fondy-EU/2014-2020/Metodicke-pokyny/Metodika-rozvoje-lidskych-zdroju</w:t>
              </w:r>
            </w:hyperlink>
          </w:p>
        </w:tc>
        <w:tc>
          <w:tcPr>
            <w:tcW w:w="4394" w:type="dxa"/>
            <w:shd w:val="clear" w:color="auto" w:fill="auto"/>
          </w:tcPr>
          <w:p w14:paraId="06C5017C" w14:textId="77777777" w:rsidR="00C50130" w:rsidRPr="00DD47DF" w:rsidRDefault="00C50130" w:rsidP="006D2F5F">
            <w:pPr>
              <w:pStyle w:val="Tabulka"/>
              <w:jc w:val="left"/>
              <w:rPr>
                <w:rFonts w:cs="Calibri"/>
              </w:rPr>
            </w:pPr>
            <w:r w:rsidRPr="00DD47DF">
              <w:rPr>
                <w:rFonts w:cs="Calibri"/>
              </w:rPr>
              <w:t>Gestor PP: Plnění ANO</w:t>
            </w:r>
          </w:p>
          <w:p w14:paraId="4ED69B2F" w14:textId="77777777" w:rsidR="00C50130" w:rsidRPr="00DD47DF" w:rsidRDefault="00790A0D" w:rsidP="00C50130">
            <w:pPr>
              <w:pStyle w:val="Prosttext"/>
              <w:spacing w:before="80" w:after="80"/>
              <w:rPr>
                <w:rFonts w:ascii="Times New Roman" w:hAnsi="Times New Roman"/>
                <w:sz w:val="22"/>
                <w:szCs w:val="22"/>
                <w:lang w:eastAsia="cs-CZ"/>
              </w:rPr>
            </w:pPr>
            <w:r w:rsidRPr="00DD47DF">
              <w:rPr>
                <w:rFonts w:ascii="Times New Roman" w:hAnsi="Times New Roman"/>
                <w:sz w:val="22"/>
                <w:szCs w:val="22"/>
              </w:rPr>
              <w:t>MMR-NOK zajišťuje na horizontální úrovni proškolení zaměstnanců implementujících fondy EU v rámci Systému vzdělávání, Úřad vlády</w:t>
            </w:r>
            <w:r w:rsidR="00C50130" w:rsidRPr="00DD47DF">
              <w:rPr>
                <w:rFonts w:ascii="Times New Roman" w:hAnsi="Times New Roman"/>
                <w:sz w:val="22"/>
                <w:szCs w:val="22"/>
              </w:rPr>
              <w:t xml:space="preserve"> </w:t>
            </w:r>
            <w:r w:rsidRPr="00DD47DF">
              <w:rPr>
                <w:rFonts w:ascii="Times New Roman" w:hAnsi="Times New Roman"/>
                <w:sz w:val="22"/>
                <w:szCs w:val="22"/>
              </w:rPr>
              <w:t>zajišťuje obsahovou náplň vzdělávání a lektorské zajištění.</w:t>
            </w:r>
            <w:r w:rsidR="00C50130" w:rsidRPr="00DD47DF">
              <w:rPr>
                <w:sz w:val="22"/>
                <w:szCs w:val="22"/>
                <w:lang w:eastAsia="cs-CZ"/>
              </w:rPr>
              <w:t xml:space="preserve"> </w:t>
            </w:r>
            <w:r w:rsidR="00C50130" w:rsidRPr="00DD47DF">
              <w:rPr>
                <w:rFonts w:ascii="Times New Roman" w:hAnsi="Times New Roman"/>
                <w:sz w:val="22"/>
                <w:szCs w:val="22"/>
                <w:lang w:eastAsia="cs-CZ"/>
              </w:rPr>
              <w:t xml:space="preserve">Oblast vzdělávání je součástí Metodického pokynu k rozvoji lidských zdrojů v programovém období 2014-2020 a v programovém období 2007-2013 (Usnesení vlády ČR ze dne 16. června 2014 č. 444). </w:t>
            </w:r>
          </w:p>
          <w:p w14:paraId="1A0C2933" w14:textId="77777777" w:rsidR="00790A0D" w:rsidRPr="00DD47DF" w:rsidRDefault="00C50130" w:rsidP="006D2F5F">
            <w:pPr>
              <w:pStyle w:val="Tabulka"/>
              <w:jc w:val="left"/>
              <w:rPr>
                <w:rFonts w:cs="Calibri"/>
              </w:rPr>
            </w:pPr>
            <w:r w:rsidRPr="00DD47DF">
              <w:rPr>
                <w:rFonts w:cs="Calibri"/>
              </w:rPr>
              <w:t>ŘO: Plnění ANO</w:t>
            </w:r>
          </w:p>
          <w:p w14:paraId="5F955C2C" w14:textId="77777777" w:rsidR="00790A0D" w:rsidRPr="00DD47DF" w:rsidRDefault="00790A0D" w:rsidP="006D2F5F">
            <w:pPr>
              <w:pStyle w:val="Tabulka"/>
              <w:jc w:val="left"/>
              <w:rPr>
                <w:rFonts w:cs="Calibri"/>
              </w:rPr>
            </w:pPr>
            <w:r w:rsidRPr="00DD47DF">
              <w:rPr>
                <w:rFonts w:cs="Calibri"/>
              </w:rPr>
              <w:t xml:space="preserve">Zaměstnanci ŘO OP PIK jsou zapojeni do Systému vzdělávání a účastní se průběžně a dle </w:t>
            </w:r>
            <w:r w:rsidRPr="00DD47DF">
              <w:rPr>
                <w:rFonts w:cs="Calibri"/>
              </w:rPr>
              <w:lastRenderedPageBreak/>
              <w:t>potřeby příslušných školení s problematikou rovnosti mezi ženami a muži.</w:t>
            </w:r>
          </w:p>
          <w:p w14:paraId="7FFDEB3B" w14:textId="77777777" w:rsidR="00790A0D" w:rsidRPr="00DD47DF" w:rsidRDefault="00790A0D" w:rsidP="006D2F5F">
            <w:pPr>
              <w:pStyle w:val="Tabulka"/>
              <w:jc w:val="left"/>
              <w:rPr>
                <w:rFonts w:cs="Calibri"/>
              </w:rPr>
            </w:pPr>
            <w:r w:rsidRPr="00DD47DF">
              <w:rPr>
                <w:rFonts w:cs="Calibri"/>
              </w:rPr>
              <w:t>Specifické naplňování na národní úrovni je uvedeno v rámci Dohody o partnerství</w:t>
            </w:r>
            <w:r w:rsidR="000D5493" w:rsidRPr="00DD47DF">
              <w:rPr>
                <w:rFonts w:cs="Calibri"/>
              </w:rPr>
              <w:t xml:space="preserve"> – viz Příloha II</w:t>
            </w:r>
            <w:r w:rsidRPr="00DD47DF">
              <w:rPr>
                <w:rFonts w:cs="Calibri"/>
              </w:rPr>
              <w:t>.</w:t>
            </w:r>
          </w:p>
        </w:tc>
      </w:tr>
      <w:tr w:rsidR="00790A0D" w:rsidRPr="00DD47DF" w14:paraId="54D59BE7" w14:textId="77777777" w:rsidTr="006D2F5F">
        <w:tc>
          <w:tcPr>
            <w:tcW w:w="1752" w:type="dxa"/>
            <w:vMerge w:val="restart"/>
            <w:shd w:val="clear" w:color="auto" w:fill="auto"/>
          </w:tcPr>
          <w:p w14:paraId="7B95890B" w14:textId="77777777" w:rsidR="00790A0D" w:rsidRPr="00DD47DF" w:rsidRDefault="00790A0D" w:rsidP="006D2F5F">
            <w:pPr>
              <w:pStyle w:val="Tabulka"/>
              <w:jc w:val="left"/>
              <w:rPr>
                <w:rFonts w:cs="Calibri"/>
                <w:b/>
              </w:rPr>
            </w:pPr>
            <w:r w:rsidRPr="00DD47DF">
              <w:rPr>
                <w:rFonts w:cs="Calibri"/>
                <w:b/>
              </w:rPr>
              <w:lastRenderedPageBreak/>
              <w:t>Existence administrativní kapacity k provádění a uplatňování Úmluvy OSN o právech osob se zdravotním postižením (UNCRPD) v oblasti fondů ESI v souladu s rozhodnutím Rady 2010/48/ES</w:t>
            </w:r>
            <w:r w:rsidRPr="00DD47DF">
              <w:rPr>
                <w:rStyle w:val="Znakapoznpodarou"/>
                <w:rFonts w:cs="Calibri"/>
              </w:rPr>
              <w:footnoteReference w:id="95"/>
            </w:r>
          </w:p>
          <w:p w14:paraId="32B75CE3" w14:textId="77777777" w:rsidR="00790A0D" w:rsidRPr="00DD47DF" w:rsidRDefault="00790A0D" w:rsidP="006D2F5F">
            <w:pPr>
              <w:pStyle w:val="Tabulka"/>
              <w:jc w:val="left"/>
              <w:rPr>
                <w:rFonts w:cs="Calibri"/>
                <w:b/>
              </w:rPr>
            </w:pPr>
          </w:p>
        </w:tc>
        <w:tc>
          <w:tcPr>
            <w:tcW w:w="1701" w:type="dxa"/>
            <w:vMerge w:val="restart"/>
            <w:shd w:val="clear" w:color="auto" w:fill="auto"/>
          </w:tcPr>
          <w:p w14:paraId="3F734DE7" w14:textId="77777777" w:rsidR="00790A0D" w:rsidRPr="00DD47DF" w:rsidRDefault="00790A0D" w:rsidP="006D2F5F">
            <w:pPr>
              <w:pStyle w:val="Tabulka"/>
              <w:jc w:val="left"/>
              <w:rPr>
                <w:rFonts w:cs="Calibri"/>
              </w:rPr>
            </w:pPr>
            <w:r w:rsidRPr="00DD47DF">
              <w:rPr>
                <w:rFonts w:cs="Calibri"/>
              </w:rPr>
              <w:t>Všechny prioritní osy OP PIK</w:t>
            </w:r>
          </w:p>
        </w:tc>
        <w:tc>
          <w:tcPr>
            <w:tcW w:w="1276" w:type="dxa"/>
            <w:vMerge w:val="restart"/>
            <w:shd w:val="clear" w:color="auto" w:fill="auto"/>
          </w:tcPr>
          <w:p w14:paraId="45805DCD" w14:textId="77777777" w:rsidR="00790A0D" w:rsidRPr="00DD47DF" w:rsidRDefault="00790A0D" w:rsidP="006D2F5F">
            <w:pPr>
              <w:pStyle w:val="Tabulka"/>
              <w:jc w:val="left"/>
              <w:rPr>
                <w:rFonts w:cs="Calibri"/>
              </w:rPr>
            </w:pPr>
            <w:r w:rsidRPr="00DD47DF">
              <w:rPr>
                <w:rFonts w:cs="Calibri"/>
              </w:rPr>
              <w:t>Ano</w:t>
            </w:r>
          </w:p>
          <w:p w14:paraId="689B54DE" w14:textId="77777777" w:rsidR="00790A0D" w:rsidRPr="00DD47DF" w:rsidRDefault="00790A0D" w:rsidP="006D2F5F">
            <w:pPr>
              <w:pStyle w:val="Tabulka"/>
              <w:jc w:val="left"/>
              <w:rPr>
                <w:rFonts w:cs="Calibri"/>
              </w:rPr>
            </w:pPr>
          </w:p>
        </w:tc>
        <w:tc>
          <w:tcPr>
            <w:tcW w:w="1843" w:type="dxa"/>
            <w:shd w:val="clear" w:color="auto" w:fill="auto"/>
          </w:tcPr>
          <w:p w14:paraId="2A13A8DC" w14:textId="77777777" w:rsidR="00790A0D" w:rsidRPr="00DD47DF" w:rsidRDefault="00790A0D" w:rsidP="006D2F5F">
            <w:pPr>
              <w:pStyle w:val="Tabulka"/>
              <w:jc w:val="left"/>
              <w:rPr>
                <w:rFonts w:cs="Calibri"/>
              </w:rPr>
            </w:pPr>
            <w:r w:rsidRPr="00DD47DF">
              <w:rPr>
                <w:rFonts w:cs="Calibri"/>
              </w:rPr>
              <w:t>Opatření v souladu s institucionálním a právním rámcem členských států pro konzultaci a zapojení subjektů odpovědných za ochranu práv zdravotně postižených osob nebo organizací je zastupujících a ostatních příslušných zúčastněných stran do přípravy a provádění programů;</w:t>
            </w:r>
          </w:p>
        </w:tc>
        <w:tc>
          <w:tcPr>
            <w:tcW w:w="1134" w:type="dxa"/>
            <w:shd w:val="clear" w:color="auto" w:fill="auto"/>
          </w:tcPr>
          <w:p w14:paraId="4F41BC17"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27D992BA" w14:textId="77777777" w:rsidR="00790A0D" w:rsidRPr="00DD47DF" w:rsidRDefault="00AF6FE3" w:rsidP="006D2F5F">
            <w:pPr>
              <w:pStyle w:val="Tabulka"/>
              <w:jc w:val="left"/>
              <w:rPr>
                <w:rFonts w:cs="Calibri"/>
              </w:rPr>
            </w:pPr>
            <w:hyperlink r:id="rId64" w:history="1">
              <w:r w:rsidR="00790A0D" w:rsidRPr="00DD47DF">
                <w:rPr>
                  <w:rStyle w:val="Hypertextovodkaz"/>
                  <w:rFonts w:cs="Calibri"/>
                </w:rPr>
                <w:t>http://www.vlada.cz/cz/ppov/vvzpo/dokumenty/narodni-plan-vytvareni-rovnych-prilezitosti-pro-osoby-se-zdravotnim-postizenim-na-obdobi-2010---2014-70026/</w:t>
              </w:r>
            </w:hyperlink>
          </w:p>
        </w:tc>
        <w:tc>
          <w:tcPr>
            <w:tcW w:w="4394" w:type="dxa"/>
            <w:shd w:val="clear" w:color="auto" w:fill="auto"/>
          </w:tcPr>
          <w:p w14:paraId="60DEB146" w14:textId="77777777" w:rsidR="00AE7B95" w:rsidRPr="00DD47DF" w:rsidRDefault="00AE7B95" w:rsidP="006D2F5F">
            <w:pPr>
              <w:pStyle w:val="Tabulka"/>
              <w:jc w:val="left"/>
              <w:rPr>
                <w:rFonts w:cs="Calibri"/>
              </w:rPr>
            </w:pPr>
            <w:r w:rsidRPr="00DD47DF">
              <w:rPr>
                <w:rFonts w:cs="Calibri"/>
              </w:rPr>
              <w:t>Gestor PP: Plnění ANO</w:t>
            </w:r>
          </w:p>
          <w:p w14:paraId="5A43C41D" w14:textId="77777777" w:rsidR="00AE7B95" w:rsidRPr="00DD47DF" w:rsidRDefault="00790A0D" w:rsidP="006D2F5F">
            <w:pPr>
              <w:pStyle w:val="Tabulka"/>
              <w:jc w:val="left"/>
              <w:rPr>
                <w:rFonts w:cs="Calibri"/>
              </w:rPr>
            </w:pPr>
            <w:r w:rsidRPr="00DD47DF">
              <w:rPr>
                <w:rFonts w:cs="Calibri"/>
              </w:rPr>
              <w:t>Převážnou část úkolů zajišťuje MPSV ve spolupráci s Vládním výborem pro zdravotně postižené občany a s určenými kontaktními pracovníky ŘO jednotlivých OP.</w:t>
            </w:r>
          </w:p>
          <w:p w14:paraId="74C765C6" w14:textId="77777777" w:rsidR="00AE7B95" w:rsidRPr="00DD47DF" w:rsidRDefault="00AE7B95" w:rsidP="006D2F5F">
            <w:pPr>
              <w:pStyle w:val="Tabulka"/>
              <w:jc w:val="left"/>
              <w:rPr>
                <w:rFonts w:cs="Calibri"/>
              </w:rPr>
            </w:pPr>
            <w:r w:rsidRPr="00DD47DF">
              <w:rPr>
                <w:rFonts w:cs="Calibri"/>
              </w:rPr>
              <w:t>ŘO: Plnění ANO</w:t>
            </w:r>
          </w:p>
          <w:p w14:paraId="20984395" w14:textId="77777777" w:rsidR="00790A0D" w:rsidRPr="00DD47DF" w:rsidRDefault="00790A0D" w:rsidP="006D2F5F">
            <w:pPr>
              <w:pStyle w:val="Tabulka"/>
              <w:jc w:val="left"/>
              <w:rPr>
                <w:rFonts w:cs="Calibri"/>
              </w:rPr>
            </w:pPr>
            <w:r w:rsidRPr="00DD47DF">
              <w:rPr>
                <w:rFonts w:cs="Calibri"/>
              </w:rPr>
              <w:t>V rámci agendy ochrany práv zdravotně postižených za ŘO OP PIK je kontaktní osobou, zabývající se implementací a aplikací práv zdravotně postižených, která je zároveň zodpovědná za koordinaci aktivit a spolupráci s MPSV, komunikační úředník OP PIK.</w:t>
            </w:r>
          </w:p>
          <w:p w14:paraId="0C657F47" w14:textId="77777777" w:rsidR="00790A0D" w:rsidRPr="00DD47DF" w:rsidRDefault="00790A0D" w:rsidP="006D2F5F">
            <w:pPr>
              <w:pStyle w:val="Tabulka"/>
              <w:jc w:val="left"/>
              <w:rPr>
                <w:rFonts w:cs="Calibri"/>
              </w:rPr>
            </w:pPr>
            <w:r w:rsidRPr="00DD47DF">
              <w:rPr>
                <w:rFonts w:cs="Calibri"/>
              </w:rPr>
              <w:t>Ve fázi implementace operačního programu bude zajištěna účast zástupce MPSV také v Monitorovacím výboru OP PIK.</w:t>
            </w:r>
          </w:p>
          <w:p w14:paraId="2CD07999" w14:textId="77777777" w:rsidR="00790A0D" w:rsidRPr="00DD47DF" w:rsidRDefault="00790A0D" w:rsidP="006D2F5F">
            <w:pPr>
              <w:pStyle w:val="Tabulka"/>
              <w:jc w:val="left"/>
              <w:rPr>
                <w:rFonts w:cs="Calibri"/>
              </w:rPr>
            </w:pPr>
            <w:r w:rsidRPr="00DD47DF">
              <w:rPr>
                <w:rFonts w:cs="Calibri"/>
              </w:rPr>
              <w:t>Specifické naplňování na národní úrovni je uvedeno v rámci Dohody o partnerství</w:t>
            </w:r>
            <w:r w:rsidR="000D5493" w:rsidRPr="00DD47DF">
              <w:rPr>
                <w:rFonts w:cs="Calibri"/>
              </w:rPr>
              <w:t xml:space="preserve"> – viz Příloha II</w:t>
            </w:r>
            <w:r w:rsidRPr="00DD47DF">
              <w:rPr>
                <w:rFonts w:cs="Calibri"/>
              </w:rPr>
              <w:t>.</w:t>
            </w:r>
          </w:p>
        </w:tc>
      </w:tr>
      <w:tr w:rsidR="00790A0D" w:rsidRPr="00DD47DF" w14:paraId="41A20B5D" w14:textId="77777777" w:rsidTr="006D2F5F">
        <w:tc>
          <w:tcPr>
            <w:tcW w:w="1752" w:type="dxa"/>
            <w:vMerge/>
            <w:shd w:val="clear" w:color="auto" w:fill="auto"/>
          </w:tcPr>
          <w:p w14:paraId="21CAC509" w14:textId="77777777" w:rsidR="00790A0D" w:rsidRPr="00DD47DF" w:rsidRDefault="00790A0D" w:rsidP="006D2F5F">
            <w:pPr>
              <w:pStyle w:val="Tabulka"/>
              <w:jc w:val="left"/>
              <w:rPr>
                <w:rFonts w:cs="Calibri"/>
                <w:b/>
              </w:rPr>
            </w:pPr>
          </w:p>
        </w:tc>
        <w:tc>
          <w:tcPr>
            <w:tcW w:w="1701" w:type="dxa"/>
            <w:vMerge/>
            <w:shd w:val="clear" w:color="auto" w:fill="auto"/>
          </w:tcPr>
          <w:p w14:paraId="7AF5B51F" w14:textId="77777777" w:rsidR="00790A0D" w:rsidRPr="00DD47DF" w:rsidRDefault="00790A0D" w:rsidP="006D2F5F">
            <w:pPr>
              <w:pStyle w:val="Tabulka"/>
              <w:jc w:val="left"/>
              <w:rPr>
                <w:rFonts w:cs="Calibri"/>
              </w:rPr>
            </w:pPr>
          </w:p>
        </w:tc>
        <w:tc>
          <w:tcPr>
            <w:tcW w:w="1276" w:type="dxa"/>
            <w:vMerge/>
            <w:shd w:val="clear" w:color="auto" w:fill="auto"/>
          </w:tcPr>
          <w:p w14:paraId="3F3251B6" w14:textId="77777777" w:rsidR="00790A0D" w:rsidRPr="00DD47DF" w:rsidRDefault="00790A0D" w:rsidP="006D2F5F">
            <w:pPr>
              <w:pStyle w:val="Tabulka"/>
              <w:jc w:val="left"/>
              <w:rPr>
                <w:rFonts w:cs="Calibri"/>
              </w:rPr>
            </w:pPr>
          </w:p>
        </w:tc>
        <w:tc>
          <w:tcPr>
            <w:tcW w:w="1843" w:type="dxa"/>
            <w:shd w:val="clear" w:color="auto" w:fill="auto"/>
          </w:tcPr>
          <w:p w14:paraId="087578E1" w14:textId="77777777" w:rsidR="00790A0D" w:rsidRPr="00DD47DF" w:rsidRDefault="00790A0D" w:rsidP="006D2F5F">
            <w:pPr>
              <w:pStyle w:val="Tabulka"/>
              <w:jc w:val="left"/>
              <w:rPr>
                <w:rFonts w:cs="Calibri"/>
              </w:rPr>
            </w:pPr>
            <w:r w:rsidRPr="00DD47DF">
              <w:rPr>
                <w:rFonts w:cs="Calibri"/>
              </w:rPr>
              <w:t xml:space="preserve">Opatření pro vzdělávání zaměstnanců </w:t>
            </w:r>
            <w:r w:rsidRPr="00DD47DF">
              <w:rPr>
                <w:rFonts w:cs="Calibri"/>
              </w:rPr>
              <w:lastRenderedPageBreak/>
              <w:t>orgánů zapojených do řízení a fondů ESI v oblasti práva a politik EU a členských států týkajících se zdravotně postižených osob, včetně přístupnosti a praktického uplatňování ustanovení UNCRPD provedených v právu Unie, případně členských států;</w:t>
            </w:r>
          </w:p>
        </w:tc>
        <w:tc>
          <w:tcPr>
            <w:tcW w:w="1134" w:type="dxa"/>
            <w:shd w:val="clear" w:color="auto" w:fill="auto"/>
          </w:tcPr>
          <w:p w14:paraId="1DAB0756" w14:textId="77777777" w:rsidR="00790A0D" w:rsidRPr="00DD47DF" w:rsidRDefault="00790A0D" w:rsidP="006D2F5F">
            <w:pPr>
              <w:pStyle w:val="Tabulka"/>
              <w:jc w:val="left"/>
              <w:rPr>
                <w:rFonts w:cs="Calibri"/>
              </w:rPr>
            </w:pPr>
            <w:r w:rsidRPr="00DD47DF">
              <w:rPr>
                <w:rFonts w:cs="Calibri"/>
              </w:rPr>
              <w:lastRenderedPageBreak/>
              <w:t>ano</w:t>
            </w:r>
          </w:p>
        </w:tc>
        <w:tc>
          <w:tcPr>
            <w:tcW w:w="2126" w:type="dxa"/>
            <w:shd w:val="clear" w:color="auto" w:fill="auto"/>
          </w:tcPr>
          <w:p w14:paraId="45453F8A" w14:textId="77777777" w:rsidR="00790A0D" w:rsidRPr="00DD47DF" w:rsidRDefault="00AF6FE3" w:rsidP="006D2F5F">
            <w:pPr>
              <w:pStyle w:val="Tabulka"/>
              <w:jc w:val="left"/>
              <w:rPr>
                <w:rStyle w:val="Hypertextovodkaz"/>
                <w:rFonts w:cs="Calibri"/>
              </w:rPr>
            </w:pPr>
            <w:hyperlink r:id="rId65" w:history="1">
              <w:r w:rsidR="00790A0D" w:rsidRPr="00DD47DF">
                <w:rPr>
                  <w:rStyle w:val="Hypertextovodkaz"/>
                  <w:rFonts w:cs="Calibri"/>
                </w:rPr>
                <w:t>http://www.vlada.cz/cz/ppov/vvzpo/dokumenty/zprava-o-plneni-</w:t>
              </w:r>
              <w:r w:rsidR="00790A0D" w:rsidRPr="00DD47DF">
                <w:rPr>
                  <w:rStyle w:val="Hypertextovodkaz"/>
                  <w:rFonts w:cs="Calibri"/>
                </w:rPr>
                <w:lastRenderedPageBreak/>
                <w:t>opatreni-narodniho-planu-vytvareni-rovnych-prilezitosti-pro-osoby-se-zdravotnim-postizenim-na-obdobi-2010-2014-v-roce-2012-110987/</w:t>
              </w:r>
            </w:hyperlink>
          </w:p>
          <w:p w14:paraId="0CA36E0C" w14:textId="77777777" w:rsidR="00790A0D" w:rsidRPr="00DD47DF" w:rsidRDefault="00790A0D" w:rsidP="006D2F5F">
            <w:pPr>
              <w:pStyle w:val="Tabulka"/>
              <w:jc w:val="left"/>
              <w:rPr>
                <w:rStyle w:val="Hypertextovodkaz"/>
                <w:rFonts w:cs="Calibri"/>
              </w:rPr>
            </w:pPr>
          </w:p>
          <w:p w14:paraId="74C17ED3" w14:textId="77777777" w:rsidR="00790A0D" w:rsidRPr="0069482B" w:rsidRDefault="00AF6FE3" w:rsidP="006D2F5F">
            <w:pPr>
              <w:pStyle w:val="Tabulka"/>
              <w:jc w:val="left"/>
              <w:rPr>
                <w:rFonts w:cs="Calibri"/>
              </w:rPr>
            </w:pPr>
            <w:hyperlink r:id="rId66" w:history="1">
              <w:r w:rsidR="00790A0D" w:rsidRPr="0069482B">
                <w:rPr>
                  <w:rStyle w:val="Hypertextovodkaz"/>
                </w:rPr>
                <w:t>http://www.strukturalni-fondy.cz/cs/Fondy-EU/2014-2020/Metodicke-pokyny/Metodika-rozvoje-lidskych-zdroju</w:t>
              </w:r>
            </w:hyperlink>
          </w:p>
        </w:tc>
        <w:tc>
          <w:tcPr>
            <w:tcW w:w="4394" w:type="dxa"/>
            <w:shd w:val="clear" w:color="auto" w:fill="auto"/>
          </w:tcPr>
          <w:p w14:paraId="3E2B54E5" w14:textId="77777777" w:rsidR="00AE7B95" w:rsidRPr="00DD47DF" w:rsidRDefault="00AE7B95" w:rsidP="006D2F5F">
            <w:pPr>
              <w:pStyle w:val="Tabulka"/>
              <w:jc w:val="left"/>
              <w:rPr>
                <w:rFonts w:cs="Calibri"/>
              </w:rPr>
            </w:pPr>
            <w:r w:rsidRPr="00DD47DF">
              <w:rPr>
                <w:rFonts w:cs="Calibri"/>
              </w:rPr>
              <w:lastRenderedPageBreak/>
              <w:t>Gestor PP: Plnění ANO</w:t>
            </w:r>
          </w:p>
          <w:p w14:paraId="1F64B2EE" w14:textId="77777777" w:rsidR="00AE7B95" w:rsidRPr="00DD47DF" w:rsidRDefault="00AE7B95" w:rsidP="006D2F5F">
            <w:pPr>
              <w:pStyle w:val="Tabulka"/>
              <w:jc w:val="left"/>
              <w:rPr>
                <w:rFonts w:cs="Calibri"/>
              </w:rPr>
            </w:pPr>
            <w:r w:rsidRPr="00DD47DF">
              <w:rPr>
                <w:color w:val="000000"/>
              </w:rPr>
              <w:t xml:space="preserve">V rámci Národního plánu vytváření rovných </w:t>
            </w:r>
            <w:r w:rsidRPr="00DD47DF">
              <w:rPr>
                <w:color w:val="000000"/>
              </w:rPr>
              <w:lastRenderedPageBreak/>
              <w:t xml:space="preserve">příležitostí pro osoby se zdravotním postižením na období 2010 - 2014, každý rok - zpráva o plnění opatření.  </w:t>
            </w:r>
            <w:r w:rsidR="00790A0D" w:rsidRPr="00DD47DF">
              <w:rPr>
                <w:rFonts w:cs="Calibri"/>
              </w:rPr>
              <w:t xml:space="preserve">Opatření – vzdělávání zaměstnanců orgánů podílejících se na řízení a kontrole ESI fondů je plněno již nyní. MMR-NOK zajišťuje na horizontální úrovni proškolení zaměstnanců implementujících fondy EU v rámci Systému vzdělávání, MPSV zajišťuje obsahovou náplň vzdělávání a lektorské zajištění. </w:t>
            </w:r>
          </w:p>
          <w:p w14:paraId="753110DA" w14:textId="77777777" w:rsidR="00AE7B95" w:rsidRPr="00DD47DF" w:rsidRDefault="00AE7B95" w:rsidP="006D2F5F">
            <w:pPr>
              <w:pStyle w:val="Tabulka"/>
              <w:jc w:val="left"/>
              <w:rPr>
                <w:rFonts w:cs="Calibri"/>
              </w:rPr>
            </w:pPr>
            <w:r w:rsidRPr="00DD47DF">
              <w:rPr>
                <w:rFonts w:cs="Calibri"/>
              </w:rPr>
              <w:t>ŘO: Plnění ANO</w:t>
            </w:r>
          </w:p>
          <w:p w14:paraId="76606477" w14:textId="77777777" w:rsidR="00790A0D" w:rsidRPr="00DD47DF" w:rsidRDefault="00790A0D" w:rsidP="006D2F5F">
            <w:pPr>
              <w:pStyle w:val="Tabulka"/>
              <w:jc w:val="left"/>
              <w:rPr>
                <w:rFonts w:cs="Calibri"/>
              </w:rPr>
            </w:pPr>
            <w:r w:rsidRPr="00DD47DF">
              <w:rPr>
                <w:rFonts w:cs="Calibri"/>
              </w:rPr>
              <w:t>Zaměstnanci OP PIK jsou zapojeni do Systému vzdělávání, který na horizontální úrovni zastřešuje MMR-NOK, a účastní se průběžně a dle potřeby příslušných vzdělávacích akcí.</w:t>
            </w:r>
          </w:p>
          <w:p w14:paraId="6AFB315F" w14:textId="77777777" w:rsidR="00790A0D" w:rsidRPr="00DD47DF" w:rsidRDefault="00790A0D" w:rsidP="006D2F5F">
            <w:pPr>
              <w:pStyle w:val="Tabulka"/>
              <w:jc w:val="left"/>
              <w:rPr>
                <w:rFonts w:cs="Calibri"/>
              </w:rPr>
            </w:pPr>
            <w:r w:rsidRPr="00DD47DF">
              <w:rPr>
                <w:rFonts w:cs="Calibri"/>
              </w:rPr>
              <w:t>Specifické naplňování na národní úrovni je uvedeno v rámci Dohody o partnerství</w:t>
            </w:r>
            <w:r w:rsidR="00CA1478" w:rsidRPr="00DD47DF">
              <w:rPr>
                <w:rFonts w:cs="Calibri"/>
              </w:rPr>
              <w:t xml:space="preserve"> - </w:t>
            </w:r>
            <w:r w:rsidR="000D5493" w:rsidRPr="00DD47DF">
              <w:rPr>
                <w:rFonts w:cs="Calibri"/>
              </w:rPr>
              <w:t>viz Příloha II</w:t>
            </w:r>
            <w:r w:rsidRPr="00DD47DF">
              <w:rPr>
                <w:rFonts w:cs="Calibri"/>
              </w:rPr>
              <w:t xml:space="preserve">. </w:t>
            </w:r>
          </w:p>
        </w:tc>
      </w:tr>
      <w:tr w:rsidR="00790A0D" w:rsidRPr="00DD47DF" w14:paraId="31888C6C" w14:textId="77777777" w:rsidTr="006D2F5F">
        <w:tc>
          <w:tcPr>
            <w:tcW w:w="1752" w:type="dxa"/>
            <w:vMerge/>
            <w:shd w:val="clear" w:color="auto" w:fill="auto"/>
          </w:tcPr>
          <w:p w14:paraId="009AC063" w14:textId="77777777" w:rsidR="00790A0D" w:rsidRPr="00DD47DF" w:rsidRDefault="00790A0D" w:rsidP="006D2F5F">
            <w:pPr>
              <w:pStyle w:val="Tabulka"/>
              <w:jc w:val="left"/>
              <w:rPr>
                <w:rFonts w:cs="Calibri"/>
                <w:b/>
              </w:rPr>
            </w:pPr>
          </w:p>
        </w:tc>
        <w:tc>
          <w:tcPr>
            <w:tcW w:w="1701" w:type="dxa"/>
            <w:vMerge/>
            <w:shd w:val="clear" w:color="auto" w:fill="auto"/>
          </w:tcPr>
          <w:p w14:paraId="4BD34206" w14:textId="77777777" w:rsidR="00790A0D" w:rsidRPr="00DD47DF" w:rsidRDefault="00790A0D" w:rsidP="006D2F5F">
            <w:pPr>
              <w:pStyle w:val="Tabulka"/>
              <w:jc w:val="left"/>
              <w:rPr>
                <w:rFonts w:cs="Calibri"/>
              </w:rPr>
            </w:pPr>
          </w:p>
        </w:tc>
        <w:tc>
          <w:tcPr>
            <w:tcW w:w="1276" w:type="dxa"/>
            <w:vMerge/>
            <w:shd w:val="clear" w:color="auto" w:fill="auto"/>
          </w:tcPr>
          <w:p w14:paraId="0298B288" w14:textId="77777777" w:rsidR="00790A0D" w:rsidRPr="00DD47DF" w:rsidRDefault="00790A0D" w:rsidP="006D2F5F">
            <w:pPr>
              <w:pStyle w:val="Tabulka"/>
              <w:jc w:val="left"/>
              <w:rPr>
                <w:rFonts w:cs="Calibri"/>
              </w:rPr>
            </w:pPr>
          </w:p>
        </w:tc>
        <w:tc>
          <w:tcPr>
            <w:tcW w:w="1843" w:type="dxa"/>
            <w:shd w:val="clear" w:color="auto" w:fill="auto"/>
          </w:tcPr>
          <w:p w14:paraId="3705BBE3" w14:textId="77777777" w:rsidR="00790A0D" w:rsidRPr="00DD47DF" w:rsidRDefault="00790A0D" w:rsidP="006D2F5F">
            <w:pPr>
              <w:pStyle w:val="Tabulka"/>
              <w:jc w:val="left"/>
              <w:rPr>
                <w:rFonts w:cs="Calibri"/>
              </w:rPr>
            </w:pPr>
            <w:r w:rsidRPr="00DD47DF">
              <w:rPr>
                <w:rFonts w:cs="Calibri"/>
              </w:rPr>
              <w:t>Opatření za účelem sledování provádění článku 9 UNCRPD ve vztahu k fondům ESI v rámci přípravy a provádění programů.</w:t>
            </w:r>
          </w:p>
        </w:tc>
        <w:tc>
          <w:tcPr>
            <w:tcW w:w="1134" w:type="dxa"/>
            <w:shd w:val="clear" w:color="auto" w:fill="auto"/>
          </w:tcPr>
          <w:p w14:paraId="7205BAF2"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60E1D1B2" w14:textId="77777777" w:rsidR="00790A0D" w:rsidRPr="00DD47DF" w:rsidRDefault="00AF6FE3" w:rsidP="006D2F5F">
            <w:pPr>
              <w:pStyle w:val="Tabulka"/>
              <w:jc w:val="left"/>
              <w:rPr>
                <w:rFonts w:cs="Calibri"/>
              </w:rPr>
            </w:pPr>
            <w:hyperlink r:id="rId67" w:history="1">
              <w:r w:rsidR="00790A0D" w:rsidRPr="00DD47DF">
                <w:rPr>
                  <w:rStyle w:val="Hypertextovodkaz"/>
                  <w:rFonts w:cs="Calibri"/>
                </w:rPr>
                <w:t>http://www.vlada.cz/cz/ppov/vvzpo/dokumenty/narodni-plan-vytvareni-rovnych-prilezitosti-pro-osoby-se-zdravotnim-postizenim-na-obdobi-2010---2014-70026/</w:t>
              </w:r>
            </w:hyperlink>
          </w:p>
        </w:tc>
        <w:tc>
          <w:tcPr>
            <w:tcW w:w="4394" w:type="dxa"/>
            <w:shd w:val="clear" w:color="auto" w:fill="auto"/>
          </w:tcPr>
          <w:p w14:paraId="52367633" w14:textId="77777777" w:rsidR="00AE7B95" w:rsidRPr="00DD47DF" w:rsidRDefault="00AE7B95" w:rsidP="006D2F5F">
            <w:pPr>
              <w:pStyle w:val="Tabulka"/>
              <w:jc w:val="left"/>
              <w:rPr>
                <w:rFonts w:cs="Calibri"/>
              </w:rPr>
            </w:pPr>
            <w:r w:rsidRPr="00DD47DF">
              <w:rPr>
                <w:rFonts w:cs="Calibri"/>
              </w:rPr>
              <w:t>Gestor PP:  Plnění ANO</w:t>
            </w:r>
          </w:p>
          <w:p w14:paraId="0E6168E2" w14:textId="77777777" w:rsidR="006D55D4" w:rsidRPr="00DD47DF" w:rsidRDefault="00790A0D" w:rsidP="006D55D4">
            <w:pPr>
              <w:pStyle w:val="DAVA"/>
              <w:spacing w:before="80" w:after="80"/>
              <w:rPr>
                <w:rFonts w:ascii="Times New Roman" w:hAnsi="Times New Roman"/>
                <w:sz w:val="22"/>
                <w:szCs w:val="22"/>
                <w:lang w:eastAsia="cs-CZ"/>
              </w:rPr>
            </w:pPr>
            <w:r w:rsidRPr="00DD47DF">
              <w:rPr>
                <w:rFonts w:ascii="Times New Roman" w:hAnsi="Times New Roman"/>
                <w:sz w:val="22"/>
                <w:szCs w:val="22"/>
              </w:rPr>
              <w:t>Národní plán obsahuje opatření k vyrovnávání příležitostí pro osoby se zdravotním postižením. Plnění těchto opatření je každý rok hodnoceno. N</w:t>
            </w:r>
            <w:r w:rsidR="00AE7B95" w:rsidRPr="00DD47DF">
              <w:rPr>
                <w:rFonts w:ascii="Times New Roman" w:hAnsi="Times New Roman"/>
                <w:sz w:val="22"/>
                <w:szCs w:val="22"/>
              </w:rPr>
              <w:t>P</w:t>
            </w:r>
            <w:r w:rsidRPr="00DD47DF">
              <w:rPr>
                <w:rFonts w:ascii="Times New Roman" w:hAnsi="Times New Roman"/>
                <w:sz w:val="22"/>
                <w:szCs w:val="22"/>
              </w:rPr>
              <w:t xml:space="preserve"> je koncipován dle jednotlivých článků CRPD a v kapitole č. 4 se přímo věnuje Přístupnosti staveb, dopravy a přístupu k informacím.</w:t>
            </w:r>
            <w:r w:rsidR="00AE7B95" w:rsidRPr="00DD47DF" w:rsidDel="00AE7B95">
              <w:rPr>
                <w:rFonts w:ascii="Times New Roman" w:hAnsi="Times New Roman"/>
                <w:sz w:val="22"/>
                <w:szCs w:val="22"/>
              </w:rPr>
              <w:t xml:space="preserve"> </w:t>
            </w:r>
            <w:r w:rsidRPr="00DD47DF">
              <w:rPr>
                <w:rFonts w:ascii="Times New Roman" w:hAnsi="Times New Roman"/>
                <w:sz w:val="22"/>
                <w:szCs w:val="22"/>
              </w:rPr>
              <w:t xml:space="preserve">Požadavky na přístupnost veřejných budov, </w:t>
            </w:r>
            <w:r w:rsidR="00AE7B95" w:rsidRPr="00DD47DF">
              <w:rPr>
                <w:rFonts w:ascii="Times New Roman" w:hAnsi="Times New Roman"/>
                <w:sz w:val="22"/>
                <w:szCs w:val="22"/>
              </w:rPr>
              <w:t>poměr vo</w:t>
            </w:r>
            <w:r w:rsidR="006D55D4" w:rsidRPr="00DD47DF">
              <w:rPr>
                <w:rFonts w:ascii="Times New Roman" w:hAnsi="Times New Roman"/>
                <w:sz w:val="22"/>
                <w:szCs w:val="22"/>
              </w:rPr>
              <w:t>zi</w:t>
            </w:r>
            <w:r w:rsidR="00AE7B95" w:rsidRPr="00DD47DF">
              <w:rPr>
                <w:rFonts w:ascii="Times New Roman" w:hAnsi="Times New Roman"/>
                <w:sz w:val="22"/>
                <w:szCs w:val="22"/>
              </w:rPr>
              <w:t xml:space="preserve">del ve veřejné dopravě </w:t>
            </w:r>
            <w:r w:rsidR="006D55D4" w:rsidRPr="00DD47DF">
              <w:rPr>
                <w:rFonts w:ascii="Times New Roman" w:hAnsi="Times New Roman"/>
                <w:sz w:val="22"/>
                <w:szCs w:val="22"/>
              </w:rPr>
              <w:t>pro</w:t>
            </w:r>
            <w:r w:rsidR="006D55D4" w:rsidRPr="00DD47DF">
              <w:rPr>
                <w:rFonts w:cs="Calibri"/>
                <w:sz w:val="22"/>
                <w:szCs w:val="22"/>
              </w:rPr>
              <w:t xml:space="preserve"> </w:t>
            </w:r>
            <w:r w:rsidR="00AE7B95" w:rsidRPr="00DD47DF">
              <w:rPr>
                <w:rFonts w:ascii="Times New Roman" w:hAnsi="Times New Roman"/>
                <w:sz w:val="22"/>
                <w:szCs w:val="22"/>
                <w:lang w:eastAsia="cs-CZ"/>
              </w:rPr>
              <w:t>přepravu osob s omezenou schopností pohybu a orientace jsou vymezeny v zákoně č. 183/2006 Sb., vyhlášce č. 398/2009, nařízení vlády č. 63/2011)</w:t>
            </w:r>
            <w:r w:rsidR="00D709F2" w:rsidRPr="00DD47DF">
              <w:rPr>
                <w:rFonts w:ascii="Times New Roman" w:hAnsi="Times New Roman"/>
                <w:sz w:val="22"/>
                <w:szCs w:val="22"/>
                <w:lang w:eastAsia="cs-CZ"/>
              </w:rPr>
              <w:t>.</w:t>
            </w:r>
            <w:r w:rsidR="006D55D4" w:rsidRPr="00DD47DF">
              <w:rPr>
                <w:sz w:val="22"/>
                <w:szCs w:val="22"/>
              </w:rPr>
              <w:t xml:space="preserve"> </w:t>
            </w:r>
            <w:r w:rsidR="006D55D4" w:rsidRPr="00DD47DF">
              <w:rPr>
                <w:rFonts w:ascii="Times New Roman" w:hAnsi="Times New Roman"/>
                <w:sz w:val="22"/>
                <w:szCs w:val="22"/>
                <w:lang w:eastAsia="cs-CZ"/>
              </w:rPr>
              <w:t xml:space="preserve">Na základě </w:t>
            </w:r>
            <w:r w:rsidR="006D55D4" w:rsidRPr="00DD47DF">
              <w:rPr>
                <w:rFonts w:ascii="Times New Roman" w:hAnsi="Times New Roman"/>
                <w:sz w:val="22"/>
                <w:szCs w:val="22"/>
                <w:lang w:eastAsia="cs-CZ"/>
              </w:rPr>
              <w:lastRenderedPageBreak/>
              <w:t>antidiskriminačního zákona č. 198/2009 Sb.,</w:t>
            </w:r>
            <w:r w:rsidR="00CC3FCD" w:rsidRPr="00DD47DF">
              <w:rPr>
                <w:rFonts w:ascii="Times New Roman" w:hAnsi="Times New Roman"/>
                <w:sz w:val="22"/>
                <w:szCs w:val="22"/>
                <w:lang w:eastAsia="cs-CZ"/>
              </w:rPr>
              <w:t xml:space="preserve"> </w:t>
            </w:r>
            <w:r w:rsidR="006D55D4" w:rsidRPr="00DD47DF">
              <w:rPr>
                <w:rFonts w:ascii="Times New Roman" w:hAnsi="Times New Roman"/>
                <w:sz w:val="22"/>
                <w:szCs w:val="22"/>
                <w:lang w:eastAsia="cs-CZ"/>
              </w:rPr>
              <w:t xml:space="preserve">jsou všichni poskytovatelé služeb určených veřejnosti povinni přijmout přiměřená opatření pro osoby se zdravotním postižením. </w:t>
            </w:r>
          </w:p>
          <w:p w14:paraId="4A015E39" w14:textId="77777777" w:rsidR="00790A0D" w:rsidRPr="00DD47DF" w:rsidRDefault="006D55D4" w:rsidP="006D55D4">
            <w:pPr>
              <w:pStyle w:val="Tabulka"/>
              <w:jc w:val="left"/>
              <w:rPr>
                <w:rFonts w:cs="Calibri"/>
              </w:rPr>
            </w:pPr>
            <w:r w:rsidRPr="00DD47DF">
              <w:t>Opatření, aby se s informacemi souvisejícími s výkonem veřejné správy uveřejňovanými způsobem umožňujícím dálkový přístup mohly rozsahu seznámit i osoby se zdravotním postižením, upravuje zákon  č. 365/2000 Sb. a vyhláška č. 64/2008 Sb.</w:t>
            </w:r>
            <w:r w:rsidR="00790A0D" w:rsidRPr="00DD47DF">
              <w:rPr>
                <w:rFonts w:cs="Calibri"/>
              </w:rPr>
              <w:t xml:space="preserve"> Specifické naplňování na národní úrovni </w:t>
            </w:r>
            <w:r w:rsidR="000D5493" w:rsidRPr="00DD47DF">
              <w:rPr>
                <w:rFonts w:cs="Calibri"/>
              </w:rPr>
              <w:t>viz Příloha II.</w:t>
            </w:r>
          </w:p>
        </w:tc>
      </w:tr>
      <w:tr w:rsidR="00790A0D" w:rsidRPr="00DD47DF" w14:paraId="11FB81FF" w14:textId="77777777" w:rsidTr="006D2F5F">
        <w:tc>
          <w:tcPr>
            <w:tcW w:w="1752" w:type="dxa"/>
            <w:vMerge w:val="restart"/>
            <w:shd w:val="clear" w:color="auto" w:fill="auto"/>
          </w:tcPr>
          <w:p w14:paraId="5E7FCB4C" w14:textId="77777777" w:rsidR="00790A0D" w:rsidRPr="00DD47DF" w:rsidRDefault="00790A0D" w:rsidP="006D2F5F">
            <w:pPr>
              <w:pStyle w:val="Tabulka"/>
              <w:jc w:val="left"/>
              <w:rPr>
                <w:rFonts w:cs="Calibri"/>
                <w:b/>
              </w:rPr>
            </w:pPr>
            <w:r w:rsidRPr="00DD47DF">
              <w:rPr>
                <w:rFonts w:cs="Calibri"/>
                <w:b/>
              </w:rPr>
              <w:lastRenderedPageBreak/>
              <w:t>Existence opatření pro účinné uplatňování právních předpisů Unie o veřejných zakázkách v oblasti fondů ESI.</w:t>
            </w:r>
          </w:p>
          <w:p w14:paraId="67A7080F" w14:textId="77777777" w:rsidR="00790A0D" w:rsidRPr="00DD47DF" w:rsidRDefault="00790A0D" w:rsidP="006D2F5F">
            <w:pPr>
              <w:pStyle w:val="Tabulka"/>
              <w:jc w:val="left"/>
              <w:rPr>
                <w:rFonts w:cs="Calibri"/>
                <w:b/>
              </w:rPr>
            </w:pPr>
          </w:p>
        </w:tc>
        <w:tc>
          <w:tcPr>
            <w:tcW w:w="1701" w:type="dxa"/>
            <w:vMerge w:val="restart"/>
            <w:shd w:val="clear" w:color="auto" w:fill="auto"/>
          </w:tcPr>
          <w:p w14:paraId="0DED2568" w14:textId="77777777" w:rsidR="00790A0D" w:rsidRPr="00DD47DF" w:rsidRDefault="00790A0D" w:rsidP="006D2F5F">
            <w:pPr>
              <w:pStyle w:val="Tabulka"/>
              <w:jc w:val="left"/>
              <w:rPr>
                <w:rFonts w:cs="Calibri"/>
              </w:rPr>
            </w:pPr>
            <w:r w:rsidRPr="00DD47DF">
              <w:rPr>
                <w:rFonts w:cs="Calibri"/>
              </w:rPr>
              <w:t>Všechny prioritní osy OP PIK</w:t>
            </w:r>
          </w:p>
        </w:tc>
        <w:tc>
          <w:tcPr>
            <w:tcW w:w="1276" w:type="dxa"/>
            <w:vMerge w:val="restart"/>
            <w:shd w:val="clear" w:color="auto" w:fill="auto"/>
          </w:tcPr>
          <w:p w14:paraId="5DC0C738" w14:textId="77777777" w:rsidR="00790A0D" w:rsidRPr="00DD47DF" w:rsidRDefault="002D4CC1" w:rsidP="006D2F5F">
            <w:pPr>
              <w:pStyle w:val="Tabulka"/>
              <w:jc w:val="left"/>
              <w:rPr>
                <w:rFonts w:cs="Calibri"/>
              </w:rPr>
            </w:pPr>
            <w:r>
              <w:rPr>
                <w:rFonts w:cs="Calibri"/>
              </w:rPr>
              <w:t>Částečně</w:t>
            </w:r>
          </w:p>
          <w:p w14:paraId="47A79146" w14:textId="77777777" w:rsidR="00790A0D" w:rsidRPr="00DD47DF" w:rsidRDefault="00790A0D" w:rsidP="006D2F5F">
            <w:pPr>
              <w:pStyle w:val="Tabulka"/>
              <w:jc w:val="left"/>
              <w:rPr>
                <w:rFonts w:cs="Calibri"/>
              </w:rPr>
            </w:pPr>
          </w:p>
        </w:tc>
        <w:tc>
          <w:tcPr>
            <w:tcW w:w="1843" w:type="dxa"/>
            <w:shd w:val="clear" w:color="auto" w:fill="auto"/>
          </w:tcPr>
          <w:p w14:paraId="027D13C8" w14:textId="77777777" w:rsidR="00790A0D" w:rsidRPr="00DD47DF" w:rsidRDefault="00790A0D" w:rsidP="006D2F5F">
            <w:pPr>
              <w:pStyle w:val="Tabulka"/>
              <w:jc w:val="left"/>
              <w:rPr>
                <w:rFonts w:cs="Calibri"/>
              </w:rPr>
            </w:pPr>
            <w:r w:rsidRPr="00DD47DF">
              <w:rPr>
                <w:rFonts w:cs="Calibri"/>
              </w:rPr>
              <w:t>Opatření pro účinné uplatňování předpisů Unie o veřejných zakázkách prostřednictvím odpovídajících mechanismů.</w:t>
            </w:r>
          </w:p>
        </w:tc>
        <w:tc>
          <w:tcPr>
            <w:tcW w:w="1134" w:type="dxa"/>
            <w:shd w:val="clear" w:color="auto" w:fill="auto"/>
          </w:tcPr>
          <w:p w14:paraId="136CA1F9" w14:textId="77777777" w:rsidR="00790A0D" w:rsidRPr="00DD47DF" w:rsidRDefault="00A0467F" w:rsidP="006D2F5F">
            <w:pPr>
              <w:pStyle w:val="Tabulka"/>
              <w:jc w:val="left"/>
              <w:rPr>
                <w:rFonts w:cs="Calibri"/>
              </w:rPr>
            </w:pPr>
            <w:r w:rsidRPr="00DD47DF">
              <w:rPr>
                <w:rFonts w:cs="Calibri"/>
              </w:rPr>
              <w:t>ne</w:t>
            </w:r>
          </w:p>
        </w:tc>
        <w:tc>
          <w:tcPr>
            <w:tcW w:w="2126" w:type="dxa"/>
            <w:shd w:val="clear" w:color="auto" w:fill="auto"/>
          </w:tcPr>
          <w:p w14:paraId="498E776B" w14:textId="77777777" w:rsidR="00790A0D" w:rsidRPr="00DD47DF" w:rsidRDefault="00AF6FE3" w:rsidP="006D2F5F">
            <w:pPr>
              <w:pStyle w:val="Tabulka"/>
              <w:jc w:val="left"/>
              <w:rPr>
                <w:rFonts w:cs="Calibri"/>
              </w:rPr>
            </w:pPr>
            <w:hyperlink r:id="rId68" w:history="1">
              <w:r w:rsidR="00790A0D" w:rsidRPr="00DD47DF">
                <w:rPr>
                  <w:rStyle w:val="Hypertextovodkaz"/>
                  <w:rFonts w:cs="Calibri"/>
                </w:rPr>
                <w:t>http://www.portal-vz.cz/cs/Jak-na-zadavani-verejnych-zakazek/Legislativa-a-Judikatura/Legislativa/Narodni-legislativa-aktualni-a-uplne-zneni-z-(1)</w:t>
              </w:r>
            </w:hyperlink>
          </w:p>
          <w:p w14:paraId="798829EC" w14:textId="77777777" w:rsidR="00790A0D" w:rsidRPr="00DD47DF" w:rsidRDefault="00790A0D" w:rsidP="006D2F5F">
            <w:pPr>
              <w:pStyle w:val="Tabulka"/>
              <w:jc w:val="left"/>
              <w:rPr>
                <w:rFonts w:cs="Calibri"/>
              </w:rPr>
            </w:pPr>
          </w:p>
          <w:p w14:paraId="77BD2BB5" w14:textId="77777777" w:rsidR="00790A0D" w:rsidRPr="00DD47DF" w:rsidRDefault="00AF6FE3" w:rsidP="006D2F5F">
            <w:pPr>
              <w:pStyle w:val="Tabulka"/>
              <w:jc w:val="left"/>
              <w:rPr>
                <w:rFonts w:cs="Calibri"/>
              </w:rPr>
            </w:pPr>
            <w:hyperlink r:id="rId69" w:history="1">
              <w:r w:rsidR="00790A0D" w:rsidRPr="00DD47DF">
                <w:rPr>
                  <w:rStyle w:val="Hypertextovodkaz"/>
                  <w:rFonts w:cs="Calibri"/>
                </w:rPr>
                <w:t>http://www.portal-vz.cz/cs/Jak-na-zadavani-verejnych-zakazek/Metodiky-stanoviska</w:t>
              </w:r>
            </w:hyperlink>
          </w:p>
          <w:p w14:paraId="2F42AB07" w14:textId="77777777" w:rsidR="00790A0D" w:rsidRPr="00DD47DF" w:rsidRDefault="00790A0D" w:rsidP="006D2F5F">
            <w:pPr>
              <w:pStyle w:val="Tabulka"/>
              <w:jc w:val="left"/>
              <w:rPr>
                <w:rFonts w:cs="Calibri"/>
              </w:rPr>
            </w:pPr>
          </w:p>
          <w:p w14:paraId="2BA7F127" w14:textId="77777777" w:rsidR="00790A0D" w:rsidRPr="00DD47DF" w:rsidRDefault="00AF6FE3" w:rsidP="006D2F5F">
            <w:pPr>
              <w:pStyle w:val="Tabulka"/>
              <w:jc w:val="left"/>
              <w:rPr>
                <w:rStyle w:val="Hypertextovodkaz"/>
                <w:rFonts w:cs="Calibri"/>
              </w:rPr>
            </w:pPr>
            <w:hyperlink r:id="rId70" w:history="1">
              <w:r w:rsidR="00790A0D" w:rsidRPr="00DD47DF">
                <w:rPr>
                  <w:rStyle w:val="Hypertextovodkaz"/>
                  <w:rFonts w:cs="Calibri"/>
                </w:rPr>
                <w:t>http://www.strukturalni-fondy.cz/cs/Fondy-EU/Narodni-organ-pro-koordinaci/Dokument</w:t>
              </w:r>
              <w:r w:rsidR="00790A0D" w:rsidRPr="00DD47DF">
                <w:rPr>
                  <w:rStyle w:val="Hypertextovodkaz"/>
                  <w:rFonts w:cs="Calibri"/>
                </w:rPr>
                <w:lastRenderedPageBreak/>
                <w:t>y</w:t>
              </w:r>
            </w:hyperlink>
          </w:p>
          <w:p w14:paraId="64DB3531" w14:textId="77777777" w:rsidR="00790A0D" w:rsidRPr="00DD47DF" w:rsidRDefault="00AF6FE3" w:rsidP="006D2F5F">
            <w:pPr>
              <w:pStyle w:val="Tabulka"/>
              <w:jc w:val="left"/>
            </w:pPr>
            <w:hyperlink r:id="rId71" w:history="1">
              <w:r w:rsidR="00790A0D" w:rsidRPr="00DD47DF">
                <w:rPr>
                  <w:rStyle w:val="Hypertextovodkaz"/>
                </w:rPr>
                <w:t>http://www.portal-vz.cz/cs/Jak-na-zadavani-verejnych-zakazek/Metodiky-stanoviska</w:t>
              </w:r>
            </w:hyperlink>
          </w:p>
          <w:p w14:paraId="48947257" w14:textId="77777777" w:rsidR="00790A0D" w:rsidRPr="00DD47DF" w:rsidRDefault="00AF6FE3" w:rsidP="006D2F5F">
            <w:pPr>
              <w:pStyle w:val="Tabulka"/>
              <w:jc w:val="left"/>
            </w:pPr>
            <w:hyperlink r:id="rId72" w:history="1">
              <w:r w:rsidR="00790A0D" w:rsidRPr="00DD47DF">
                <w:rPr>
                  <w:rStyle w:val="Hypertextovodkaz"/>
                </w:rPr>
                <w:t>http://www.portal-vz.cz/cs/Jak-na-zadavani-verejnych-zakazek/Metodiky-stanoviska/Stanoviska/Stanoviska-expertni-skupiny-MMR-k-ZVZ</w:t>
              </w:r>
            </w:hyperlink>
          </w:p>
          <w:p w14:paraId="01F34FC5" w14:textId="77777777" w:rsidR="00790A0D" w:rsidRPr="00DD47DF" w:rsidRDefault="00AF6FE3" w:rsidP="006D2F5F">
            <w:pPr>
              <w:pStyle w:val="Tabulka"/>
              <w:jc w:val="left"/>
            </w:pPr>
            <w:hyperlink r:id="rId73" w:history="1">
              <w:r w:rsidR="00790A0D" w:rsidRPr="00DD47DF">
                <w:rPr>
                  <w:rStyle w:val="Hypertextovodkaz"/>
                </w:rPr>
                <w:t>http://www.portal-vz.cz/cs/Aktuality</w:t>
              </w:r>
            </w:hyperlink>
          </w:p>
          <w:p w14:paraId="6E47FC13" w14:textId="77777777" w:rsidR="00790A0D" w:rsidRPr="00DD47DF" w:rsidRDefault="00AF6FE3" w:rsidP="006D2F5F">
            <w:pPr>
              <w:pStyle w:val="Tabulka"/>
              <w:jc w:val="left"/>
              <w:rPr>
                <w:rFonts w:cs="Calibri"/>
              </w:rPr>
            </w:pPr>
            <w:hyperlink r:id="rId74" w:history="1">
              <w:r w:rsidR="00790A0D" w:rsidRPr="00DD47DF">
                <w:rPr>
                  <w:rStyle w:val="Hypertextovodkaz"/>
                </w:rPr>
                <w:t>http://mmr.cz/cs/Ministerstvo/Ministerstvo/Pro-media/Tiskove-zpravy/2014/Zakon-o-verejnych-zakazkach-pripravuje-siroke-kole</w:t>
              </w:r>
            </w:hyperlink>
          </w:p>
        </w:tc>
        <w:tc>
          <w:tcPr>
            <w:tcW w:w="4394" w:type="dxa"/>
            <w:shd w:val="clear" w:color="auto" w:fill="auto"/>
          </w:tcPr>
          <w:p w14:paraId="5A9E57FE" w14:textId="77777777" w:rsidR="00A75044" w:rsidRPr="00DD47DF" w:rsidRDefault="00A75044" w:rsidP="006D2F5F">
            <w:pPr>
              <w:pStyle w:val="Tabulka"/>
              <w:jc w:val="left"/>
              <w:rPr>
                <w:rFonts w:cs="Calibri"/>
              </w:rPr>
            </w:pPr>
            <w:r w:rsidRPr="00DD47DF">
              <w:rPr>
                <w:rFonts w:cs="Calibri"/>
              </w:rPr>
              <w:lastRenderedPageBreak/>
              <w:t xml:space="preserve">Gestor PP: plnění </w:t>
            </w:r>
            <w:r w:rsidR="000529F1" w:rsidRPr="00DD47DF">
              <w:rPr>
                <w:rFonts w:cs="Calibri"/>
              </w:rPr>
              <w:t>ČÁSTEČNĚ</w:t>
            </w:r>
          </w:p>
          <w:p w14:paraId="07A29C32" w14:textId="77777777" w:rsidR="007D179F" w:rsidRPr="00DD47DF" w:rsidRDefault="00A75044" w:rsidP="007D179F">
            <w:pPr>
              <w:pStyle w:val="DAVA"/>
              <w:spacing w:before="80" w:after="80"/>
              <w:rPr>
                <w:rFonts w:ascii="Times New Roman" w:hAnsi="Times New Roman"/>
                <w:sz w:val="22"/>
                <w:szCs w:val="22"/>
              </w:rPr>
            </w:pPr>
            <w:r w:rsidRPr="00DD47DF">
              <w:rPr>
                <w:rFonts w:ascii="Times New Roman" w:hAnsi="Times New Roman"/>
                <w:sz w:val="22"/>
                <w:szCs w:val="22"/>
              </w:rPr>
              <w:t>Přijata a uveřejněna legisl. i nelegisl. opatření (zákon č. 137/2006 Sb., č. 139/2006 Sb., novela zákona</w:t>
            </w:r>
            <w:r w:rsidRPr="00DD47DF">
              <w:rPr>
                <w:sz w:val="22"/>
                <w:szCs w:val="22"/>
              </w:rPr>
              <w:t xml:space="preserve">, </w:t>
            </w:r>
            <w:r w:rsidRPr="00DD47DF">
              <w:rPr>
                <w:rFonts w:ascii="Times New Roman" w:hAnsi="Times New Roman"/>
                <w:sz w:val="22"/>
                <w:szCs w:val="22"/>
              </w:rPr>
              <w:t>právní předpisy k zákonu o VZ (vyhl. č. 2302012 Sb., 231/2012 Sb., 232/2012 Sb., 133/2012 Sb.).zákonné opatření senátu č. 341/2013 Sb.</w:t>
            </w:r>
            <w:r w:rsidR="007D179F" w:rsidRPr="00DD47DF">
              <w:rPr>
                <w:sz w:val="22"/>
                <w:szCs w:val="22"/>
              </w:rPr>
              <w:t xml:space="preserve"> </w:t>
            </w:r>
            <w:r w:rsidR="007D179F" w:rsidRPr="00DD47DF">
              <w:rPr>
                <w:rFonts w:ascii="Times New Roman" w:hAnsi="Times New Roman"/>
                <w:sz w:val="22"/>
                <w:szCs w:val="22"/>
              </w:rPr>
              <w:t xml:space="preserve">MP pro oblast zadávání zakázek pro progr. období 2014-2020 (UV ČR č. 44 z 15.1.12014). </w:t>
            </w:r>
          </w:p>
          <w:p w14:paraId="044ED361" w14:textId="77777777" w:rsidR="00A75044" w:rsidRPr="00DD47DF" w:rsidRDefault="007D179F" w:rsidP="007D179F">
            <w:pPr>
              <w:pStyle w:val="DAVA"/>
              <w:spacing w:before="80" w:after="80"/>
              <w:rPr>
                <w:rFonts w:ascii="Times New Roman" w:hAnsi="Times New Roman"/>
                <w:sz w:val="22"/>
                <w:szCs w:val="22"/>
              </w:rPr>
            </w:pPr>
            <w:r w:rsidRPr="00DD47DF">
              <w:rPr>
                <w:rFonts w:ascii="Times New Roman" w:hAnsi="Times New Roman"/>
                <w:sz w:val="22"/>
                <w:szCs w:val="22"/>
              </w:rPr>
              <w:t>Byly ustanoveny PS VZ a PS ÚOHS.</w:t>
            </w:r>
          </w:p>
          <w:p w14:paraId="5F0FDFF7" w14:textId="77777777" w:rsidR="00A75044" w:rsidRPr="00DD47DF" w:rsidRDefault="00A75044" w:rsidP="006D2F5F">
            <w:pPr>
              <w:pStyle w:val="Tabulka"/>
              <w:jc w:val="left"/>
              <w:rPr>
                <w:rFonts w:cs="Calibri"/>
              </w:rPr>
            </w:pPr>
            <w:r w:rsidRPr="00DD47DF">
              <w:rPr>
                <w:rFonts w:cs="Calibri"/>
              </w:rPr>
              <w:t>ŘO: plnění ANO</w:t>
            </w:r>
          </w:p>
          <w:p w14:paraId="7F0FFB9D" w14:textId="77777777" w:rsidR="00790A0D" w:rsidRPr="00DD47DF" w:rsidRDefault="00790A0D" w:rsidP="006D2F5F">
            <w:pPr>
              <w:pStyle w:val="Tabulka"/>
              <w:jc w:val="left"/>
              <w:rPr>
                <w:rFonts w:cs="Calibri"/>
              </w:rPr>
            </w:pPr>
            <w:r w:rsidRPr="00DD47DF">
              <w:rPr>
                <w:rFonts w:cs="Calibri"/>
              </w:rPr>
              <w:t>V OP PIK bude zadávání veřejných zakázek upraveno platnými právními předpisy (zákon č. 137/2006 Sb., o veřejných zakázkách), resp. závaznými pokyny pro zadávání veřejných zakázek pro zakázky, které nespadají pod režim zákona - M</w:t>
            </w:r>
            <w:r w:rsidR="007D179F" w:rsidRPr="00DD47DF">
              <w:rPr>
                <w:rFonts w:cs="Calibri"/>
              </w:rPr>
              <w:t xml:space="preserve">P </w:t>
            </w:r>
            <w:r w:rsidRPr="00DD47DF">
              <w:rPr>
                <w:rFonts w:cs="Calibri"/>
              </w:rPr>
              <w:t xml:space="preserve">pro oblast zadávání zakázek pro programové období 2014-2020. Metodické pokyny zpracované na národní úrovni (MMR) budou rozpracovány do pokynů pro příjemce </w:t>
            </w:r>
            <w:r w:rsidRPr="00DD47DF">
              <w:rPr>
                <w:rFonts w:cs="Calibri"/>
              </w:rPr>
              <w:lastRenderedPageBreak/>
              <w:t xml:space="preserve">v OP PIK. ŘO OP PIK počítá s prováděním 2-stupňové kontroly zadávání veřej. zakázek (1. stupeň na úrovni </w:t>
            </w:r>
            <w:r w:rsidR="007D179F" w:rsidRPr="00DD47DF">
              <w:rPr>
                <w:rFonts w:cs="Calibri"/>
              </w:rPr>
              <w:t>ZS</w:t>
            </w:r>
            <w:r w:rsidRPr="00DD47DF">
              <w:rPr>
                <w:rFonts w:cs="Calibri"/>
              </w:rPr>
              <w:t>, 2. stupeň na úrovní Ř</w:t>
            </w:r>
            <w:r w:rsidR="007D179F" w:rsidRPr="00DD47DF">
              <w:rPr>
                <w:rFonts w:cs="Calibri"/>
              </w:rPr>
              <w:t>O</w:t>
            </w:r>
            <w:r w:rsidRPr="00DD47DF">
              <w:rPr>
                <w:rFonts w:cs="Calibri"/>
              </w:rPr>
              <w:t>).</w:t>
            </w:r>
          </w:p>
          <w:p w14:paraId="2334C407" w14:textId="77777777" w:rsidR="00F72210" w:rsidRPr="00DD47DF" w:rsidRDefault="00F72210" w:rsidP="006D2F5F">
            <w:pPr>
              <w:pStyle w:val="Tabulka"/>
              <w:jc w:val="left"/>
              <w:rPr>
                <w:rFonts w:cs="Calibri"/>
              </w:rPr>
            </w:pPr>
            <w:r w:rsidRPr="00DD47DF">
              <w:rPr>
                <w:rFonts w:cs="Calibri"/>
              </w:rPr>
              <w:t>Viz též Příloha II.</w:t>
            </w:r>
          </w:p>
          <w:p w14:paraId="3A50FC1D" w14:textId="77777777" w:rsidR="000D5493" w:rsidRPr="00DD47DF" w:rsidRDefault="00790A0D" w:rsidP="000D5493">
            <w:pPr>
              <w:pStyle w:val="Tabulka"/>
              <w:jc w:val="left"/>
              <w:rPr>
                <w:rFonts w:cs="Calibri"/>
              </w:rPr>
            </w:pPr>
            <w:r w:rsidRPr="00DD47DF">
              <w:rPr>
                <w:rFonts w:cs="Calibri"/>
              </w:rPr>
              <w:t>Specifické naplňování na národní úrovni</w:t>
            </w:r>
            <w:r w:rsidR="000D5493" w:rsidRPr="00DD47DF">
              <w:rPr>
                <w:rFonts w:cs="Calibri"/>
              </w:rPr>
              <w:t xml:space="preserve"> viz Příloha II. </w:t>
            </w:r>
          </w:p>
          <w:p w14:paraId="4FE4A785" w14:textId="77777777" w:rsidR="00790A0D" w:rsidRPr="00DD47DF" w:rsidRDefault="00790A0D" w:rsidP="006D2F5F">
            <w:pPr>
              <w:pStyle w:val="Tabulka"/>
              <w:jc w:val="left"/>
              <w:rPr>
                <w:rFonts w:cs="Calibri"/>
              </w:rPr>
            </w:pPr>
          </w:p>
        </w:tc>
      </w:tr>
      <w:tr w:rsidR="00790A0D" w:rsidRPr="00DD47DF" w14:paraId="7DD8D044" w14:textId="77777777" w:rsidTr="006D2F5F">
        <w:tc>
          <w:tcPr>
            <w:tcW w:w="1752" w:type="dxa"/>
            <w:vMerge/>
            <w:shd w:val="clear" w:color="auto" w:fill="auto"/>
          </w:tcPr>
          <w:p w14:paraId="78B6BD98" w14:textId="77777777" w:rsidR="00790A0D" w:rsidRPr="00DD47DF" w:rsidRDefault="00790A0D" w:rsidP="006D2F5F">
            <w:pPr>
              <w:pStyle w:val="Tabulka"/>
              <w:jc w:val="left"/>
              <w:rPr>
                <w:rFonts w:cs="Calibri"/>
                <w:b/>
              </w:rPr>
            </w:pPr>
          </w:p>
        </w:tc>
        <w:tc>
          <w:tcPr>
            <w:tcW w:w="1701" w:type="dxa"/>
            <w:vMerge/>
            <w:shd w:val="clear" w:color="auto" w:fill="auto"/>
          </w:tcPr>
          <w:p w14:paraId="159465A2" w14:textId="77777777" w:rsidR="00790A0D" w:rsidRPr="00DD47DF" w:rsidRDefault="00790A0D" w:rsidP="006D2F5F">
            <w:pPr>
              <w:pStyle w:val="Tabulka"/>
              <w:jc w:val="left"/>
              <w:rPr>
                <w:rFonts w:cs="Calibri"/>
              </w:rPr>
            </w:pPr>
          </w:p>
        </w:tc>
        <w:tc>
          <w:tcPr>
            <w:tcW w:w="1276" w:type="dxa"/>
            <w:vMerge/>
            <w:shd w:val="clear" w:color="auto" w:fill="auto"/>
          </w:tcPr>
          <w:p w14:paraId="790BC39A" w14:textId="77777777" w:rsidR="00790A0D" w:rsidRPr="00DD47DF" w:rsidRDefault="00790A0D" w:rsidP="006D2F5F">
            <w:pPr>
              <w:pStyle w:val="Tabulka"/>
              <w:jc w:val="left"/>
              <w:rPr>
                <w:rFonts w:cs="Calibri"/>
              </w:rPr>
            </w:pPr>
          </w:p>
        </w:tc>
        <w:tc>
          <w:tcPr>
            <w:tcW w:w="1843" w:type="dxa"/>
            <w:shd w:val="clear" w:color="auto" w:fill="auto"/>
          </w:tcPr>
          <w:p w14:paraId="535BDD49" w14:textId="77777777" w:rsidR="00790A0D" w:rsidRPr="00DD47DF" w:rsidRDefault="00790A0D" w:rsidP="006D2F5F">
            <w:pPr>
              <w:pStyle w:val="Tabulka"/>
              <w:jc w:val="left"/>
              <w:rPr>
                <w:rFonts w:cs="Calibri"/>
              </w:rPr>
            </w:pPr>
            <w:r w:rsidRPr="00DD47DF">
              <w:rPr>
                <w:rFonts w:cs="Calibri"/>
              </w:rPr>
              <w:t>Opatření, jež zajišťují transparentní postupy zadávání veřejných zakázek.</w:t>
            </w:r>
          </w:p>
        </w:tc>
        <w:tc>
          <w:tcPr>
            <w:tcW w:w="1134" w:type="dxa"/>
            <w:shd w:val="clear" w:color="auto" w:fill="auto"/>
          </w:tcPr>
          <w:p w14:paraId="06451A8E"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241875AE" w14:textId="77777777" w:rsidR="00790A0D" w:rsidRPr="00DD47DF" w:rsidRDefault="00AF6FE3" w:rsidP="006D2F5F">
            <w:pPr>
              <w:pStyle w:val="Tabulka"/>
              <w:jc w:val="left"/>
            </w:pPr>
            <w:hyperlink r:id="rId75" w:history="1">
              <w:r w:rsidR="00790A0D" w:rsidRPr="00DD47DF">
                <w:rPr>
                  <w:rStyle w:val="Hypertextovodkaz"/>
                </w:rPr>
                <w:t>http://www.portal-vz.cz/cs/Jak-na-zadavani-verejnych-zakazek/Legislativa-a-Judikatura/Legislativa/Narodni-legislativa-aktualni-a-uplne-zneni-z-(1)</w:t>
              </w:r>
            </w:hyperlink>
          </w:p>
          <w:p w14:paraId="5967619C" w14:textId="77777777" w:rsidR="00790A0D" w:rsidRPr="00DD47DF" w:rsidRDefault="00AF6FE3" w:rsidP="006D2F5F">
            <w:pPr>
              <w:pStyle w:val="Tabulka"/>
              <w:jc w:val="left"/>
            </w:pPr>
            <w:hyperlink r:id="rId76" w:history="1">
              <w:r w:rsidR="00790A0D" w:rsidRPr="00DD47DF">
                <w:rPr>
                  <w:rStyle w:val="Hypertextovodkaz"/>
                </w:rPr>
                <w:t>http://www.portal-vz.cz/cs/Jak-na-</w:t>
              </w:r>
              <w:r w:rsidR="00790A0D" w:rsidRPr="00DD47DF">
                <w:rPr>
                  <w:rStyle w:val="Hypertextovodkaz"/>
                </w:rPr>
                <w:lastRenderedPageBreak/>
                <w:t>zadavani-verejnych-zakazek/Metodiky-stanoviska/Metodicke-pokyny</w:t>
              </w:r>
            </w:hyperlink>
          </w:p>
          <w:p w14:paraId="6E188FDC" w14:textId="77777777" w:rsidR="00790A0D" w:rsidRPr="00DD47DF" w:rsidRDefault="00AF6FE3" w:rsidP="006D2F5F">
            <w:pPr>
              <w:pStyle w:val="Tabulka"/>
              <w:jc w:val="left"/>
              <w:rPr>
                <w:rStyle w:val="Hypertextovodkaz"/>
              </w:rPr>
            </w:pPr>
            <w:hyperlink r:id="rId77" w:history="1">
              <w:r w:rsidR="00790A0D" w:rsidRPr="00DD47DF">
                <w:rPr>
                  <w:rStyle w:val="Hypertextovodkaz"/>
                </w:rPr>
                <w:t>http://www.vestnikverejnychzakazek.cz/</w:t>
              </w:r>
            </w:hyperlink>
          </w:p>
          <w:p w14:paraId="3F53E43B" w14:textId="77777777" w:rsidR="00790A0D" w:rsidRPr="00DD47DF" w:rsidRDefault="00790A0D" w:rsidP="006D2F5F">
            <w:pPr>
              <w:pStyle w:val="Tabulka"/>
              <w:jc w:val="left"/>
              <w:rPr>
                <w:rStyle w:val="Hypertextovodkaz"/>
              </w:rPr>
            </w:pPr>
          </w:p>
          <w:p w14:paraId="10678846" w14:textId="77777777" w:rsidR="00790A0D" w:rsidRPr="00DD47DF" w:rsidRDefault="00AF6FE3" w:rsidP="006D2F5F">
            <w:pPr>
              <w:pStyle w:val="Tabulka"/>
              <w:jc w:val="left"/>
            </w:pPr>
            <w:hyperlink r:id="rId78" w:history="1">
              <w:r w:rsidR="00790A0D" w:rsidRPr="00DD47DF">
                <w:rPr>
                  <w:rStyle w:val="Hypertextovodkaz"/>
                </w:rPr>
                <w:t>http://www.portal-vz.cz/cs/Aktuality/Informace-k-postupu-pri-uverejnovani-v-souvislosti</w:t>
              </w:r>
            </w:hyperlink>
          </w:p>
        </w:tc>
        <w:tc>
          <w:tcPr>
            <w:tcW w:w="4394" w:type="dxa"/>
            <w:shd w:val="clear" w:color="auto" w:fill="auto"/>
          </w:tcPr>
          <w:p w14:paraId="6EE39AED" w14:textId="77777777" w:rsidR="00CE2604" w:rsidRPr="00DD47DF" w:rsidRDefault="00CE2604" w:rsidP="006D2F5F">
            <w:pPr>
              <w:pStyle w:val="Tabulka"/>
              <w:jc w:val="left"/>
              <w:rPr>
                <w:rFonts w:cs="Calibri"/>
              </w:rPr>
            </w:pPr>
            <w:r w:rsidRPr="00DD47DF">
              <w:rPr>
                <w:rFonts w:cs="Calibri"/>
              </w:rPr>
              <w:lastRenderedPageBreak/>
              <w:t>Gestor PP:</w:t>
            </w:r>
            <w:r w:rsidR="00D709F2" w:rsidRPr="00DD47DF">
              <w:rPr>
                <w:rFonts w:cs="Calibri"/>
              </w:rPr>
              <w:t xml:space="preserve"> </w:t>
            </w:r>
            <w:r w:rsidRPr="00DD47DF">
              <w:rPr>
                <w:rFonts w:cs="Calibri"/>
              </w:rPr>
              <w:t>Plnění ANO</w:t>
            </w:r>
          </w:p>
          <w:p w14:paraId="2CBB6A76" w14:textId="77777777" w:rsidR="00CE2604" w:rsidRPr="00DD47DF" w:rsidRDefault="00CE2604" w:rsidP="006D2F5F">
            <w:pPr>
              <w:pStyle w:val="Tabulka"/>
              <w:jc w:val="left"/>
              <w:rPr>
                <w:rFonts w:cs="Calibri"/>
              </w:rPr>
            </w:pPr>
            <w:r w:rsidRPr="00DD47DF">
              <w:t>Přijato, uveřejněno: zákon č. 55/2012 Sb. metodika zadávání veřejných zakázek; metodické stanovisko k příloze vyhlášky č. 9/2011 Sb.;</w:t>
            </w:r>
            <w:r w:rsidR="00FC7C71" w:rsidRPr="00DD47DF">
              <w:t xml:space="preserve"> </w:t>
            </w:r>
            <w:r w:rsidRPr="00DD47DF">
              <w:t xml:space="preserve">metodika k vyhlášce 133/2012 Sb., technická novela zákona č. 137/2006 Sb., o veřejných zakázkách, Metodika k vyhlášce o uveřejňování vyhlášení pro účely zákona o veřejných zakázkách a náležitostech profilu zadavatele; </w:t>
            </w:r>
            <w:r w:rsidRPr="00DD47DF">
              <w:rPr>
                <w:bCs/>
              </w:rPr>
              <w:t>věstník veřejných zakázek</w:t>
            </w:r>
            <w:r w:rsidR="00D709F2" w:rsidRPr="00DD47DF">
              <w:rPr>
                <w:bCs/>
              </w:rPr>
              <w:t>.</w:t>
            </w:r>
          </w:p>
          <w:p w14:paraId="2CF00E28" w14:textId="77777777" w:rsidR="00A147B1" w:rsidRPr="00DD47DF" w:rsidRDefault="00CE2604" w:rsidP="006D2F5F">
            <w:pPr>
              <w:pStyle w:val="Tabulka"/>
              <w:jc w:val="left"/>
              <w:rPr>
                <w:rFonts w:cs="Calibri"/>
              </w:rPr>
            </w:pPr>
            <w:r w:rsidRPr="00DD47DF">
              <w:rPr>
                <w:rFonts w:cs="Calibri"/>
              </w:rPr>
              <w:lastRenderedPageBreak/>
              <w:t xml:space="preserve">ŘO: plnění </w:t>
            </w:r>
            <w:r w:rsidR="00A147B1" w:rsidRPr="00DD47DF">
              <w:rPr>
                <w:rFonts w:cs="Calibri"/>
              </w:rPr>
              <w:t>ANO</w:t>
            </w:r>
          </w:p>
          <w:p w14:paraId="105BCD7B" w14:textId="77777777" w:rsidR="00790A0D" w:rsidRPr="00DD47DF" w:rsidRDefault="00790A0D" w:rsidP="002B0D4F">
            <w:pPr>
              <w:pStyle w:val="Tabulka"/>
              <w:jc w:val="left"/>
            </w:pPr>
            <w:r w:rsidRPr="00DD47DF">
              <w:rPr>
                <w:rFonts w:cs="Calibri"/>
              </w:rPr>
              <w:t xml:space="preserve">Postupy zadávání veřejných zakázek v OP PIK jsou upraveny platnou legislativou a schválenými metodickými dokumenty a rozpracovány v řídící dokumentaci OP PIK a </w:t>
            </w:r>
            <w:r w:rsidR="00BB3F8F" w:rsidRPr="00DD47DF">
              <w:rPr>
                <w:rFonts w:cs="Calibri"/>
              </w:rPr>
              <w:t xml:space="preserve">Příručce </w:t>
            </w:r>
            <w:r w:rsidRPr="00DD47DF">
              <w:rPr>
                <w:rFonts w:cs="Calibri"/>
              </w:rPr>
              <w:t xml:space="preserve">pro žadatele. </w:t>
            </w:r>
            <w:r w:rsidRPr="00DD47DF">
              <w:t xml:space="preserve">V OP PIK bude prováděna kontrola zadávacího řízení před vydáním rozhodnutí o poskytnutí dotace ve 2 fázích. </w:t>
            </w:r>
            <w:r w:rsidR="004443C7" w:rsidRPr="00DD47DF">
              <w:t xml:space="preserve">ŘO OP PIK bude i nadále využívat </w:t>
            </w:r>
            <w:r w:rsidR="00C57316" w:rsidRPr="00DD47DF">
              <w:t>nástroj Arachne.</w:t>
            </w:r>
          </w:p>
          <w:p w14:paraId="2CE69CF6" w14:textId="77777777" w:rsidR="00790A0D" w:rsidRPr="00DD47DF" w:rsidRDefault="00790A0D" w:rsidP="006D2F5F">
            <w:pPr>
              <w:pStyle w:val="Tabulka"/>
              <w:jc w:val="left"/>
              <w:rPr>
                <w:rFonts w:cs="Calibri"/>
              </w:rPr>
            </w:pPr>
            <w:r w:rsidRPr="00DD47DF">
              <w:rPr>
                <w:rFonts w:cs="Calibri"/>
              </w:rPr>
              <w:t>ŘO bude pořádat školení pro pracovníky implementační struktury i žadatele vč. doporučení jak předcházet chybám.</w:t>
            </w:r>
          </w:p>
          <w:p w14:paraId="26204277" w14:textId="77777777" w:rsidR="00790A0D" w:rsidRPr="00DD47DF" w:rsidRDefault="00790A0D" w:rsidP="006D2F5F">
            <w:pPr>
              <w:pStyle w:val="Tabulka"/>
              <w:jc w:val="left"/>
              <w:rPr>
                <w:rFonts w:cs="Calibri"/>
              </w:rPr>
            </w:pPr>
            <w:r w:rsidRPr="00DD47DF">
              <w:rPr>
                <w:rFonts w:cs="Calibri"/>
              </w:rPr>
              <w:t>Viz Příloha č. II.</w:t>
            </w:r>
          </w:p>
          <w:p w14:paraId="3EA29271" w14:textId="77777777" w:rsidR="00790A0D" w:rsidRPr="00DD47DF" w:rsidRDefault="00790A0D" w:rsidP="006D2F5F">
            <w:pPr>
              <w:pStyle w:val="Tabulka"/>
              <w:jc w:val="left"/>
              <w:rPr>
                <w:rFonts w:cs="Calibri"/>
              </w:rPr>
            </w:pPr>
            <w:r w:rsidRPr="00DD47DF">
              <w:rPr>
                <w:rFonts w:cs="Calibri"/>
              </w:rPr>
              <w:t xml:space="preserve">Specifické naplňování na národní úrovni </w:t>
            </w:r>
            <w:r w:rsidR="00CE2604" w:rsidRPr="00DD47DF">
              <w:rPr>
                <w:rFonts w:cs="Calibri"/>
              </w:rPr>
              <w:t xml:space="preserve"> -</w:t>
            </w:r>
            <w:r w:rsidR="000D5493" w:rsidRPr="00DD47DF">
              <w:rPr>
                <w:rFonts w:cs="Calibri"/>
              </w:rPr>
              <w:t>viz Příloha II.</w:t>
            </w:r>
          </w:p>
        </w:tc>
      </w:tr>
      <w:tr w:rsidR="00790A0D" w:rsidRPr="00DD47DF" w14:paraId="5D4C0E7E" w14:textId="77777777" w:rsidTr="006D2F5F">
        <w:tc>
          <w:tcPr>
            <w:tcW w:w="1752" w:type="dxa"/>
            <w:vMerge/>
            <w:shd w:val="clear" w:color="auto" w:fill="auto"/>
          </w:tcPr>
          <w:p w14:paraId="01BAAB08" w14:textId="77777777" w:rsidR="00790A0D" w:rsidRPr="00DD47DF" w:rsidRDefault="00790A0D" w:rsidP="006D2F5F">
            <w:pPr>
              <w:pStyle w:val="Tabulka"/>
              <w:jc w:val="left"/>
              <w:rPr>
                <w:rFonts w:cs="Calibri"/>
                <w:b/>
              </w:rPr>
            </w:pPr>
          </w:p>
        </w:tc>
        <w:tc>
          <w:tcPr>
            <w:tcW w:w="1701" w:type="dxa"/>
            <w:vMerge/>
            <w:shd w:val="clear" w:color="auto" w:fill="auto"/>
          </w:tcPr>
          <w:p w14:paraId="713FFBCA" w14:textId="77777777" w:rsidR="00790A0D" w:rsidRPr="00DD47DF" w:rsidRDefault="00790A0D" w:rsidP="006D2F5F">
            <w:pPr>
              <w:pStyle w:val="Tabulka"/>
              <w:jc w:val="left"/>
              <w:rPr>
                <w:rFonts w:cs="Calibri"/>
              </w:rPr>
            </w:pPr>
          </w:p>
        </w:tc>
        <w:tc>
          <w:tcPr>
            <w:tcW w:w="1276" w:type="dxa"/>
            <w:vMerge/>
            <w:shd w:val="clear" w:color="auto" w:fill="auto"/>
          </w:tcPr>
          <w:p w14:paraId="3EAB62D4" w14:textId="77777777" w:rsidR="00790A0D" w:rsidRPr="00DD47DF" w:rsidRDefault="00790A0D" w:rsidP="006D2F5F">
            <w:pPr>
              <w:pStyle w:val="Tabulka"/>
              <w:jc w:val="left"/>
              <w:rPr>
                <w:rFonts w:cs="Calibri"/>
              </w:rPr>
            </w:pPr>
          </w:p>
        </w:tc>
        <w:tc>
          <w:tcPr>
            <w:tcW w:w="1843" w:type="dxa"/>
            <w:shd w:val="clear" w:color="auto" w:fill="auto"/>
          </w:tcPr>
          <w:p w14:paraId="4FFB45E4" w14:textId="77777777" w:rsidR="00790A0D" w:rsidRPr="00DD47DF" w:rsidRDefault="00790A0D" w:rsidP="006D2F5F">
            <w:pPr>
              <w:pStyle w:val="Tabulka"/>
              <w:jc w:val="left"/>
              <w:rPr>
                <w:rFonts w:cs="Calibri"/>
              </w:rPr>
            </w:pPr>
            <w:r w:rsidRPr="00DD47DF">
              <w:rPr>
                <w:rFonts w:cs="Calibri"/>
              </w:rPr>
              <w:t>Opatření pro odbornou přípravu a šíření informací pro zaměstnance podílející se na provádění fondů ESI.</w:t>
            </w:r>
          </w:p>
        </w:tc>
        <w:tc>
          <w:tcPr>
            <w:tcW w:w="1134" w:type="dxa"/>
            <w:shd w:val="clear" w:color="auto" w:fill="auto"/>
          </w:tcPr>
          <w:p w14:paraId="75B524BA" w14:textId="77777777" w:rsidR="00790A0D" w:rsidRPr="00DD47DF" w:rsidRDefault="001C1D41" w:rsidP="006D2F5F">
            <w:pPr>
              <w:pStyle w:val="Tabulka"/>
              <w:jc w:val="left"/>
              <w:rPr>
                <w:rFonts w:cs="Calibri"/>
              </w:rPr>
            </w:pPr>
            <w:r w:rsidRPr="00DD47DF">
              <w:rPr>
                <w:rFonts w:cs="Calibri"/>
              </w:rPr>
              <w:t>NE</w:t>
            </w:r>
          </w:p>
        </w:tc>
        <w:tc>
          <w:tcPr>
            <w:tcW w:w="2126" w:type="dxa"/>
            <w:shd w:val="clear" w:color="auto" w:fill="auto"/>
          </w:tcPr>
          <w:p w14:paraId="414ED8CC" w14:textId="77777777" w:rsidR="00790A0D" w:rsidRPr="00DD47DF" w:rsidRDefault="00AF6FE3" w:rsidP="006D2F5F">
            <w:pPr>
              <w:pStyle w:val="Tabulka"/>
              <w:jc w:val="left"/>
              <w:rPr>
                <w:rStyle w:val="Hypertextovodkaz"/>
              </w:rPr>
            </w:pPr>
            <w:hyperlink r:id="rId79" w:history="1">
              <w:r w:rsidR="00790A0D" w:rsidRPr="00DD47DF">
                <w:rPr>
                  <w:rStyle w:val="Hypertextovodkaz"/>
                </w:rPr>
                <w:t>http://www.portal-vz.cz/cs/Spoluprace-a-vymena-informaci/Info-forum/Otazky-a-odpovedi</w:t>
              </w:r>
            </w:hyperlink>
          </w:p>
          <w:p w14:paraId="08DFF33D" w14:textId="77777777" w:rsidR="00790A0D" w:rsidRPr="00DD47DF" w:rsidRDefault="00790A0D" w:rsidP="006D2F5F">
            <w:pPr>
              <w:pStyle w:val="Tabulka"/>
              <w:jc w:val="left"/>
              <w:rPr>
                <w:rStyle w:val="Hypertextovodkaz"/>
              </w:rPr>
            </w:pPr>
          </w:p>
          <w:p w14:paraId="12831892" w14:textId="77777777" w:rsidR="00790A0D" w:rsidRPr="00DD47DF" w:rsidRDefault="00AF6FE3" w:rsidP="006D2F5F">
            <w:pPr>
              <w:pStyle w:val="Default"/>
              <w:rPr>
                <w:rFonts w:ascii="Times New Roman" w:hAnsi="Times New Roman" w:cs="Times New Roman"/>
                <w:sz w:val="22"/>
                <w:szCs w:val="22"/>
              </w:rPr>
            </w:pPr>
            <w:hyperlink r:id="rId80" w:history="1">
              <w:r w:rsidR="00790A0D" w:rsidRPr="00DD47DF">
                <w:rPr>
                  <w:rStyle w:val="Hypertextovodkaz"/>
                  <w:rFonts w:ascii="Times New Roman" w:hAnsi="Times New Roman" w:cs="Times New Roman"/>
                  <w:sz w:val="22"/>
                  <w:szCs w:val="22"/>
                </w:rPr>
                <w:t xml:space="preserve">http://www.mmr.cz/cs/Verejne-zakazky/Verejne-zakazky-a-PPP/Informace-Udalosti/Konference-Pripravovane-zmeny-v-oblasti-verejneho </w:t>
              </w:r>
            </w:hyperlink>
          </w:p>
          <w:p w14:paraId="4A524F5D" w14:textId="77777777" w:rsidR="00790A0D" w:rsidRPr="00DD47DF" w:rsidRDefault="00790A0D" w:rsidP="006D2F5F">
            <w:pPr>
              <w:pStyle w:val="Tabulka"/>
              <w:jc w:val="left"/>
              <w:rPr>
                <w:rStyle w:val="Hypertextovodkaz"/>
              </w:rPr>
            </w:pPr>
          </w:p>
          <w:p w14:paraId="52BB70B6" w14:textId="77777777" w:rsidR="00790A0D" w:rsidRPr="00DD47DF" w:rsidRDefault="00790A0D" w:rsidP="006D2F5F">
            <w:pPr>
              <w:pStyle w:val="Tabulka"/>
              <w:jc w:val="left"/>
            </w:pPr>
          </w:p>
          <w:p w14:paraId="7BDFCC5B" w14:textId="77777777" w:rsidR="00790A0D" w:rsidRPr="00DD47DF" w:rsidRDefault="00AF6FE3" w:rsidP="006D2F5F">
            <w:pPr>
              <w:pStyle w:val="Tabulka"/>
              <w:jc w:val="left"/>
            </w:pPr>
            <w:hyperlink r:id="rId81" w:history="1">
              <w:r w:rsidR="00790A0D" w:rsidRPr="00DD47DF">
                <w:rPr>
                  <w:rStyle w:val="Hypertextovodkaz"/>
                </w:rPr>
                <w:t>http://www.strukturalni-fondy.cz/cs/Fondy-EU/2014-2020/Metodicke-pokyny/Metodika-rozvoje-lidskych-zdroju</w:t>
              </w:r>
            </w:hyperlink>
          </w:p>
        </w:tc>
        <w:tc>
          <w:tcPr>
            <w:tcW w:w="4394" w:type="dxa"/>
            <w:shd w:val="clear" w:color="auto" w:fill="auto"/>
          </w:tcPr>
          <w:p w14:paraId="53AFC1E2" w14:textId="77777777" w:rsidR="001C1D41" w:rsidRPr="00DD47DF" w:rsidRDefault="001C1D41" w:rsidP="006D2F5F">
            <w:pPr>
              <w:pStyle w:val="Tabulka"/>
              <w:jc w:val="left"/>
              <w:rPr>
                <w:rFonts w:cs="Calibri"/>
              </w:rPr>
            </w:pPr>
            <w:r w:rsidRPr="00DD47DF">
              <w:rPr>
                <w:rFonts w:cs="Calibri"/>
              </w:rPr>
              <w:lastRenderedPageBreak/>
              <w:t xml:space="preserve">Gestor PP: Plnění </w:t>
            </w:r>
            <w:r w:rsidR="000529F1" w:rsidRPr="00DD47DF">
              <w:rPr>
                <w:rFonts w:cs="Calibri"/>
              </w:rPr>
              <w:t>ČÁSTEČNĚ</w:t>
            </w:r>
          </w:p>
          <w:p w14:paraId="18ADDAA3" w14:textId="77777777" w:rsidR="00790A0D" w:rsidRPr="00DD47DF" w:rsidRDefault="001C1D41" w:rsidP="006D2F5F">
            <w:pPr>
              <w:pStyle w:val="Tabulka"/>
              <w:jc w:val="left"/>
              <w:rPr>
                <w:rFonts w:cs="Calibri"/>
              </w:rPr>
            </w:pPr>
            <w:r w:rsidRPr="00DD47DF">
              <w:rPr>
                <w:rFonts w:cs="Calibri"/>
              </w:rPr>
              <w:t xml:space="preserve">PS VZ. </w:t>
            </w:r>
            <w:r w:rsidRPr="00DD47DF">
              <w:rPr>
                <w:color w:val="000000"/>
              </w:rPr>
              <w:t>Vzdělávací semináře pro příjemce podpory a pro subjekty implementačních struktur programů. Poskytován výklad ZVZ a metodických pokynů platných pro zadávání zakázek.</w:t>
            </w:r>
            <w:r w:rsidRPr="00DD47DF">
              <w:rPr>
                <w:rFonts w:cs="Calibri"/>
              </w:rPr>
              <w:t xml:space="preserve"> </w:t>
            </w:r>
            <w:r w:rsidR="00790A0D" w:rsidRPr="00DD47DF">
              <w:rPr>
                <w:rFonts w:cs="Calibri"/>
              </w:rPr>
              <w:t>MMR-NOK zajišťuje na horizontální úrovni proškolení zaměstnanců implementujících čerpání příspěvků z fondů EU v rámci Systému vzdělávání, MMR (OPVZK) zajišťuje obsahovou náplň vzdělávání a lektorské zajištění.</w:t>
            </w:r>
          </w:p>
          <w:p w14:paraId="60A96964" w14:textId="77777777" w:rsidR="001C1D41" w:rsidRPr="00DD47DF" w:rsidRDefault="001C1D41" w:rsidP="006D2F5F">
            <w:pPr>
              <w:pStyle w:val="Tabulka"/>
              <w:jc w:val="left"/>
              <w:rPr>
                <w:rFonts w:cs="Calibri"/>
              </w:rPr>
            </w:pPr>
            <w:r w:rsidRPr="00DD47DF">
              <w:rPr>
                <w:rFonts w:cs="Calibri"/>
              </w:rPr>
              <w:t>ŘO: Plnění ANO</w:t>
            </w:r>
          </w:p>
          <w:p w14:paraId="5E3D1AC9" w14:textId="77777777" w:rsidR="00790A0D" w:rsidRPr="00DD47DF" w:rsidRDefault="00790A0D" w:rsidP="006D2F5F">
            <w:pPr>
              <w:pStyle w:val="Tabulka"/>
              <w:jc w:val="left"/>
              <w:rPr>
                <w:rFonts w:cs="Calibri"/>
              </w:rPr>
            </w:pPr>
            <w:r w:rsidRPr="00DD47DF">
              <w:rPr>
                <w:rFonts w:cs="Calibri"/>
              </w:rPr>
              <w:t xml:space="preserve">MPO jako Řídící orgán OP PIK průběžně proškoluje zaměstnance v závislosti na aktuální potřebě. Důraz je kladen především na </w:t>
            </w:r>
            <w:r w:rsidRPr="00DD47DF">
              <w:rPr>
                <w:rFonts w:cs="Calibri"/>
              </w:rPr>
              <w:lastRenderedPageBreak/>
              <w:t xml:space="preserve">proškolení zaměstnanců v oblasti nových právních předpisů a jejich aplikace do praxe. Zaměstnanci </w:t>
            </w:r>
            <w:r w:rsidR="00334342" w:rsidRPr="00DD47DF">
              <w:rPr>
                <w:rFonts w:cs="Calibri"/>
              </w:rPr>
              <w:t xml:space="preserve">implementující </w:t>
            </w:r>
            <w:r w:rsidRPr="00DD47DF">
              <w:rPr>
                <w:rFonts w:cs="Calibri"/>
              </w:rPr>
              <w:t>OP PIK jsou zapojeni do Systému vzdělávání.</w:t>
            </w:r>
          </w:p>
          <w:p w14:paraId="69397BB7" w14:textId="77777777" w:rsidR="00790A0D" w:rsidRPr="00DD47DF" w:rsidRDefault="004304A0" w:rsidP="000D5493">
            <w:pPr>
              <w:pStyle w:val="Tabulka"/>
              <w:jc w:val="left"/>
              <w:rPr>
                <w:rFonts w:cs="Calibri"/>
              </w:rPr>
            </w:pPr>
            <w:r w:rsidRPr="00DD47DF">
              <w:rPr>
                <w:rFonts w:cs="Calibri"/>
              </w:rPr>
              <w:t>Viz též Příloha II.</w:t>
            </w:r>
          </w:p>
        </w:tc>
      </w:tr>
      <w:tr w:rsidR="00790A0D" w:rsidRPr="00DD47DF" w14:paraId="696AD32D" w14:textId="77777777" w:rsidTr="006D2F5F">
        <w:tc>
          <w:tcPr>
            <w:tcW w:w="1752" w:type="dxa"/>
            <w:vMerge/>
            <w:shd w:val="clear" w:color="auto" w:fill="auto"/>
          </w:tcPr>
          <w:p w14:paraId="49D4F102" w14:textId="77777777" w:rsidR="00790A0D" w:rsidRPr="00DD47DF" w:rsidRDefault="00790A0D" w:rsidP="006D2F5F">
            <w:pPr>
              <w:pStyle w:val="Tabulka"/>
              <w:jc w:val="left"/>
              <w:rPr>
                <w:rFonts w:cs="Calibri"/>
                <w:b/>
              </w:rPr>
            </w:pPr>
          </w:p>
        </w:tc>
        <w:tc>
          <w:tcPr>
            <w:tcW w:w="1701" w:type="dxa"/>
            <w:vMerge/>
            <w:shd w:val="clear" w:color="auto" w:fill="auto"/>
          </w:tcPr>
          <w:p w14:paraId="092EAF86" w14:textId="77777777" w:rsidR="00790A0D" w:rsidRPr="00DD47DF" w:rsidRDefault="00790A0D" w:rsidP="006D2F5F">
            <w:pPr>
              <w:pStyle w:val="Tabulka"/>
              <w:jc w:val="left"/>
              <w:rPr>
                <w:rFonts w:cs="Calibri"/>
              </w:rPr>
            </w:pPr>
          </w:p>
        </w:tc>
        <w:tc>
          <w:tcPr>
            <w:tcW w:w="1276" w:type="dxa"/>
            <w:vMerge/>
            <w:shd w:val="clear" w:color="auto" w:fill="auto"/>
          </w:tcPr>
          <w:p w14:paraId="5F105A54" w14:textId="77777777" w:rsidR="00790A0D" w:rsidRPr="00DD47DF" w:rsidRDefault="00790A0D" w:rsidP="006D2F5F">
            <w:pPr>
              <w:pStyle w:val="Tabulka"/>
              <w:jc w:val="left"/>
              <w:rPr>
                <w:rFonts w:cs="Calibri"/>
              </w:rPr>
            </w:pPr>
          </w:p>
        </w:tc>
        <w:tc>
          <w:tcPr>
            <w:tcW w:w="1843" w:type="dxa"/>
            <w:shd w:val="clear" w:color="auto" w:fill="auto"/>
          </w:tcPr>
          <w:p w14:paraId="116640A1" w14:textId="77777777" w:rsidR="00790A0D" w:rsidRPr="00DD47DF" w:rsidRDefault="00790A0D" w:rsidP="006D2F5F">
            <w:pPr>
              <w:pStyle w:val="Tabulka"/>
              <w:jc w:val="left"/>
              <w:rPr>
                <w:rFonts w:cs="Calibri"/>
              </w:rPr>
            </w:pPr>
            <w:r w:rsidRPr="00DD47DF">
              <w:rPr>
                <w:rFonts w:cs="Calibri"/>
              </w:rPr>
              <w:t xml:space="preserve">Opatření k posílení správní kapacity pro provádění a uplatňování předpisů Unie o veřejných zakázkách </w:t>
            </w:r>
          </w:p>
        </w:tc>
        <w:tc>
          <w:tcPr>
            <w:tcW w:w="1134" w:type="dxa"/>
            <w:shd w:val="clear" w:color="auto" w:fill="auto"/>
          </w:tcPr>
          <w:p w14:paraId="1ACA1A7C" w14:textId="77777777" w:rsidR="00790A0D" w:rsidRPr="00DD47DF" w:rsidRDefault="00A0467F" w:rsidP="00A0467F">
            <w:pPr>
              <w:pStyle w:val="Tabulka"/>
              <w:jc w:val="left"/>
              <w:rPr>
                <w:rFonts w:cs="Calibri"/>
              </w:rPr>
            </w:pPr>
            <w:r w:rsidRPr="00DD47DF">
              <w:rPr>
                <w:rFonts w:cs="Calibri"/>
              </w:rPr>
              <w:t>ne</w:t>
            </w:r>
          </w:p>
        </w:tc>
        <w:tc>
          <w:tcPr>
            <w:tcW w:w="2126" w:type="dxa"/>
            <w:shd w:val="clear" w:color="auto" w:fill="auto"/>
          </w:tcPr>
          <w:p w14:paraId="5666D126" w14:textId="77777777" w:rsidR="00790A0D" w:rsidRPr="00DD47DF" w:rsidRDefault="00AF6FE3" w:rsidP="006D2F5F">
            <w:pPr>
              <w:pStyle w:val="Tabulka"/>
              <w:jc w:val="left"/>
              <w:rPr>
                <w:rFonts w:cs="Calibri"/>
              </w:rPr>
            </w:pPr>
            <w:hyperlink r:id="rId82" w:history="1">
              <w:r w:rsidR="00790A0D" w:rsidRPr="00DD47DF">
                <w:rPr>
                  <w:rStyle w:val="Hypertextovodkaz"/>
                  <w:rFonts w:cs="Calibri"/>
                </w:rPr>
                <w:t>http://www.strukturalni-fondy.cz/getmedia/6e797383-75f7-4dcb-b10b-9c4301670366/Metodicky-pokyn-k-rozvoji-lidskych-zdroju-v-programovem-obdobi-2014-2020-a-v-programovem-obdobi-2007-2013.pdf</w:t>
              </w:r>
            </w:hyperlink>
          </w:p>
        </w:tc>
        <w:tc>
          <w:tcPr>
            <w:tcW w:w="4394" w:type="dxa"/>
            <w:shd w:val="clear" w:color="auto" w:fill="auto"/>
          </w:tcPr>
          <w:p w14:paraId="4172914C" w14:textId="77777777" w:rsidR="00E84661" w:rsidRPr="00DD47DF" w:rsidRDefault="00E84661" w:rsidP="006D2F5F">
            <w:pPr>
              <w:pStyle w:val="Tabulka"/>
              <w:jc w:val="left"/>
              <w:rPr>
                <w:rFonts w:cs="Calibri"/>
              </w:rPr>
            </w:pPr>
            <w:r w:rsidRPr="00DD47DF">
              <w:rPr>
                <w:rFonts w:cs="Calibri"/>
              </w:rPr>
              <w:t>Gestor PP:</w:t>
            </w:r>
            <w:r w:rsidR="000529F1" w:rsidRPr="00DD47DF">
              <w:rPr>
                <w:rFonts w:cs="Calibri"/>
              </w:rPr>
              <w:t xml:space="preserve"> </w:t>
            </w:r>
            <w:r w:rsidRPr="00DD47DF">
              <w:rPr>
                <w:rFonts w:cs="Calibri"/>
              </w:rPr>
              <w:t>Plnění</w:t>
            </w:r>
            <w:r w:rsidR="000529F1" w:rsidRPr="00DD47DF">
              <w:rPr>
                <w:rFonts w:cs="Calibri"/>
              </w:rPr>
              <w:t xml:space="preserve"> ČÁSTEČNĚ</w:t>
            </w:r>
            <w:r w:rsidRPr="00DD47DF">
              <w:rPr>
                <w:rFonts w:cs="Calibri"/>
              </w:rPr>
              <w:t xml:space="preserve"> </w:t>
            </w:r>
          </w:p>
          <w:p w14:paraId="633CD910" w14:textId="77777777" w:rsidR="00CB1905" w:rsidRPr="00DD47DF" w:rsidRDefault="00E84661" w:rsidP="00CB1905">
            <w:pPr>
              <w:pStyle w:val="DAVA"/>
              <w:rPr>
                <w:rFonts w:ascii="Times New Roman" w:hAnsi="Times New Roman"/>
                <w:sz w:val="22"/>
                <w:szCs w:val="22"/>
              </w:rPr>
            </w:pPr>
            <w:r w:rsidRPr="00DD47DF">
              <w:rPr>
                <w:rFonts w:ascii="Times New Roman" w:hAnsi="Times New Roman"/>
                <w:sz w:val="22"/>
                <w:szCs w:val="22"/>
              </w:rPr>
              <w:t>Nové povinnosti stanovené zákonem o veřejných zakázkách a větší počet veřejných zakázek zadávaných podle zákona o veřejných zakázkách si vyžádaly doplnění pracovníků do útvaru OPVZK na MMR (gestor</w:t>
            </w:r>
            <w:r w:rsidR="0045099F" w:rsidRPr="00DD47DF">
              <w:rPr>
                <w:rFonts w:ascii="Times New Roman" w:hAnsi="Times New Roman"/>
                <w:sz w:val="22"/>
                <w:szCs w:val="22"/>
              </w:rPr>
              <w:t xml:space="preserve"> zákona o veřejných zakázkách).</w:t>
            </w:r>
            <w:r w:rsidR="00CB1905" w:rsidRPr="00DD47DF">
              <w:rPr>
                <w:rFonts w:cs="Arial"/>
                <w:sz w:val="18"/>
                <w:szCs w:val="18"/>
              </w:rPr>
              <w:t xml:space="preserve"> </w:t>
            </w:r>
            <w:r w:rsidR="00CB1905" w:rsidRPr="00DD47DF">
              <w:rPr>
                <w:rFonts w:ascii="Times New Roman" w:hAnsi="Times New Roman"/>
                <w:sz w:val="22"/>
                <w:szCs w:val="22"/>
              </w:rPr>
              <w:t xml:space="preserve">MMR-NOK z analýz potřeb administrativní kapacity jednotlivých ŘO zpracoval Souhrnnou závěrečnou zprávu. </w:t>
            </w:r>
          </w:p>
          <w:p w14:paraId="30602D74" w14:textId="77777777" w:rsidR="00E84661" w:rsidRPr="00DD47DF" w:rsidRDefault="00E84661" w:rsidP="0045099F">
            <w:pPr>
              <w:pStyle w:val="DAVA"/>
              <w:spacing w:before="80" w:after="80"/>
              <w:rPr>
                <w:rFonts w:ascii="Times New Roman" w:hAnsi="Times New Roman"/>
                <w:sz w:val="22"/>
                <w:szCs w:val="22"/>
              </w:rPr>
            </w:pPr>
          </w:p>
          <w:p w14:paraId="74BC9188" w14:textId="77777777" w:rsidR="007550DD" w:rsidRPr="00DD47DF" w:rsidRDefault="007550DD" w:rsidP="006D2F5F">
            <w:pPr>
              <w:pStyle w:val="Tabulka"/>
              <w:jc w:val="left"/>
              <w:rPr>
                <w:rFonts w:cs="Calibri"/>
              </w:rPr>
            </w:pPr>
            <w:r w:rsidRPr="00DD47DF">
              <w:rPr>
                <w:rFonts w:cs="Calibri"/>
              </w:rPr>
              <w:t xml:space="preserve">ŘO: plnění </w:t>
            </w:r>
            <w:r w:rsidR="002379E9">
              <w:rPr>
                <w:rFonts w:cs="Calibri"/>
              </w:rPr>
              <w:t>ČÁSTEČNĚ</w:t>
            </w:r>
          </w:p>
          <w:p w14:paraId="0127F8CF" w14:textId="77777777" w:rsidR="00790A0D" w:rsidRPr="00DD47DF" w:rsidRDefault="00790A0D" w:rsidP="006D2F5F">
            <w:pPr>
              <w:pStyle w:val="Tabulka"/>
              <w:jc w:val="left"/>
              <w:rPr>
                <w:rFonts w:cs="Calibri"/>
              </w:rPr>
            </w:pPr>
            <w:r w:rsidRPr="00DD47DF">
              <w:rPr>
                <w:rFonts w:cs="Calibri"/>
              </w:rPr>
              <w:t xml:space="preserve">V rámci OP PIK je správní kapacita zajištěna, průběžné doplnění administrativní kapacity bude řešeno dle potřeb. V souvislosti se vzrůstající náročností agendy týkající se zadávání veřejných zakázek </w:t>
            </w:r>
            <w:r w:rsidR="00E362C2" w:rsidRPr="00DD47DF">
              <w:rPr>
                <w:rFonts w:cs="Calibri"/>
              </w:rPr>
              <w:t xml:space="preserve">existuje v rámci organizační struktury ŘO oddělení </w:t>
            </w:r>
            <w:r w:rsidRPr="00DD47DF">
              <w:rPr>
                <w:rFonts w:cs="Calibri"/>
              </w:rPr>
              <w:t>kontroly výběrových řízení</w:t>
            </w:r>
            <w:r w:rsidR="00E362C2" w:rsidRPr="00DD47DF">
              <w:rPr>
                <w:rFonts w:cs="Calibri"/>
              </w:rPr>
              <w:t xml:space="preserve"> s kapacitou 8 zaměstnanců</w:t>
            </w:r>
            <w:r w:rsidRPr="00DD47DF">
              <w:rPr>
                <w:rFonts w:cs="Calibri"/>
              </w:rPr>
              <w:t>. V případě potřeby bude v budoucnosti posílen o další zaměstnance.</w:t>
            </w:r>
          </w:p>
          <w:p w14:paraId="7580CDF9" w14:textId="77777777" w:rsidR="00790A0D" w:rsidRPr="00DD47DF" w:rsidRDefault="007550DD" w:rsidP="006D2F5F">
            <w:pPr>
              <w:pStyle w:val="Tabulka"/>
              <w:jc w:val="left"/>
              <w:rPr>
                <w:rFonts w:cs="Calibri"/>
              </w:rPr>
            </w:pPr>
            <w:r w:rsidRPr="00DD47DF">
              <w:rPr>
                <w:rFonts w:cs="Calibri"/>
              </w:rPr>
              <w:t>Viz též Příloha II.</w:t>
            </w:r>
          </w:p>
        </w:tc>
      </w:tr>
      <w:tr w:rsidR="00790A0D" w:rsidRPr="00DD47DF" w14:paraId="2462FF2D" w14:textId="77777777" w:rsidTr="006D2F5F">
        <w:tc>
          <w:tcPr>
            <w:tcW w:w="1752" w:type="dxa"/>
            <w:vMerge w:val="restart"/>
            <w:shd w:val="clear" w:color="auto" w:fill="auto"/>
          </w:tcPr>
          <w:p w14:paraId="4234452E" w14:textId="77777777" w:rsidR="00790A0D" w:rsidRPr="00DD47DF" w:rsidRDefault="00790A0D" w:rsidP="006D2F5F">
            <w:pPr>
              <w:pStyle w:val="Tabulka"/>
              <w:jc w:val="left"/>
              <w:rPr>
                <w:rFonts w:cs="Calibri"/>
                <w:b/>
              </w:rPr>
            </w:pPr>
            <w:r w:rsidRPr="00DD47DF">
              <w:rPr>
                <w:rFonts w:cs="Calibri"/>
                <w:b/>
              </w:rPr>
              <w:lastRenderedPageBreak/>
              <w:t>Existence opatření pro účinné uplatňování právních předpisů Unie o veřejné podpoře v oblasti fondů ESI</w:t>
            </w:r>
          </w:p>
        </w:tc>
        <w:tc>
          <w:tcPr>
            <w:tcW w:w="1701" w:type="dxa"/>
            <w:vMerge w:val="restart"/>
            <w:shd w:val="clear" w:color="auto" w:fill="auto"/>
          </w:tcPr>
          <w:p w14:paraId="6A4EDBC3" w14:textId="77777777" w:rsidR="00790A0D" w:rsidRPr="00DD47DF" w:rsidRDefault="00790A0D" w:rsidP="006D2F5F">
            <w:pPr>
              <w:pStyle w:val="Tabulka"/>
              <w:jc w:val="left"/>
              <w:rPr>
                <w:rFonts w:cs="Calibri"/>
              </w:rPr>
            </w:pPr>
            <w:r w:rsidRPr="00DD47DF">
              <w:rPr>
                <w:rFonts w:cs="Calibri"/>
              </w:rPr>
              <w:t>PO1 - Rozvoj výzkumu a vývoje pro inovace</w:t>
            </w:r>
          </w:p>
          <w:p w14:paraId="6E51B0D0" w14:textId="77777777" w:rsidR="00790A0D" w:rsidRPr="00DD47DF" w:rsidRDefault="00790A0D" w:rsidP="006D2F5F">
            <w:pPr>
              <w:pStyle w:val="Tabulka"/>
              <w:jc w:val="left"/>
              <w:rPr>
                <w:rFonts w:cs="Calibri"/>
              </w:rPr>
            </w:pPr>
            <w:r w:rsidRPr="00DD47DF">
              <w:rPr>
                <w:rFonts w:cs="Calibri"/>
              </w:rPr>
              <w:t>PO2 - Rozvoj podnikání a konkurenceschopnosti malých a středních podniků</w:t>
            </w:r>
          </w:p>
          <w:p w14:paraId="4EF907C2" w14:textId="77777777" w:rsidR="00790A0D" w:rsidRPr="00DD47DF" w:rsidRDefault="00790A0D" w:rsidP="006D2F5F">
            <w:pPr>
              <w:pStyle w:val="Tabulka"/>
              <w:jc w:val="left"/>
              <w:rPr>
                <w:rFonts w:cs="Calibri"/>
              </w:rPr>
            </w:pPr>
            <w:r w:rsidRPr="00DD47DF">
              <w:rPr>
                <w:rFonts w:cs="Calibri"/>
              </w:rPr>
              <w:t>PO3 - Účinné nakládání energií, rozvoj energetické infrastruktury a obnovitelných zdrojů energie, podpora zavádění nových technologií v oblasti nakládání energií a druhotných surovin</w:t>
            </w:r>
          </w:p>
          <w:p w14:paraId="42AB8268" w14:textId="77777777" w:rsidR="00790A0D" w:rsidRPr="00DD47DF" w:rsidRDefault="00790A0D" w:rsidP="006D2F5F">
            <w:pPr>
              <w:pStyle w:val="Tabulka"/>
              <w:jc w:val="left"/>
              <w:rPr>
                <w:rFonts w:cs="Calibri"/>
              </w:rPr>
            </w:pPr>
            <w:r w:rsidRPr="00DD47DF">
              <w:rPr>
                <w:rFonts w:cs="Calibri"/>
              </w:rPr>
              <w:t>PO4 - Rozvoj vysokorychlostních přístupových sítí k internetu a informačních a komunikačních technologií</w:t>
            </w:r>
          </w:p>
          <w:p w14:paraId="48B69CF5" w14:textId="77777777" w:rsidR="00790A0D" w:rsidRPr="00DD47DF" w:rsidRDefault="00790A0D" w:rsidP="006D2F5F">
            <w:pPr>
              <w:pStyle w:val="Tabulka"/>
              <w:jc w:val="left"/>
              <w:rPr>
                <w:rFonts w:cs="Calibri"/>
              </w:rPr>
            </w:pPr>
          </w:p>
        </w:tc>
        <w:tc>
          <w:tcPr>
            <w:tcW w:w="1276" w:type="dxa"/>
            <w:vMerge w:val="restart"/>
            <w:shd w:val="clear" w:color="auto" w:fill="auto"/>
          </w:tcPr>
          <w:p w14:paraId="20B0404B" w14:textId="77777777" w:rsidR="00790A0D" w:rsidRPr="00DD47DF" w:rsidRDefault="00790A0D" w:rsidP="006D2F5F">
            <w:pPr>
              <w:pStyle w:val="Tabulka"/>
              <w:jc w:val="left"/>
              <w:rPr>
                <w:rFonts w:cs="Calibri"/>
              </w:rPr>
            </w:pPr>
            <w:r w:rsidRPr="00DD47DF">
              <w:rPr>
                <w:rFonts w:cs="Calibri"/>
              </w:rPr>
              <w:lastRenderedPageBreak/>
              <w:t>Částečně – plnění probíhá průběžně v závislosti na schvalování předpisů EK</w:t>
            </w:r>
          </w:p>
        </w:tc>
        <w:tc>
          <w:tcPr>
            <w:tcW w:w="1843" w:type="dxa"/>
            <w:shd w:val="clear" w:color="auto" w:fill="auto"/>
          </w:tcPr>
          <w:p w14:paraId="249F3632" w14:textId="77777777" w:rsidR="00790A0D" w:rsidRPr="00DD47DF" w:rsidRDefault="00790A0D" w:rsidP="006D2F5F">
            <w:pPr>
              <w:pStyle w:val="Tabulka"/>
              <w:jc w:val="left"/>
              <w:rPr>
                <w:rFonts w:cs="Calibri"/>
              </w:rPr>
            </w:pPr>
            <w:r w:rsidRPr="00DD47DF">
              <w:rPr>
                <w:rFonts w:cs="Calibri"/>
              </w:rPr>
              <w:t>Opatření pro účinné uplatňování pravidel Unie o státních podporách</w:t>
            </w:r>
          </w:p>
        </w:tc>
        <w:tc>
          <w:tcPr>
            <w:tcW w:w="1134" w:type="dxa"/>
            <w:shd w:val="clear" w:color="auto" w:fill="auto"/>
          </w:tcPr>
          <w:p w14:paraId="0AEED171" w14:textId="77777777" w:rsidR="00790A0D" w:rsidRPr="00DD47DF" w:rsidRDefault="00A0467F" w:rsidP="006D2F5F">
            <w:pPr>
              <w:pStyle w:val="Tabulka"/>
              <w:jc w:val="left"/>
              <w:rPr>
                <w:rFonts w:cs="Calibri"/>
              </w:rPr>
            </w:pPr>
            <w:r w:rsidRPr="00DD47DF">
              <w:rPr>
                <w:rFonts w:cs="Calibri"/>
              </w:rPr>
              <w:t>ne</w:t>
            </w:r>
          </w:p>
        </w:tc>
        <w:tc>
          <w:tcPr>
            <w:tcW w:w="2126" w:type="dxa"/>
            <w:shd w:val="clear" w:color="auto" w:fill="auto"/>
          </w:tcPr>
          <w:p w14:paraId="06E59526" w14:textId="77777777" w:rsidR="00790A0D" w:rsidRPr="00DD47DF" w:rsidRDefault="00790A0D" w:rsidP="006D2F5F">
            <w:pPr>
              <w:pStyle w:val="Tabulka"/>
              <w:jc w:val="left"/>
              <w:rPr>
                <w:rFonts w:cs="Calibri"/>
              </w:rPr>
            </w:pPr>
            <w:r w:rsidRPr="00DD47DF">
              <w:rPr>
                <w:rFonts w:cs="Calibri"/>
              </w:rPr>
              <w:t xml:space="preserve">Zákon č. 215/2004 Sb., </w:t>
            </w:r>
            <w:hyperlink r:id="rId83" w:history="1">
              <w:r w:rsidRPr="00DD47DF">
                <w:rPr>
                  <w:rStyle w:val="Hypertextovodkaz"/>
                  <w:rFonts w:cs="Calibri"/>
                </w:rPr>
                <w:t>http://www.uohs.cz/cs/legislativa/verejna-podpora.html</w:t>
              </w:r>
            </w:hyperlink>
          </w:p>
          <w:p w14:paraId="30979604" w14:textId="77777777" w:rsidR="00790A0D" w:rsidRPr="00DD47DF" w:rsidRDefault="00790A0D" w:rsidP="006D2F5F">
            <w:pPr>
              <w:pStyle w:val="Tabulka"/>
              <w:jc w:val="left"/>
              <w:rPr>
                <w:rFonts w:cs="Calibri"/>
              </w:rPr>
            </w:pPr>
          </w:p>
          <w:p w14:paraId="4262EEAB" w14:textId="77777777" w:rsidR="00790A0D" w:rsidRPr="00DD47DF" w:rsidRDefault="00790A0D" w:rsidP="006D2F5F">
            <w:pPr>
              <w:pStyle w:val="Tabulka"/>
              <w:jc w:val="left"/>
              <w:rPr>
                <w:rFonts w:cs="Calibri"/>
              </w:rPr>
            </w:pPr>
            <w:r w:rsidRPr="00DD47DF">
              <w:rPr>
                <w:rFonts w:cs="Calibri"/>
              </w:rPr>
              <w:t xml:space="preserve">Metodika finančních toků a kontroly </w:t>
            </w:r>
            <w:hyperlink r:id="rId84" w:history="1">
              <w:r w:rsidRPr="00DD47DF">
                <w:rPr>
                  <w:rStyle w:val="Hypertextovodkaz"/>
                  <w:rFonts w:cs="Calibri"/>
                </w:rPr>
                <w:t>http://www.mfcr.cz/cs/legislativa/metodiky/2014/metodika-financnich-toku-a-kontroly-prog-17121</w:t>
              </w:r>
            </w:hyperlink>
          </w:p>
          <w:p w14:paraId="686B0071" w14:textId="77777777" w:rsidR="00790A0D" w:rsidRPr="00DD47DF" w:rsidRDefault="00790A0D" w:rsidP="006D2F5F">
            <w:pPr>
              <w:pStyle w:val="Tabulka"/>
              <w:jc w:val="left"/>
              <w:rPr>
                <w:rFonts w:cs="Calibri"/>
              </w:rPr>
            </w:pPr>
          </w:p>
          <w:p w14:paraId="6BFCE596" w14:textId="77777777" w:rsidR="00790A0D" w:rsidRPr="00DD47DF" w:rsidRDefault="00790A0D" w:rsidP="006D2F5F">
            <w:pPr>
              <w:pStyle w:val="Tabulka"/>
              <w:jc w:val="left"/>
              <w:rPr>
                <w:rFonts w:cs="Calibri"/>
              </w:rPr>
            </w:pPr>
            <w:r w:rsidRPr="00DD47DF">
              <w:rPr>
                <w:rFonts w:cs="Calibri"/>
              </w:rPr>
              <w:t xml:space="preserve">Manuál služeb obecného hospodářského zájmu </w:t>
            </w:r>
            <w:hyperlink r:id="rId85" w:history="1">
              <w:r w:rsidRPr="00DD47DF">
                <w:rPr>
                  <w:rStyle w:val="Hypertextovodkaz"/>
                  <w:rFonts w:cs="Calibri"/>
                </w:rPr>
                <w:t>http://www.uohs.cz/cs/verejna-podpora/manualy-metodiky-a-dalsi-dokumenty.html</w:t>
              </w:r>
            </w:hyperlink>
            <w:r w:rsidRPr="00DD47DF">
              <w:rPr>
                <w:rFonts w:cs="Calibri"/>
              </w:rPr>
              <w:t>)</w:t>
            </w:r>
          </w:p>
          <w:p w14:paraId="600092F7" w14:textId="77777777" w:rsidR="00790A0D" w:rsidRPr="00DD47DF" w:rsidRDefault="00790A0D" w:rsidP="006D2F5F">
            <w:pPr>
              <w:pStyle w:val="Tabulka"/>
              <w:jc w:val="left"/>
              <w:rPr>
                <w:rFonts w:cs="Calibri"/>
              </w:rPr>
            </w:pPr>
            <w:r w:rsidRPr="00DD47DF">
              <w:rPr>
                <w:rFonts w:cs="Calibri"/>
              </w:rPr>
              <w:t>Centrální registr podpor malého rozsahu</w:t>
            </w:r>
          </w:p>
          <w:p w14:paraId="11130817" w14:textId="77777777" w:rsidR="00790A0D" w:rsidRPr="00DD47DF" w:rsidRDefault="00AF6FE3" w:rsidP="006D2F5F">
            <w:pPr>
              <w:pStyle w:val="Tabulka"/>
              <w:jc w:val="left"/>
              <w:rPr>
                <w:rFonts w:cs="Calibri"/>
              </w:rPr>
            </w:pPr>
            <w:hyperlink r:id="rId86" w:history="1">
              <w:r w:rsidR="00790A0D" w:rsidRPr="00DD47DF">
                <w:rPr>
                  <w:rStyle w:val="Hypertextovodkaz"/>
                  <w:rFonts w:cs="Calibri"/>
                </w:rPr>
                <w:t>http://eagri.cz/public/web/mze/farmar/registr-podpor-de-minimis/</w:t>
              </w:r>
            </w:hyperlink>
          </w:p>
        </w:tc>
        <w:tc>
          <w:tcPr>
            <w:tcW w:w="4394" w:type="dxa"/>
            <w:shd w:val="clear" w:color="auto" w:fill="auto"/>
          </w:tcPr>
          <w:p w14:paraId="222A2596" w14:textId="77777777" w:rsidR="0010102C" w:rsidRPr="00DD47DF" w:rsidRDefault="0010102C" w:rsidP="006D2F5F">
            <w:pPr>
              <w:pStyle w:val="Tabulka"/>
              <w:jc w:val="left"/>
              <w:rPr>
                <w:rFonts w:cs="Calibri"/>
              </w:rPr>
            </w:pPr>
            <w:r w:rsidRPr="00DD47DF">
              <w:rPr>
                <w:rFonts w:cs="Calibri"/>
              </w:rPr>
              <w:t xml:space="preserve">Gestor PP: Plnění </w:t>
            </w:r>
            <w:r w:rsidR="000529F1" w:rsidRPr="00DD47DF">
              <w:rPr>
                <w:rFonts w:cs="Calibri"/>
              </w:rPr>
              <w:t>ČÁSTEČNĚ</w:t>
            </w:r>
          </w:p>
          <w:p w14:paraId="45F0AD0E" w14:textId="77777777" w:rsidR="0010102C" w:rsidRPr="00DD47DF" w:rsidRDefault="0010102C" w:rsidP="0010102C">
            <w:pPr>
              <w:spacing w:before="80" w:after="80"/>
              <w:rPr>
                <w:sz w:val="22"/>
                <w:szCs w:val="22"/>
                <w:u w:val="single"/>
              </w:rPr>
            </w:pPr>
            <w:r w:rsidRPr="00DD47DF">
              <w:rPr>
                <w:sz w:val="22"/>
                <w:szCs w:val="22"/>
              </w:rPr>
              <w:t>Poskytovatel podpory podléhající pravidlům VP, spolupracuje s centrálním koordinačním orgánem (ÚOHS, MZe). Koord. orgány nastavují s poskytovateli programy v souladu s právními předpisy v oblasti VP (zákon č. 215/2004 Sb.) Na úrovni fondů je gestorem MMR.</w:t>
            </w:r>
          </w:p>
          <w:p w14:paraId="3D2BC974" w14:textId="77777777" w:rsidR="0010102C" w:rsidRPr="00DD47DF" w:rsidRDefault="0010102C" w:rsidP="0010102C">
            <w:pPr>
              <w:pStyle w:val="DAVA"/>
              <w:rPr>
                <w:rFonts w:ascii="Times New Roman" w:hAnsi="Times New Roman"/>
                <w:sz w:val="22"/>
                <w:szCs w:val="22"/>
              </w:rPr>
            </w:pPr>
            <w:r w:rsidRPr="00DD47DF">
              <w:rPr>
                <w:rFonts w:ascii="Times New Roman" w:hAnsi="Times New Roman"/>
                <w:sz w:val="22"/>
                <w:szCs w:val="22"/>
              </w:rPr>
              <w:t>Zákon č. 218/2000 Sb., zákon č. 250/2000 Sb., zákon č. 320/2001 Sb.</w:t>
            </w:r>
          </w:p>
          <w:p w14:paraId="53DC3909" w14:textId="77777777" w:rsidR="001D4563" w:rsidRPr="00DD47DF" w:rsidRDefault="001D4563" w:rsidP="0010102C">
            <w:pPr>
              <w:pStyle w:val="DAVA"/>
              <w:rPr>
                <w:rFonts w:ascii="Times New Roman" w:hAnsi="Times New Roman"/>
                <w:sz w:val="22"/>
                <w:szCs w:val="22"/>
              </w:rPr>
            </w:pPr>
            <w:r w:rsidRPr="00DD47DF">
              <w:rPr>
                <w:rFonts w:ascii="Times New Roman" w:hAnsi="Times New Roman"/>
                <w:sz w:val="22"/>
                <w:szCs w:val="22"/>
              </w:rPr>
              <w:t>Byla zajištěna nezbytná funkčnost MS 2014+ v oblasti VP a přenos dat mezi ním a centrálním registrem de minimis.</w:t>
            </w:r>
          </w:p>
          <w:p w14:paraId="4284FC90" w14:textId="77777777" w:rsidR="0010102C" w:rsidRPr="00DD47DF" w:rsidRDefault="00113F8F" w:rsidP="006D2F5F">
            <w:pPr>
              <w:pStyle w:val="Tabulka"/>
              <w:jc w:val="left"/>
            </w:pPr>
            <w:r>
              <w:t xml:space="preserve">Tento </w:t>
            </w:r>
            <w:r w:rsidR="0010102C" w:rsidRPr="00DD47DF">
              <w:t>uveden do souladu s požadavky legislativy EU.</w:t>
            </w:r>
            <w:r w:rsidR="0045099F" w:rsidRPr="00DD47DF">
              <w:t xml:space="preserve"> </w:t>
            </w:r>
            <w:r w:rsidR="0010102C" w:rsidRPr="00DD47DF">
              <w:t xml:space="preserve">Údaje o poskytnutých VP z ESI  fondů </w:t>
            </w:r>
            <w:r w:rsidR="001D4563" w:rsidRPr="00DD47DF">
              <w:t xml:space="preserve">jsou </w:t>
            </w:r>
            <w:r w:rsidR="0010102C" w:rsidRPr="00DD47DF">
              <w:t xml:space="preserve">obsaženy </w:t>
            </w:r>
            <w:r w:rsidR="00741565" w:rsidRPr="00DD47DF">
              <w:t>v monitorovacím systému MS2014+</w:t>
            </w:r>
            <w:r w:rsidR="0010102C" w:rsidRPr="00DD47DF">
              <w:t xml:space="preserve"> a budou k dispozici na centrální webové stránce.</w:t>
            </w:r>
          </w:p>
          <w:p w14:paraId="02DA088B" w14:textId="77777777" w:rsidR="003E7776" w:rsidRPr="00DD47DF" w:rsidRDefault="003E7776" w:rsidP="006D2F5F">
            <w:pPr>
              <w:pStyle w:val="Tabulka"/>
              <w:jc w:val="left"/>
              <w:rPr>
                <w:rFonts w:cs="Calibri"/>
              </w:rPr>
            </w:pPr>
            <w:r w:rsidRPr="00DD47DF">
              <w:t>ŘO: Plnění částečně</w:t>
            </w:r>
          </w:p>
          <w:p w14:paraId="01866303" w14:textId="77777777" w:rsidR="00790A0D" w:rsidRPr="00DD47DF" w:rsidRDefault="00790A0D" w:rsidP="006D2F5F">
            <w:pPr>
              <w:pStyle w:val="Tabulka"/>
              <w:jc w:val="left"/>
              <w:rPr>
                <w:rFonts w:cs="Calibri"/>
              </w:rPr>
            </w:pPr>
            <w:r w:rsidRPr="00DD47DF">
              <w:rPr>
                <w:rFonts w:cs="Calibri"/>
              </w:rPr>
              <w:t>ŘO OPPIK</w:t>
            </w:r>
            <w:r w:rsidR="003E7776" w:rsidRPr="00DD47DF">
              <w:rPr>
                <w:rFonts w:cs="Calibri"/>
              </w:rPr>
              <w:t xml:space="preserve"> vydává </w:t>
            </w:r>
            <w:r w:rsidRPr="00DD47DF">
              <w:rPr>
                <w:rFonts w:cs="Calibri"/>
              </w:rPr>
              <w:t xml:space="preserve"> interní metodický manuál, ve kterém upravuje postupy pro </w:t>
            </w:r>
            <w:r w:rsidR="00546E46" w:rsidRPr="00DD47DF">
              <w:rPr>
                <w:rFonts w:cs="Calibri"/>
              </w:rPr>
              <w:t>VP</w:t>
            </w:r>
            <w:r w:rsidRPr="00DD47DF">
              <w:rPr>
                <w:rFonts w:cs="Calibri"/>
              </w:rPr>
              <w:t xml:space="preserve"> a zapracovává pravidla </w:t>
            </w:r>
            <w:r w:rsidR="00546E46" w:rsidRPr="00DD47DF">
              <w:rPr>
                <w:rFonts w:cs="Calibri"/>
              </w:rPr>
              <w:t>VP</w:t>
            </w:r>
            <w:r w:rsidRPr="00DD47DF">
              <w:rPr>
                <w:rFonts w:cs="Calibri"/>
              </w:rPr>
              <w:t xml:space="preserve"> do dokumentace výzev včetně pravidel pro podpory malého rozsahu.</w:t>
            </w:r>
            <w:r w:rsidR="005237DD" w:rsidRPr="00DD47DF">
              <w:rPr>
                <w:rFonts w:cs="Calibri"/>
              </w:rPr>
              <w:t xml:space="preserve"> </w:t>
            </w:r>
          </w:p>
          <w:p w14:paraId="1B912B82" w14:textId="77777777" w:rsidR="00790A0D" w:rsidRPr="00DD47DF" w:rsidRDefault="00790A0D" w:rsidP="006D2F5F">
            <w:pPr>
              <w:pStyle w:val="Tabulka"/>
              <w:jc w:val="left"/>
              <w:rPr>
                <w:rFonts w:cs="Calibri"/>
              </w:rPr>
            </w:pPr>
            <w:r w:rsidRPr="00DD47DF">
              <w:rPr>
                <w:rFonts w:cs="Calibri"/>
              </w:rPr>
              <w:t>Navracení podpory, dodržování Deggendorf a kontrolní postupy: upraveno v interním metodickém manuálu. Kumulace VP: upraveno v dokumentaci k výzvám.</w:t>
            </w:r>
          </w:p>
          <w:p w14:paraId="2B3ED44B" w14:textId="77777777" w:rsidR="00790A0D" w:rsidRPr="00DD47DF" w:rsidRDefault="00A0467F" w:rsidP="006E0058">
            <w:pPr>
              <w:pStyle w:val="Tabulka"/>
              <w:jc w:val="left"/>
              <w:rPr>
                <w:rFonts w:cs="Calibri"/>
              </w:rPr>
            </w:pPr>
            <w:r w:rsidRPr="00DD47DF">
              <w:rPr>
                <w:rFonts w:cs="Calibri"/>
              </w:rPr>
              <w:t>V</w:t>
            </w:r>
            <w:r w:rsidR="00790A0D" w:rsidRPr="00DD47DF">
              <w:rPr>
                <w:rFonts w:cs="Calibri"/>
              </w:rPr>
              <w:t xml:space="preserve">iz </w:t>
            </w:r>
            <w:r w:rsidRPr="00DD47DF">
              <w:rPr>
                <w:rFonts w:cs="Calibri"/>
              </w:rPr>
              <w:t xml:space="preserve">též </w:t>
            </w:r>
            <w:r w:rsidR="00790A0D" w:rsidRPr="00DD47DF">
              <w:rPr>
                <w:rFonts w:cs="Calibri"/>
              </w:rPr>
              <w:t>Příloha II.</w:t>
            </w:r>
          </w:p>
        </w:tc>
      </w:tr>
      <w:tr w:rsidR="00790A0D" w:rsidRPr="00DD47DF" w14:paraId="035B39CC" w14:textId="77777777" w:rsidTr="006D2F5F">
        <w:tc>
          <w:tcPr>
            <w:tcW w:w="1752" w:type="dxa"/>
            <w:vMerge/>
            <w:shd w:val="clear" w:color="auto" w:fill="auto"/>
          </w:tcPr>
          <w:p w14:paraId="04E42CD8" w14:textId="77777777" w:rsidR="00790A0D" w:rsidRPr="00DD47DF" w:rsidRDefault="00790A0D" w:rsidP="006D2F5F">
            <w:pPr>
              <w:pStyle w:val="Tabulka"/>
              <w:jc w:val="left"/>
              <w:rPr>
                <w:rFonts w:cs="Calibri"/>
                <w:b/>
              </w:rPr>
            </w:pPr>
          </w:p>
        </w:tc>
        <w:tc>
          <w:tcPr>
            <w:tcW w:w="1701" w:type="dxa"/>
            <w:vMerge/>
            <w:shd w:val="clear" w:color="auto" w:fill="auto"/>
          </w:tcPr>
          <w:p w14:paraId="4098FAE0" w14:textId="77777777" w:rsidR="00790A0D" w:rsidRPr="00DD47DF" w:rsidRDefault="00790A0D" w:rsidP="006D2F5F">
            <w:pPr>
              <w:pStyle w:val="Tabulka"/>
              <w:jc w:val="left"/>
              <w:rPr>
                <w:rFonts w:cs="Calibri"/>
              </w:rPr>
            </w:pPr>
          </w:p>
        </w:tc>
        <w:tc>
          <w:tcPr>
            <w:tcW w:w="1276" w:type="dxa"/>
            <w:vMerge/>
            <w:shd w:val="clear" w:color="auto" w:fill="auto"/>
          </w:tcPr>
          <w:p w14:paraId="47DD3F80" w14:textId="77777777" w:rsidR="00790A0D" w:rsidRPr="00DD47DF" w:rsidRDefault="00790A0D" w:rsidP="006D2F5F">
            <w:pPr>
              <w:pStyle w:val="Tabulka"/>
              <w:jc w:val="left"/>
              <w:rPr>
                <w:rFonts w:cs="Calibri"/>
              </w:rPr>
            </w:pPr>
          </w:p>
        </w:tc>
        <w:tc>
          <w:tcPr>
            <w:tcW w:w="1843" w:type="dxa"/>
            <w:shd w:val="clear" w:color="auto" w:fill="auto"/>
          </w:tcPr>
          <w:p w14:paraId="0DD9E4AC" w14:textId="77777777" w:rsidR="00790A0D" w:rsidRPr="00DD47DF" w:rsidRDefault="00790A0D" w:rsidP="006D2F5F">
            <w:pPr>
              <w:pStyle w:val="Tabulka"/>
              <w:jc w:val="left"/>
              <w:rPr>
                <w:rFonts w:cs="Calibri"/>
              </w:rPr>
            </w:pPr>
            <w:r w:rsidRPr="00DD47DF">
              <w:rPr>
                <w:rFonts w:cs="Calibri"/>
              </w:rPr>
              <w:t>Opatření pro odbornou přípravu a šíření informací pro zaměstnance podílející se na provádění fondů ESI</w:t>
            </w:r>
          </w:p>
        </w:tc>
        <w:tc>
          <w:tcPr>
            <w:tcW w:w="1134" w:type="dxa"/>
            <w:shd w:val="clear" w:color="auto" w:fill="auto"/>
          </w:tcPr>
          <w:p w14:paraId="7B2665C9"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0B1BBEEB" w14:textId="77777777" w:rsidR="00790A0D" w:rsidRPr="00DD47DF" w:rsidRDefault="00AF6FE3" w:rsidP="006D2F5F">
            <w:pPr>
              <w:pStyle w:val="Tabulka"/>
              <w:jc w:val="left"/>
              <w:rPr>
                <w:rStyle w:val="Hypertextovodkaz"/>
                <w:rFonts w:cs="Calibri"/>
              </w:rPr>
            </w:pPr>
            <w:hyperlink r:id="rId87" w:history="1">
              <w:r w:rsidR="00790A0D" w:rsidRPr="00DD47DF">
                <w:rPr>
                  <w:rStyle w:val="Hypertextovodkaz"/>
                  <w:rFonts w:cs="Calibri"/>
                </w:rPr>
                <w:t>www.uohs.cz/cs/verejna-podpora/akuality-z-verejne-podpory.html</w:t>
              </w:r>
            </w:hyperlink>
          </w:p>
          <w:p w14:paraId="4277EA41" w14:textId="77777777" w:rsidR="00790A0D" w:rsidRPr="00DD47DF" w:rsidRDefault="00AF6FE3" w:rsidP="006D2F5F">
            <w:pPr>
              <w:pStyle w:val="Tabulka"/>
              <w:jc w:val="left"/>
              <w:rPr>
                <w:rStyle w:val="Hypertextovodkaz"/>
                <w:rFonts w:cs="Calibri"/>
              </w:rPr>
            </w:pPr>
            <w:hyperlink r:id="rId88" w:history="1">
              <w:r w:rsidR="00790A0D" w:rsidRPr="00DD47DF">
                <w:rPr>
                  <w:rStyle w:val="Hypertextovodkaz"/>
                  <w:rFonts w:cs="Calibri"/>
                </w:rPr>
                <w:t>http://www.vzdelavaninsrr.cz/</w:t>
              </w:r>
            </w:hyperlink>
          </w:p>
          <w:p w14:paraId="0D6291E3" w14:textId="77777777" w:rsidR="00790A0D" w:rsidRPr="00DD47DF" w:rsidRDefault="00790A0D" w:rsidP="006D2F5F">
            <w:pPr>
              <w:pStyle w:val="Tabulka"/>
              <w:jc w:val="left"/>
              <w:rPr>
                <w:rFonts w:cs="Calibri"/>
              </w:rPr>
            </w:pPr>
          </w:p>
          <w:p w14:paraId="198375E1" w14:textId="77777777" w:rsidR="00790A0D" w:rsidRPr="00DD47DF" w:rsidRDefault="00AF6FE3" w:rsidP="006D2F5F">
            <w:pPr>
              <w:pStyle w:val="Tabulka"/>
              <w:jc w:val="left"/>
              <w:rPr>
                <w:rStyle w:val="Hypertextovodkaz"/>
                <w:rFonts w:cs="Calibri"/>
              </w:rPr>
            </w:pPr>
            <w:hyperlink r:id="rId89" w:history="1">
              <w:r w:rsidR="00790A0D" w:rsidRPr="00DD47DF">
                <w:rPr>
                  <w:rStyle w:val="Hypertextovodkaz"/>
                  <w:rFonts w:cs="Calibri"/>
                </w:rPr>
                <w:t>www.strukturalni-fondy.cz</w:t>
              </w:r>
            </w:hyperlink>
          </w:p>
          <w:p w14:paraId="634DE5FE" w14:textId="77777777" w:rsidR="00790A0D" w:rsidRPr="00DD47DF" w:rsidRDefault="00790A0D" w:rsidP="006D2F5F">
            <w:pPr>
              <w:pStyle w:val="Tabulka"/>
              <w:jc w:val="left"/>
              <w:rPr>
                <w:rFonts w:cs="Calibri"/>
              </w:rPr>
            </w:pPr>
          </w:p>
          <w:p w14:paraId="3E7D3663" w14:textId="77777777" w:rsidR="00790A0D" w:rsidRPr="00DD47DF" w:rsidRDefault="00AF6FE3" w:rsidP="006D2F5F">
            <w:pPr>
              <w:pStyle w:val="Tabulka"/>
              <w:jc w:val="left"/>
              <w:rPr>
                <w:rFonts w:cs="Calibri"/>
              </w:rPr>
            </w:pPr>
            <w:hyperlink r:id="rId90" w:history="1">
              <w:r w:rsidR="00790A0D" w:rsidRPr="00DD47DF">
                <w:rPr>
                  <w:rStyle w:val="Hypertextovodkaz"/>
                </w:rPr>
                <w:t>http://www.strukturalni-fondy.cz/cs/Fondy-EU/2014-2020/Metodicke-pokyny/Metodika-rozvoje-lidskych-zdroju</w:t>
              </w:r>
            </w:hyperlink>
          </w:p>
        </w:tc>
        <w:tc>
          <w:tcPr>
            <w:tcW w:w="4394" w:type="dxa"/>
            <w:shd w:val="clear" w:color="auto" w:fill="auto"/>
          </w:tcPr>
          <w:p w14:paraId="649C4A21" w14:textId="77777777" w:rsidR="00146977" w:rsidRPr="00DD47DF" w:rsidRDefault="00146977" w:rsidP="006D2F5F">
            <w:pPr>
              <w:pStyle w:val="Tabulka"/>
              <w:jc w:val="left"/>
              <w:rPr>
                <w:rFonts w:cs="Calibri"/>
              </w:rPr>
            </w:pPr>
            <w:r w:rsidRPr="00DD47DF">
              <w:rPr>
                <w:rFonts w:cs="Calibri"/>
              </w:rPr>
              <w:t>Gestor PP: Plnění ANO</w:t>
            </w:r>
          </w:p>
          <w:p w14:paraId="5AD4CFD8" w14:textId="77777777" w:rsidR="00146977" w:rsidRPr="00DD47DF" w:rsidRDefault="00146977" w:rsidP="00146977">
            <w:pPr>
              <w:pStyle w:val="DAVA"/>
              <w:rPr>
                <w:rFonts w:ascii="Times New Roman" w:hAnsi="Times New Roman"/>
                <w:sz w:val="22"/>
                <w:szCs w:val="22"/>
              </w:rPr>
            </w:pPr>
            <w:r w:rsidRPr="00DD47DF">
              <w:rPr>
                <w:rFonts w:ascii="Times New Roman" w:hAnsi="Times New Roman"/>
                <w:sz w:val="22"/>
                <w:szCs w:val="22"/>
              </w:rPr>
              <w:t>ÚOHS školí průběžně poskytovatele VP</w:t>
            </w:r>
            <w:r w:rsidRPr="00DD47DF">
              <w:rPr>
                <w:sz w:val="22"/>
                <w:szCs w:val="22"/>
              </w:rPr>
              <w:t xml:space="preserve">. </w:t>
            </w:r>
            <w:r w:rsidRPr="00DD47DF">
              <w:rPr>
                <w:rFonts w:ascii="Times New Roman" w:hAnsi="Times New Roman"/>
                <w:sz w:val="22"/>
                <w:szCs w:val="22"/>
              </w:rPr>
              <w:t>MMR-NOK (ve spol.</w:t>
            </w:r>
            <w:r w:rsidR="0045099F" w:rsidRPr="00DD47DF">
              <w:rPr>
                <w:rFonts w:ascii="Times New Roman" w:hAnsi="Times New Roman"/>
                <w:sz w:val="22"/>
                <w:szCs w:val="22"/>
              </w:rPr>
              <w:t xml:space="preserve"> </w:t>
            </w:r>
            <w:r w:rsidRPr="00DD47DF">
              <w:rPr>
                <w:rFonts w:ascii="Times New Roman" w:hAnsi="Times New Roman"/>
                <w:sz w:val="22"/>
                <w:szCs w:val="22"/>
              </w:rPr>
              <w:t>s Ú</w:t>
            </w:r>
            <w:r w:rsidR="00A11F27" w:rsidRPr="00DD47DF">
              <w:rPr>
                <w:rFonts w:ascii="Times New Roman" w:hAnsi="Times New Roman"/>
                <w:sz w:val="22"/>
                <w:szCs w:val="22"/>
              </w:rPr>
              <w:t>OHS) vydává metodické dokumenty</w:t>
            </w:r>
            <w:r w:rsidRPr="00DD47DF">
              <w:rPr>
                <w:rFonts w:ascii="Times New Roman" w:hAnsi="Times New Roman"/>
                <w:sz w:val="22"/>
                <w:szCs w:val="22"/>
              </w:rPr>
              <w:t>. ÚOHS rovněž zabezpečuje, aby byly všechny informace zaslané EK postoupeny poskytovatelům.</w:t>
            </w:r>
          </w:p>
          <w:p w14:paraId="313674FA" w14:textId="77777777" w:rsidR="00146977" w:rsidRPr="00DD47DF" w:rsidRDefault="00146977" w:rsidP="00146977">
            <w:pPr>
              <w:pStyle w:val="Tabulka"/>
              <w:jc w:val="left"/>
            </w:pPr>
            <w:r w:rsidRPr="00DD47DF">
              <w:t xml:space="preserve">Ustanovena PS VP. Aktuální informace k VP  dostupné na: </w:t>
            </w:r>
            <w:hyperlink r:id="rId91" w:history="1">
              <w:r w:rsidRPr="00DD47DF">
                <w:rPr>
                  <w:rStyle w:val="Hypertextovodkaz"/>
                </w:rPr>
                <w:t>www.uohs.cz/cs/verejna-podpora.html</w:t>
              </w:r>
            </w:hyperlink>
            <w:r w:rsidRPr="00DD47DF">
              <w:t>. Pro oblast ESI fondů:</w:t>
            </w:r>
            <w:hyperlink r:id="rId92" w:history="1">
              <w:r w:rsidRPr="00DD47DF">
                <w:rPr>
                  <w:rStyle w:val="Hypertextovodkaz"/>
                </w:rPr>
                <w:t>www.strukturalni-fondy.cz</w:t>
              </w:r>
            </w:hyperlink>
            <w:r w:rsidRPr="00DD47DF">
              <w:t>.</w:t>
            </w:r>
          </w:p>
          <w:p w14:paraId="113256B1" w14:textId="77777777" w:rsidR="00146977" w:rsidRPr="00DD47DF" w:rsidRDefault="00146977" w:rsidP="00146977">
            <w:pPr>
              <w:pStyle w:val="Tabulka"/>
              <w:jc w:val="left"/>
              <w:rPr>
                <w:rFonts w:cs="Calibri"/>
              </w:rPr>
            </w:pPr>
            <w:r w:rsidRPr="00DD47DF">
              <w:t>ŘO: Plnění ANO</w:t>
            </w:r>
          </w:p>
          <w:p w14:paraId="53347CCC" w14:textId="77777777" w:rsidR="00790A0D" w:rsidRPr="00DD47DF" w:rsidRDefault="00790A0D" w:rsidP="006D2F5F">
            <w:pPr>
              <w:pStyle w:val="Tabulka"/>
              <w:jc w:val="left"/>
              <w:rPr>
                <w:rFonts w:cs="Calibri"/>
              </w:rPr>
            </w:pPr>
            <w:r w:rsidRPr="00DD47DF">
              <w:rPr>
                <w:rFonts w:cs="Calibri"/>
              </w:rPr>
              <w:t>Zaměstnanci odpovědní za oblast veřejné podpory v OP PIK jsou zapojeni do Systému vzdělávání a již nyní se účastní různých školení</w:t>
            </w:r>
            <w:r w:rsidR="0047764E" w:rsidRPr="00DD47DF">
              <w:rPr>
                <w:rFonts w:cs="Calibri"/>
              </w:rPr>
              <w:t>.</w:t>
            </w:r>
            <w:r w:rsidRPr="00DD47DF">
              <w:rPr>
                <w:rFonts w:cs="Calibri"/>
              </w:rPr>
              <w:t xml:space="preserve"> Probíhá aktivní konzultace s ÚOHS a zároveň je zajištěna účast na pracovní skupině MMR k veřejné podpoře za účasti ÚOHS. V rámci přípravy OP PIK se problematika veřejné podpory diskutuje na příslušných</w:t>
            </w:r>
            <w:r w:rsidR="000C6CF5" w:rsidRPr="00DD47DF">
              <w:rPr>
                <w:rFonts w:cs="Calibri"/>
              </w:rPr>
              <w:t xml:space="preserve"> školeních a</w:t>
            </w:r>
            <w:r w:rsidRPr="00DD47DF">
              <w:rPr>
                <w:rFonts w:cs="Calibri"/>
              </w:rPr>
              <w:t xml:space="preserve"> pracovních skupinách, které tvoří obsah OP. Tyto skupiny slouží k šíření a sdílení informací o veřejné podpoře uvnitř ŘO OP PIK.</w:t>
            </w:r>
          </w:p>
          <w:p w14:paraId="1FA4764D" w14:textId="77777777" w:rsidR="00790A0D" w:rsidRPr="00DD47DF" w:rsidRDefault="00790A0D" w:rsidP="0008678F">
            <w:pPr>
              <w:pStyle w:val="Tabulka"/>
              <w:jc w:val="left"/>
              <w:rPr>
                <w:rFonts w:cs="Calibri"/>
              </w:rPr>
            </w:pPr>
            <w:r w:rsidRPr="00DD47DF">
              <w:rPr>
                <w:rFonts w:cs="Calibri"/>
              </w:rPr>
              <w:t xml:space="preserve">Specifické naplňování na národní úrovni </w:t>
            </w:r>
            <w:r w:rsidR="00A0467F" w:rsidRPr="00DD47DF">
              <w:rPr>
                <w:rFonts w:cs="Calibri"/>
              </w:rPr>
              <w:t>-  viz Příloha II</w:t>
            </w:r>
            <w:r w:rsidRPr="00DD47DF">
              <w:rPr>
                <w:rFonts w:cs="Calibri"/>
              </w:rPr>
              <w:t>.</w:t>
            </w:r>
          </w:p>
        </w:tc>
      </w:tr>
      <w:tr w:rsidR="00790A0D" w:rsidRPr="00DD47DF" w14:paraId="50163E0E" w14:textId="77777777" w:rsidTr="006D2F5F">
        <w:tc>
          <w:tcPr>
            <w:tcW w:w="1752" w:type="dxa"/>
            <w:vMerge/>
            <w:shd w:val="clear" w:color="auto" w:fill="auto"/>
          </w:tcPr>
          <w:p w14:paraId="5DC50812" w14:textId="77777777" w:rsidR="00790A0D" w:rsidRPr="00DD47DF" w:rsidRDefault="00790A0D" w:rsidP="006D2F5F">
            <w:pPr>
              <w:pStyle w:val="Tabulka"/>
              <w:jc w:val="left"/>
              <w:rPr>
                <w:rFonts w:cs="Calibri"/>
                <w:b/>
              </w:rPr>
            </w:pPr>
          </w:p>
        </w:tc>
        <w:tc>
          <w:tcPr>
            <w:tcW w:w="1701" w:type="dxa"/>
            <w:vMerge/>
            <w:shd w:val="clear" w:color="auto" w:fill="auto"/>
          </w:tcPr>
          <w:p w14:paraId="6AD386E2" w14:textId="77777777" w:rsidR="00790A0D" w:rsidRPr="00DD47DF" w:rsidRDefault="00790A0D" w:rsidP="006D2F5F">
            <w:pPr>
              <w:pStyle w:val="Tabulka"/>
              <w:jc w:val="left"/>
              <w:rPr>
                <w:rFonts w:cs="Calibri"/>
              </w:rPr>
            </w:pPr>
          </w:p>
        </w:tc>
        <w:tc>
          <w:tcPr>
            <w:tcW w:w="1276" w:type="dxa"/>
            <w:vMerge/>
            <w:shd w:val="clear" w:color="auto" w:fill="auto"/>
          </w:tcPr>
          <w:p w14:paraId="4FEA7EF7" w14:textId="77777777" w:rsidR="00790A0D" w:rsidRPr="00DD47DF" w:rsidRDefault="00790A0D" w:rsidP="006D2F5F">
            <w:pPr>
              <w:pStyle w:val="Tabulka"/>
              <w:jc w:val="left"/>
              <w:rPr>
                <w:rFonts w:cs="Calibri"/>
              </w:rPr>
            </w:pPr>
          </w:p>
        </w:tc>
        <w:tc>
          <w:tcPr>
            <w:tcW w:w="1843" w:type="dxa"/>
            <w:shd w:val="clear" w:color="auto" w:fill="auto"/>
          </w:tcPr>
          <w:p w14:paraId="7215B51A" w14:textId="77777777" w:rsidR="00790A0D" w:rsidRPr="00DD47DF" w:rsidRDefault="00790A0D" w:rsidP="006D2F5F">
            <w:pPr>
              <w:pStyle w:val="Tabulka"/>
              <w:jc w:val="left"/>
              <w:rPr>
                <w:rFonts w:cs="Calibri"/>
              </w:rPr>
            </w:pPr>
            <w:r w:rsidRPr="00DD47DF">
              <w:rPr>
                <w:rFonts w:cs="Calibri"/>
              </w:rPr>
              <w:t xml:space="preserve">Opatření k zajištění správní kapacity pro provádění a uplatňování právních předpisů Unie o státních </w:t>
            </w:r>
            <w:r w:rsidRPr="00DD47DF">
              <w:rPr>
                <w:rFonts w:cs="Calibri"/>
              </w:rPr>
              <w:lastRenderedPageBreak/>
              <w:t>podporách</w:t>
            </w:r>
          </w:p>
        </w:tc>
        <w:tc>
          <w:tcPr>
            <w:tcW w:w="1134" w:type="dxa"/>
            <w:shd w:val="clear" w:color="auto" w:fill="auto"/>
          </w:tcPr>
          <w:p w14:paraId="45D18B73" w14:textId="77777777" w:rsidR="00790A0D" w:rsidRPr="00DD47DF" w:rsidRDefault="00A0467F" w:rsidP="006D2F5F">
            <w:pPr>
              <w:pStyle w:val="Tabulka"/>
              <w:jc w:val="left"/>
              <w:rPr>
                <w:rFonts w:cs="Calibri"/>
              </w:rPr>
            </w:pPr>
            <w:r w:rsidRPr="00DD47DF">
              <w:rPr>
                <w:rFonts w:cs="Calibri"/>
              </w:rPr>
              <w:lastRenderedPageBreak/>
              <w:t>ne</w:t>
            </w:r>
          </w:p>
        </w:tc>
        <w:tc>
          <w:tcPr>
            <w:tcW w:w="2126" w:type="dxa"/>
            <w:shd w:val="clear" w:color="auto" w:fill="auto"/>
          </w:tcPr>
          <w:p w14:paraId="12DF8EED" w14:textId="77777777" w:rsidR="00790A0D" w:rsidRPr="00DD47DF" w:rsidRDefault="00AF6FE3" w:rsidP="006D2F5F">
            <w:pPr>
              <w:pStyle w:val="Tabulka"/>
              <w:jc w:val="left"/>
            </w:pPr>
            <w:hyperlink r:id="rId93" w:history="1">
              <w:r w:rsidR="00790A0D" w:rsidRPr="00DD47DF">
                <w:rPr>
                  <w:rStyle w:val="Hypertextovodkaz"/>
                </w:rPr>
                <w:t>www.compet.cz</w:t>
              </w:r>
            </w:hyperlink>
          </w:p>
          <w:p w14:paraId="257ACCE7" w14:textId="77777777" w:rsidR="00790A0D" w:rsidRPr="00DD47DF" w:rsidRDefault="00AF6FE3" w:rsidP="006D2F5F">
            <w:pPr>
              <w:pStyle w:val="Tabulka"/>
              <w:jc w:val="left"/>
            </w:pPr>
            <w:hyperlink r:id="rId94" w:history="1">
              <w:r w:rsidR="00790A0D" w:rsidRPr="00DD47DF">
                <w:rPr>
                  <w:rStyle w:val="Hypertextovodkaz"/>
                </w:rPr>
                <w:t>www.mze.cz</w:t>
              </w:r>
            </w:hyperlink>
          </w:p>
          <w:p w14:paraId="7313733C" w14:textId="77777777" w:rsidR="00790A0D" w:rsidRPr="00DD47DF" w:rsidRDefault="00AF6FE3" w:rsidP="006D2F5F">
            <w:pPr>
              <w:pStyle w:val="Tabulka"/>
              <w:jc w:val="left"/>
              <w:rPr>
                <w:rFonts w:cs="Calibri"/>
              </w:rPr>
            </w:pPr>
            <w:hyperlink r:id="rId95" w:history="1">
              <w:r w:rsidR="00790A0D" w:rsidRPr="00DD47DF">
                <w:rPr>
                  <w:rStyle w:val="Hypertextovodkaz"/>
                </w:rPr>
                <w:t>www.strukturalni-fondy.cz</w:t>
              </w:r>
            </w:hyperlink>
          </w:p>
          <w:p w14:paraId="4C38C347" w14:textId="77777777" w:rsidR="00790A0D" w:rsidRPr="00DD47DF" w:rsidRDefault="00790A0D" w:rsidP="006D2F5F">
            <w:pPr>
              <w:pStyle w:val="Tabulka"/>
              <w:jc w:val="left"/>
              <w:rPr>
                <w:rFonts w:cs="Calibri"/>
              </w:rPr>
            </w:pPr>
          </w:p>
          <w:p w14:paraId="38A845A6" w14:textId="77777777" w:rsidR="00790A0D" w:rsidRPr="00DD47DF" w:rsidRDefault="00790A0D" w:rsidP="006D2F5F">
            <w:pPr>
              <w:pStyle w:val="Tabulka"/>
              <w:jc w:val="left"/>
              <w:rPr>
                <w:rFonts w:cs="Calibri"/>
              </w:rPr>
            </w:pPr>
          </w:p>
          <w:p w14:paraId="2A84B664" w14:textId="77777777" w:rsidR="00790A0D" w:rsidRPr="00DD47DF" w:rsidRDefault="00790A0D" w:rsidP="006D2F5F">
            <w:pPr>
              <w:pStyle w:val="Tabulka"/>
              <w:jc w:val="left"/>
              <w:rPr>
                <w:rFonts w:cs="Calibri"/>
              </w:rPr>
            </w:pPr>
          </w:p>
        </w:tc>
        <w:tc>
          <w:tcPr>
            <w:tcW w:w="4394" w:type="dxa"/>
            <w:shd w:val="clear" w:color="auto" w:fill="auto"/>
          </w:tcPr>
          <w:p w14:paraId="4055DFF0" w14:textId="77777777" w:rsidR="00D725AE" w:rsidRPr="00DD47DF" w:rsidRDefault="00D725AE" w:rsidP="006D2F5F">
            <w:pPr>
              <w:pStyle w:val="Tabulka"/>
              <w:jc w:val="left"/>
              <w:rPr>
                <w:rFonts w:cs="Calibri"/>
              </w:rPr>
            </w:pPr>
            <w:r w:rsidRPr="00DD47DF">
              <w:rPr>
                <w:rFonts w:cs="Calibri"/>
              </w:rPr>
              <w:lastRenderedPageBreak/>
              <w:t xml:space="preserve">Gestor PP: Plnění </w:t>
            </w:r>
            <w:r w:rsidR="000529F1" w:rsidRPr="00DD47DF">
              <w:rPr>
                <w:rFonts w:cs="Calibri"/>
              </w:rPr>
              <w:t>ČÁSTEČNĚ</w:t>
            </w:r>
          </w:p>
          <w:p w14:paraId="397CCA36" w14:textId="77777777" w:rsidR="001D4563" w:rsidRPr="00DD47DF" w:rsidRDefault="00D725AE" w:rsidP="00D725AE">
            <w:pPr>
              <w:pStyle w:val="DAVA"/>
              <w:rPr>
                <w:sz w:val="22"/>
                <w:szCs w:val="22"/>
              </w:rPr>
            </w:pPr>
            <w:r w:rsidRPr="00DD47DF">
              <w:rPr>
                <w:rFonts w:ascii="Times New Roman" w:hAnsi="Times New Roman"/>
                <w:sz w:val="22"/>
                <w:szCs w:val="22"/>
              </w:rPr>
              <w:t>Centrálním koord. orgánem pro VP je ÚOHS</w:t>
            </w:r>
            <w:r w:rsidR="001D4563" w:rsidRPr="00DD47DF">
              <w:rPr>
                <w:rFonts w:ascii="Times New Roman" w:hAnsi="Times New Roman"/>
                <w:sz w:val="22"/>
                <w:szCs w:val="22"/>
              </w:rPr>
              <w:t>/</w:t>
            </w:r>
            <w:r w:rsidRPr="00DD47DF">
              <w:rPr>
                <w:rFonts w:ascii="Times New Roman" w:hAnsi="Times New Roman"/>
                <w:sz w:val="22"/>
                <w:szCs w:val="22"/>
              </w:rPr>
              <w:t>, MZe (zákon č. 215/2004 Sb.). Koord. a poradním orgánem pro řídící orgány v oblasti VP ESI je MMR-NOK</w:t>
            </w:r>
            <w:r w:rsidRPr="00DD47DF">
              <w:rPr>
                <w:sz w:val="22"/>
                <w:szCs w:val="22"/>
              </w:rPr>
              <w:t>.</w:t>
            </w:r>
          </w:p>
          <w:p w14:paraId="03665329" w14:textId="77777777" w:rsidR="00D725AE" w:rsidRPr="00DD47DF" w:rsidRDefault="001D4563" w:rsidP="00D725AE">
            <w:pPr>
              <w:pStyle w:val="DAVA"/>
              <w:rPr>
                <w:rFonts w:ascii="Times New Roman" w:hAnsi="Times New Roman"/>
                <w:sz w:val="22"/>
                <w:szCs w:val="22"/>
              </w:rPr>
            </w:pPr>
            <w:r w:rsidRPr="00DD47DF">
              <w:rPr>
                <w:rFonts w:ascii="Times New Roman" w:hAnsi="Times New Roman"/>
                <w:sz w:val="22"/>
                <w:szCs w:val="22"/>
              </w:rPr>
              <w:t xml:space="preserve">Vydáno Metodické doporučení pro </w:t>
            </w:r>
            <w:r w:rsidRPr="00DD47DF">
              <w:rPr>
                <w:rFonts w:ascii="Times New Roman" w:hAnsi="Times New Roman"/>
                <w:sz w:val="22"/>
                <w:szCs w:val="22"/>
              </w:rPr>
              <w:lastRenderedPageBreak/>
              <w:t xml:space="preserve">implementaci finančních nástrojů </w:t>
            </w:r>
            <w:r w:rsidR="00113F8F">
              <w:rPr>
                <w:rFonts w:ascii="Times New Roman" w:hAnsi="Times New Roman"/>
                <w:sz w:val="22"/>
                <w:szCs w:val="22"/>
              </w:rPr>
              <w:t>v programovém období 2014-2020.</w:t>
            </w:r>
          </w:p>
          <w:p w14:paraId="079101B2" w14:textId="77777777" w:rsidR="00D725AE" w:rsidRPr="00DD47DF" w:rsidRDefault="00D725AE" w:rsidP="00D725AE">
            <w:pPr>
              <w:pStyle w:val="Tabulka"/>
              <w:jc w:val="left"/>
            </w:pPr>
            <w:r w:rsidRPr="00DD47DF">
              <w:t>MMR-NOK (ve spol. s ÚOHS) vydává metodické dokumenty k VP.</w:t>
            </w:r>
          </w:p>
          <w:p w14:paraId="60FACD2C" w14:textId="77777777" w:rsidR="00D725AE" w:rsidRPr="00DD47DF" w:rsidRDefault="00D725AE" w:rsidP="006D2F5F">
            <w:pPr>
              <w:pStyle w:val="Tabulka"/>
              <w:jc w:val="left"/>
            </w:pPr>
            <w:r w:rsidRPr="00DD47DF">
              <w:t xml:space="preserve">ŘO: plnění </w:t>
            </w:r>
            <w:r w:rsidR="00706AA1">
              <w:t>ČÁSTEČNĚ</w:t>
            </w:r>
          </w:p>
          <w:p w14:paraId="109E0414" w14:textId="77777777" w:rsidR="006C26E7" w:rsidRPr="00DD47DF" w:rsidRDefault="00D725AE" w:rsidP="006D2F5F">
            <w:pPr>
              <w:pStyle w:val="Tabulka"/>
              <w:jc w:val="left"/>
              <w:rPr>
                <w:rFonts w:cs="Calibri"/>
              </w:rPr>
            </w:pPr>
            <w:r w:rsidRPr="00DD47DF">
              <w:rPr>
                <w:rFonts w:cs="Calibri"/>
              </w:rPr>
              <w:t>V</w:t>
            </w:r>
            <w:r w:rsidR="00790A0D" w:rsidRPr="00DD47DF">
              <w:rPr>
                <w:rFonts w:cs="Calibri"/>
              </w:rPr>
              <w:t xml:space="preserve"> rámci ŘO OP PIK v současné době správní kapacita zajištěna</w:t>
            </w:r>
            <w:r w:rsidR="00723FE7" w:rsidRPr="00DD47DF">
              <w:rPr>
                <w:rFonts w:cs="Calibri"/>
              </w:rPr>
              <w:t xml:space="preserve">, agendu zajišťují 2 pracovníci ŘO  a 1 pracovník </w:t>
            </w:r>
            <w:r w:rsidR="00A11F27" w:rsidRPr="00DD47DF">
              <w:rPr>
                <w:rFonts w:cs="Calibri"/>
              </w:rPr>
              <w:t xml:space="preserve">zprostředkujícího subjektu. </w:t>
            </w:r>
            <w:r w:rsidR="00790A0D" w:rsidRPr="00DD47DF">
              <w:rPr>
                <w:rFonts w:cs="Calibri"/>
              </w:rPr>
              <w:t xml:space="preserve">Agenda je v gesci oddělení </w:t>
            </w:r>
            <w:r w:rsidR="00291940">
              <w:rPr>
                <w:rFonts w:cs="Calibri"/>
              </w:rPr>
              <w:t>OP</w:t>
            </w:r>
            <w:r w:rsidR="00790A0D" w:rsidRPr="00DD47DF">
              <w:rPr>
                <w:rFonts w:cs="Calibri"/>
              </w:rPr>
              <w:t xml:space="preserve">, veřejné podpory a evaluace. Oblast je zajišťována stabilním týmem kvalifikovaných zaměstnanců. </w:t>
            </w:r>
            <w:r w:rsidRPr="00DD47DF">
              <w:rPr>
                <w:rFonts w:cs="Calibri"/>
              </w:rPr>
              <w:t>Tito p</w:t>
            </w:r>
            <w:r w:rsidR="00790A0D" w:rsidRPr="00DD47DF">
              <w:rPr>
                <w:rFonts w:cs="Calibri"/>
              </w:rPr>
              <w:t xml:space="preserve">racovníci metodicky řídí pracovníky </w:t>
            </w:r>
            <w:r w:rsidR="00723FE7" w:rsidRPr="00DD47DF">
              <w:rPr>
                <w:rFonts w:cs="Calibri"/>
              </w:rPr>
              <w:t>ZS</w:t>
            </w:r>
            <w:r w:rsidR="00790A0D" w:rsidRPr="00DD47DF">
              <w:rPr>
                <w:rFonts w:cs="Calibri"/>
              </w:rPr>
              <w:t>,</w:t>
            </w:r>
          </w:p>
          <w:p w14:paraId="190F26BE" w14:textId="77777777" w:rsidR="00790A0D" w:rsidRPr="00DD47DF" w:rsidRDefault="00790A0D" w:rsidP="006D2F5F">
            <w:pPr>
              <w:pStyle w:val="Tabulka"/>
              <w:jc w:val="left"/>
              <w:rPr>
                <w:rFonts w:cs="Calibri"/>
              </w:rPr>
            </w:pPr>
            <w:r w:rsidRPr="00DD47DF">
              <w:rPr>
                <w:rFonts w:cs="Calibri"/>
              </w:rPr>
              <w:t xml:space="preserve">kteří jsou pověření agendou </w:t>
            </w:r>
            <w:r w:rsidR="00723FE7" w:rsidRPr="00DD47DF">
              <w:rPr>
                <w:rFonts w:cs="Calibri"/>
              </w:rPr>
              <w:t>VP</w:t>
            </w:r>
            <w:r w:rsidRPr="00DD47DF">
              <w:rPr>
                <w:rFonts w:cs="Calibri"/>
              </w:rPr>
              <w:t xml:space="preserve"> a poskytují v případě potřeby ad hoc konzultace pracovníkům </w:t>
            </w:r>
            <w:r w:rsidR="00723FE7" w:rsidRPr="00DD47DF">
              <w:rPr>
                <w:rFonts w:cs="Calibri"/>
              </w:rPr>
              <w:t>IS</w:t>
            </w:r>
            <w:r w:rsidRPr="00DD47DF">
              <w:rPr>
                <w:rFonts w:cs="Calibri"/>
              </w:rPr>
              <w:t xml:space="preserve">. Stejný mechanismus bude aplikován i v případě OP PIK. </w:t>
            </w:r>
            <w:r w:rsidR="00431068" w:rsidRPr="00DD47DF">
              <w:rPr>
                <w:rFonts w:cs="Calibri"/>
              </w:rPr>
              <w:t>Na základě řízení lidských zdrojů a plánování administrativní kapacity může být případně kapacita pro zajištění uplatňování předpisů pro veřejnou podporu posílena.</w:t>
            </w:r>
          </w:p>
          <w:p w14:paraId="754E18B1" w14:textId="77777777" w:rsidR="00F1796E" w:rsidRPr="00DD47DF" w:rsidRDefault="00736B68" w:rsidP="00736B68">
            <w:pPr>
              <w:pStyle w:val="Tabulka"/>
              <w:jc w:val="left"/>
              <w:rPr>
                <w:rFonts w:cs="Calibri"/>
              </w:rPr>
            </w:pPr>
            <w:r w:rsidRPr="00DD47DF">
              <w:rPr>
                <w:rFonts w:cs="Calibri"/>
              </w:rPr>
              <w:t>V</w:t>
            </w:r>
            <w:r w:rsidR="00F1796E" w:rsidRPr="00DD47DF">
              <w:rPr>
                <w:rFonts w:cs="Calibri"/>
              </w:rPr>
              <w:t>iz Příloha II.</w:t>
            </w:r>
          </w:p>
        </w:tc>
      </w:tr>
      <w:tr w:rsidR="00790A0D" w:rsidRPr="00DD47DF" w14:paraId="52959726" w14:textId="77777777" w:rsidTr="006D2F5F">
        <w:tc>
          <w:tcPr>
            <w:tcW w:w="1752" w:type="dxa"/>
            <w:vMerge w:val="restart"/>
            <w:shd w:val="clear" w:color="auto" w:fill="auto"/>
          </w:tcPr>
          <w:p w14:paraId="00576D64" w14:textId="77777777" w:rsidR="00790A0D" w:rsidRPr="00DD47DF" w:rsidRDefault="00790A0D" w:rsidP="006D2F5F">
            <w:pPr>
              <w:pStyle w:val="Tabulka"/>
              <w:jc w:val="left"/>
              <w:rPr>
                <w:rFonts w:cs="Calibri"/>
                <w:b/>
              </w:rPr>
            </w:pPr>
            <w:r w:rsidRPr="00DD47DF">
              <w:rPr>
                <w:rFonts w:cs="Calibri"/>
                <w:b/>
              </w:rPr>
              <w:lastRenderedPageBreak/>
              <w:t xml:space="preserve">Existence opatření pro účinné uplatňování právních předpisů Unie </w:t>
            </w:r>
            <w:r w:rsidRPr="00DD47DF">
              <w:rPr>
                <w:rFonts w:cs="Calibri"/>
                <w:b/>
              </w:rPr>
              <w:lastRenderedPageBreak/>
              <w:t xml:space="preserve">pro oblast životního prostředí týkajících se EIA a SEA. </w:t>
            </w:r>
          </w:p>
          <w:p w14:paraId="350C41B0" w14:textId="77777777" w:rsidR="00790A0D" w:rsidRPr="00DD47DF" w:rsidRDefault="00790A0D" w:rsidP="006D2F5F">
            <w:pPr>
              <w:pStyle w:val="Tabulka"/>
              <w:jc w:val="left"/>
              <w:rPr>
                <w:rFonts w:cs="Calibri"/>
                <w:b/>
              </w:rPr>
            </w:pPr>
          </w:p>
          <w:p w14:paraId="3240C4CC" w14:textId="77777777" w:rsidR="00790A0D" w:rsidRPr="00DD47DF" w:rsidRDefault="00790A0D" w:rsidP="006D2F5F">
            <w:pPr>
              <w:pStyle w:val="Tabulka"/>
              <w:jc w:val="left"/>
              <w:rPr>
                <w:rFonts w:cs="Calibri"/>
                <w:b/>
              </w:rPr>
            </w:pPr>
          </w:p>
          <w:p w14:paraId="79CA8F63" w14:textId="77777777" w:rsidR="00790A0D" w:rsidRPr="00DD47DF" w:rsidRDefault="00790A0D" w:rsidP="006D2F5F">
            <w:pPr>
              <w:pStyle w:val="Tabulka"/>
              <w:jc w:val="left"/>
              <w:rPr>
                <w:rFonts w:cs="Calibri"/>
                <w:b/>
              </w:rPr>
            </w:pPr>
          </w:p>
          <w:p w14:paraId="6AEBBB87" w14:textId="77777777" w:rsidR="00790A0D" w:rsidRPr="00DD47DF" w:rsidRDefault="00790A0D" w:rsidP="006D2F5F">
            <w:pPr>
              <w:pStyle w:val="Tabulka"/>
              <w:jc w:val="left"/>
              <w:rPr>
                <w:rFonts w:cs="Calibri"/>
                <w:b/>
              </w:rPr>
            </w:pPr>
          </w:p>
          <w:p w14:paraId="70861FE7" w14:textId="77777777" w:rsidR="00790A0D" w:rsidRPr="00DD47DF" w:rsidRDefault="00790A0D" w:rsidP="006D2F5F">
            <w:pPr>
              <w:pStyle w:val="Tabulka"/>
              <w:jc w:val="left"/>
              <w:rPr>
                <w:rFonts w:cs="Calibri"/>
                <w:b/>
              </w:rPr>
            </w:pPr>
          </w:p>
          <w:p w14:paraId="6482D67B" w14:textId="77777777" w:rsidR="00790A0D" w:rsidRPr="00DD47DF" w:rsidRDefault="00790A0D" w:rsidP="006D2F5F">
            <w:pPr>
              <w:pStyle w:val="Tabulka"/>
              <w:jc w:val="left"/>
              <w:rPr>
                <w:rFonts w:cs="Calibri"/>
                <w:b/>
              </w:rPr>
            </w:pPr>
          </w:p>
          <w:p w14:paraId="0A6B0660" w14:textId="77777777" w:rsidR="00790A0D" w:rsidRPr="00DD47DF" w:rsidRDefault="00790A0D" w:rsidP="006D2F5F">
            <w:pPr>
              <w:pStyle w:val="Tabulka"/>
              <w:jc w:val="left"/>
              <w:rPr>
                <w:rFonts w:cs="Calibri"/>
                <w:b/>
              </w:rPr>
            </w:pPr>
          </w:p>
          <w:p w14:paraId="46E0549C" w14:textId="77777777" w:rsidR="00790A0D" w:rsidRPr="00DD47DF" w:rsidRDefault="00790A0D" w:rsidP="006D2F5F">
            <w:pPr>
              <w:pStyle w:val="Tabulka"/>
              <w:jc w:val="left"/>
              <w:rPr>
                <w:rFonts w:cs="Calibri"/>
                <w:b/>
              </w:rPr>
            </w:pPr>
          </w:p>
          <w:p w14:paraId="271AC64E" w14:textId="77777777" w:rsidR="00790A0D" w:rsidRPr="00DD47DF" w:rsidRDefault="00790A0D" w:rsidP="006D2F5F">
            <w:pPr>
              <w:pStyle w:val="Tabulka"/>
              <w:jc w:val="left"/>
              <w:rPr>
                <w:rFonts w:cs="Calibri"/>
                <w:b/>
              </w:rPr>
            </w:pPr>
          </w:p>
          <w:p w14:paraId="49366BD0" w14:textId="77777777" w:rsidR="00790A0D" w:rsidRPr="00DD47DF" w:rsidRDefault="00790A0D" w:rsidP="006D2F5F">
            <w:pPr>
              <w:pStyle w:val="Tabulka"/>
              <w:jc w:val="left"/>
              <w:rPr>
                <w:rFonts w:cs="Calibri"/>
                <w:b/>
              </w:rPr>
            </w:pPr>
          </w:p>
          <w:p w14:paraId="47D2DD5C" w14:textId="77777777" w:rsidR="00790A0D" w:rsidRPr="00DD47DF" w:rsidRDefault="00790A0D" w:rsidP="006D2F5F">
            <w:pPr>
              <w:pStyle w:val="Tabulka"/>
              <w:jc w:val="left"/>
              <w:rPr>
                <w:rFonts w:cs="Calibri"/>
                <w:b/>
              </w:rPr>
            </w:pPr>
          </w:p>
          <w:p w14:paraId="7F82E13E" w14:textId="77777777" w:rsidR="00790A0D" w:rsidRPr="00DD47DF" w:rsidRDefault="00790A0D" w:rsidP="006D2F5F">
            <w:pPr>
              <w:pStyle w:val="Tabulka"/>
              <w:jc w:val="left"/>
              <w:rPr>
                <w:rFonts w:cs="Calibri"/>
                <w:b/>
              </w:rPr>
            </w:pPr>
          </w:p>
        </w:tc>
        <w:tc>
          <w:tcPr>
            <w:tcW w:w="1701" w:type="dxa"/>
            <w:vMerge w:val="restart"/>
            <w:shd w:val="clear" w:color="auto" w:fill="auto"/>
          </w:tcPr>
          <w:p w14:paraId="5B080B05" w14:textId="77777777" w:rsidR="00790A0D" w:rsidRPr="00DD47DF" w:rsidRDefault="00790A0D" w:rsidP="006D2F5F">
            <w:pPr>
              <w:pStyle w:val="Tabulka"/>
              <w:jc w:val="left"/>
              <w:rPr>
                <w:rFonts w:cs="Calibri"/>
              </w:rPr>
            </w:pPr>
            <w:r w:rsidRPr="00DD47DF">
              <w:rPr>
                <w:rFonts w:cs="Calibri"/>
              </w:rPr>
              <w:lastRenderedPageBreak/>
              <w:t xml:space="preserve">PO3 - Účinné nakládání energií, rozvoj energetické infrastruktury a obnovitelných </w:t>
            </w:r>
            <w:r w:rsidRPr="00DD47DF">
              <w:rPr>
                <w:rFonts w:cs="Calibri"/>
              </w:rPr>
              <w:lastRenderedPageBreak/>
              <w:t>zdrojů energie, podpora zavádění nových technologií v oblasti nakládání energií a druhotných surovin</w:t>
            </w:r>
          </w:p>
          <w:p w14:paraId="5E9BB6A0" w14:textId="77777777" w:rsidR="00790A0D" w:rsidRPr="00DD47DF" w:rsidRDefault="00790A0D" w:rsidP="006D2F5F">
            <w:pPr>
              <w:pStyle w:val="Tabulka"/>
              <w:jc w:val="left"/>
              <w:rPr>
                <w:rFonts w:cs="Calibri"/>
              </w:rPr>
            </w:pPr>
          </w:p>
          <w:p w14:paraId="16BA02FA" w14:textId="77777777" w:rsidR="00790A0D" w:rsidRPr="00DD47DF" w:rsidRDefault="00790A0D" w:rsidP="006D2F5F">
            <w:pPr>
              <w:pStyle w:val="Tabulka"/>
              <w:jc w:val="left"/>
              <w:rPr>
                <w:rFonts w:cs="Calibri"/>
              </w:rPr>
            </w:pPr>
            <w:r w:rsidRPr="00DD47DF">
              <w:rPr>
                <w:rFonts w:cs="Calibri"/>
              </w:rPr>
              <w:t xml:space="preserve">a částečně: </w:t>
            </w:r>
          </w:p>
          <w:p w14:paraId="7910E50B" w14:textId="77777777" w:rsidR="00790A0D" w:rsidRPr="00DD47DF" w:rsidRDefault="00790A0D" w:rsidP="006D2F5F">
            <w:pPr>
              <w:pStyle w:val="Tabulka"/>
              <w:jc w:val="left"/>
              <w:rPr>
                <w:rFonts w:cs="Calibri"/>
              </w:rPr>
            </w:pPr>
            <w:r w:rsidRPr="00DD47DF">
              <w:rPr>
                <w:rFonts w:cs="Calibri"/>
              </w:rPr>
              <w:t>PO1 - Rozvoj výzkumu a vývoje pro inovace</w:t>
            </w:r>
          </w:p>
          <w:p w14:paraId="182FC7FE" w14:textId="77777777" w:rsidR="00790A0D" w:rsidRPr="00DD47DF" w:rsidRDefault="00790A0D" w:rsidP="006D2F5F">
            <w:pPr>
              <w:pStyle w:val="Tabulka"/>
              <w:jc w:val="left"/>
              <w:rPr>
                <w:rFonts w:cs="Calibri"/>
              </w:rPr>
            </w:pPr>
            <w:r w:rsidRPr="00DD47DF">
              <w:rPr>
                <w:rFonts w:cs="Calibri"/>
              </w:rPr>
              <w:t>PO2 - Rozvoj podnikání a konkurenceschopnosti malých a středních podniků</w:t>
            </w:r>
          </w:p>
          <w:p w14:paraId="7C180B73" w14:textId="77777777" w:rsidR="00790A0D" w:rsidRPr="00DD47DF" w:rsidRDefault="00790A0D" w:rsidP="006D2F5F">
            <w:pPr>
              <w:pStyle w:val="Tabulka"/>
              <w:jc w:val="left"/>
              <w:rPr>
                <w:rFonts w:cs="Calibri"/>
              </w:rPr>
            </w:pPr>
            <w:r w:rsidRPr="00DD47DF">
              <w:rPr>
                <w:rFonts w:cs="Calibri"/>
              </w:rPr>
              <w:t>PO4 - Rozvoj vysokorychlostních přístupových sítí k internetu a informačních a komunikačních technologií</w:t>
            </w:r>
          </w:p>
        </w:tc>
        <w:tc>
          <w:tcPr>
            <w:tcW w:w="1276" w:type="dxa"/>
            <w:vMerge w:val="restart"/>
            <w:shd w:val="clear" w:color="auto" w:fill="auto"/>
          </w:tcPr>
          <w:p w14:paraId="417C331D" w14:textId="77777777" w:rsidR="00790A0D" w:rsidRPr="00DD47DF" w:rsidRDefault="000634EB" w:rsidP="006D2F5F">
            <w:pPr>
              <w:pStyle w:val="Tabulka"/>
              <w:jc w:val="left"/>
              <w:rPr>
                <w:rFonts w:cs="Calibri"/>
              </w:rPr>
            </w:pPr>
            <w:r w:rsidRPr="00DD47DF">
              <w:rPr>
                <w:rFonts w:cs="Calibri"/>
              </w:rPr>
              <w:lastRenderedPageBreak/>
              <w:t>Ano</w:t>
            </w:r>
          </w:p>
          <w:p w14:paraId="54C1AE95" w14:textId="77777777" w:rsidR="00790A0D" w:rsidRPr="00DD47DF" w:rsidRDefault="00790A0D" w:rsidP="006D2F5F">
            <w:pPr>
              <w:pStyle w:val="Tabulka"/>
              <w:jc w:val="left"/>
              <w:rPr>
                <w:rFonts w:cs="Calibri"/>
              </w:rPr>
            </w:pPr>
          </w:p>
          <w:p w14:paraId="25537C2C" w14:textId="77777777" w:rsidR="00790A0D" w:rsidRPr="00DD47DF" w:rsidRDefault="00790A0D" w:rsidP="006D2F5F">
            <w:pPr>
              <w:pStyle w:val="Tabulka"/>
              <w:jc w:val="left"/>
              <w:rPr>
                <w:rFonts w:cs="Calibri"/>
              </w:rPr>
            </w:pPr>
          </w:p>
          <w:p w14:paraId="0ECF68FF" w14:textId="77777777" w:rsidR="00790A0D" w:rsidRPr="00DD47DF" w:rsidRDefault="00790A0D" w:rsidP="006D2F5F">
            <w:pPr>
              <w:pStyle w:val="Tabulka"/>
              <w:jc w:val="left"/>
              <w:rPr>
                <w:rFonts w:cs="Calibri"/>
              </w:rPr>
            </w:pPr>
          </w:p>
          <w:p w14:paraId="45FBBD47" w14:textId="77777777" w:rsidR="00790A0D" w:rsidRPr="00DD47DF" w:rsidRDefault="00790A0D" w:rsidP="006D2F5F">
            <w:pPr>
              <w:pStyle w:val="Tabulka"/>
              <w:jc w:val="left"/>
              <w:rPr>
                <w:rFonts w:cs="Calibri"/>
              </w:rPr>
            </w:pPr>
          </w:p>
          <w:p w14:paraId="659920EF" w14:textId="77777777" w:rsidR="00790A0D" w:rsidRPr="00DD47DF" w:rsidRDefault="00790A0D" w:rsidP="006D2F5F">
            <w:pPr>
              <w:pStyle w:val="Tabulka"/>
              <w:jc w:val="left"/>
              <w:rPr>
                <w:rFonts w:cs="Calibri"/>
              </w:rPr>
            </w:pPr>
          </w:p>
          <w:p w14:paraId="3E91705A" w14:textId="77777777" w:rsidR="00790A0D" w:rsidRPr="00DD47DF" w:rsidRDefault="00790A0D" w:rsidP="006D2F5F">
            <w:pPr>
              <w:pStyle w:val="Tabulka"/>
              <w:jc w:val="left"/>
              <w:rPr>
                <w:rFonts w:cs="Calibri"/>
              </w:rPr>
            </w:pPr>
          </w:p>
          <w:p w14:paraId="6C900C60" w14:textId="77777777" w:rsidR="00790A0D" w:rsidRPr="00DD47DF" w:rsidRDefault="00790A0D" w:rsidP="006D2F5F">
            <w:pPr>
              <w:pStyle w:val="Tabulka"/>
              <w:jc w:val="left"/>
              <w:rPr>
                <w:rFonts w:cs="Calibri"/>
              </w:rPr>
            </w:pPr>
          </w:p>
          <w:p w14:paraId="6D37BD5A" w14:textId="77777777" w:rsidR="00790A0D" w:rsidRPr="00DD47DF" w:rsidRDefault="00790A0D" w:rsidP="006D2F5F">
            <w:pPr>
              <w:pStyle w:val="Tabulka"/>
              <w:jc w:val="left"/>
              <w:rPr>
                <w:rFonts w:cs="Calibri"/>
              </w:rPr>
            </w:pPr>
          </w:p>
          <w:p w14:paraId="0E6816EA" w14:textId="77777777" w:rsidR="00790A0D" w:rsidRPr="00DD47DF" w:rsidRDefault="00790A0D" w:rsidP="006D2F5F">
            <w:pPr>
              <w:pStyle w:val="Tabulka"/>
              <w:jc w:val="left"/>
              <w:rPr>
                <w:rFonts w:cs="Calibri"/>
              </w:rPr>
            </w:pPr>
          </w:p>
          <w:p w14:paraId="4A43D42B" w14:textId="77777777" w:rsidR="00790A0D" w:rsidRPr="00DD47DF" w:rsidRDefault="00790A0D" w:rsidP="006D2F5F">
            <w:pPr>
              <w:pStyle w:val="Tabulka"/>
              <w:jc w:val="left"/>
              <w:rPr>
                <w:rFonts w:cs="Calibri"/>
              </w:rPr>
            </w:pPr>
          </w:p>
          <w:p w14:paraId="272F4233" w14:textId="77777777" w:rsidR="00790A0D" w:rsidRPr="00DD47DF" w:rsidRDefault="00790A0D" w:rsidP="006D2F5F">
            <w:pPr>
              <w:pStyle w:val="Tabulka"/>
              <w:jc w:val="left"/>
              <w:rPr>
                <w:rFonts w:cs="Calibri"/>
              </w:rPr>
            </w:pPr>
          </w:p>
          <w:p w14:paraId="5B0B6A6E" w14:textId="77777777" w:rsidR="00790A0D" w:rsidRPr="00DD47DF" w:rsidRDefault="00790A0D" w:rsidP="006D2F5F">
            <w:pPr>
              <w:pStyle w:val="Tabulka"/>
              <w:jc w:val="left"/>
              <w:rPr>
                <w:rFonts w:cs="Calibri"/>
              </w:rPr>
            </w:pPr>
          </w:p>
          <w:p w14:paraId="5FFED7E0" w14:textId="77777777" w:rsidR="00790A0D" w:rsidRPr="00DD47DF" w:rsidRDefault="00790A0D" w:rsidP="006D2F5F">
            <w:pPr>
              <w:pStyle w:val="Tabulka"/>
              <w:jc w:val="left"/>
              <w:rPr>
                <w:rFonts w:cs="Calibri"/>
              </w:rPr>
            </w:pPr>
          </w:p>
          <w:p w14:paraId="4EAC8504" w14:textId="77777777" w:rsidR="00790A0D" w:rsidRPr="00DD47DF" w:rsidRDefault="00790A0D" w:rsidP="006D2F5F">
            <w:pPr>
              <w:pStyle w:val="Tabulka"/>
              <w:jc w:val="left"/>
              <w:rPr>
                <w:rFonts w:cs="Calibri"/>
              </w:rPr>
            </w:pPr>
          </w:p>
          <w:p w14:paraId="4B77BFB9" w14:textId="77777777" w:rsidR="00790A0D" w:rsidRPr="00DD47DF" w:rsidRDefault="00790A0D" w:rsidP="006D2F5F">
            <w:pPr>
              <w:pStyle w:val="Tabulka"/>
              <w:jc w:val="left"/>
              <w:rPr>
                <w:rFonts w:cs="Calibri"/>
              </w:rPr>
            </w:pPr>
          </w:p>
          <w:p w14:paraId="4C02EACE" w14:textId="77777777" w:rsidR="00790A0D" w:rsidRPr="00DD47DF" w:rsidRDefault="00790A0D" w:rsidP="006D2F5F">
            <w:pPr>
              <w:pStyle w:val="Tabulka"/>
              <w:jc w:val="left"/>
              <w:rPr>
                <w:rFonts w:cs="Calibri"/>
              </w:rPr>
            </w:pPr>
          </w:p>
          <w:p w14:paraId="26F6CF6F" w14:textId="77777777" w:rsidR="00790A0D" w:rsidRPr="00DD47DF" w:rsidRDefault="00790A0D" w:rsidP="006D2F5F">
            <w:pPr>
              <w:pStyle w:val="Tabulka"/>
              <w:jc w:val="left"/>
              <w:rPr>
                <w:rFonts w:cs="Calibri"/>
              </w:rPr>
            </w:pPr>
          </w:p>
          <w:p w14:paraId="65808CB2" w14:textId="77777777" w:rsidR="00790A0D" w:rsidRPr="00DD47DF" w:rsidRDefault="00790A0D" w:rsidP="006D2F5F">
            <w:pPr>
              <w:pStyle w:val="Tabulka"/>
              <w:jc w:val="left"/>
              <w:rPr>
                <w:rFonts w:cs="Calibri"/>
              </w:rPr>
            </w:pPr>
          </w:p>
          <w:p w14:paraId="0FA26B6C" w14:textId="77777777" w:rsidR="00790A0D" w:rsidRPr="00DD47DF" w:rsidRDefault="00790A0D" w:rsidP="006D2F5F">
            <w:pPr>
              <w:pStyle w:val="Tabulka"/>
              <w:jc w:val="left"/>
              <w:rPr>
                <w:rFonts w:cs="Calibri"/>
              </w:rPr>
            </w:pPr>
          </w:p>
        </w:tc>
        <w:tc>
          <w:tcPr>
            <w:tcW w:w="1843" w:type="dxa"/>
            <w:shd w:val="clear" w:color="auto" w:fill="auto"/>
          </w:tcPr>
          <w:p w14:paraId="64FFD125" w14:textId="77777777" w:rsidR="00790A0D" w:rsidRPr="00DD47DF" w:rsidRDefault="00790A0D" w:rsidP="006D2F5F">
            <w:pPr>
              <w:pStyle w:val="Tabulka"/>
              <w:jc w:val="left"/>
              <w:rPr>
                <w:rFonts w:cs="Calibri"/>
              </w:rPr>
            </w:pPr>
            <w:r w:rsidRPr="00DD47DF">
              <w:rPr>
                <w:rFonts w:cs="Calibri"/>
              </w:rPr>
              <w:lastRenderedPageBreak/>
              <w:t>Opatření pro účinné uplatňování směrnice Evropského parlamentu a Rady 2011/92/EU</w:t>
            </w:r>
            <w:r w:rsidRPr="00DD47DF">
              <w:rPr>
                <w:rStyle w:val="Znakapoznpodarou"/>
                <w:rFonts w:cs="Calibri"/>
              </w:rPr>
              <w:footnoteReference w:id="96"/>
            </w:r>
            <w:r w:rsidRPr="00DD47DF">
              <w:rPr>
                <w:rFonts w:cs="Calibri"/>
              </w:rPr>
              <w:t xml:space="preserve"> </w:t>
            </w:r>
            <w:r w:rsidRPr="00DD47DF">
              <w:rPr>
                <w:rFonts w:cs="Calibri"/>
              </w:rPr>
              <w:lastRenderedPageBreak/>
              <w:t>(EIA) a směrnice Evropského parlamentu a Rady 2001/42/ES</w:t>
            </w:r>
            <w:r w:rsidRPr="00DD47DF">
              <w:rPr>
                <w:rStyle w:val="Znakapoznpodarou"/>
                <w:rFonts w:cs="Calibri"/>
              </w:rPr>
              <w:footnoteReference w:id="97"/>
            </w:r>
            <w:r w:rsidRPr="00DD47DF">
              <w:rPr>
                <w:rFonts w:cs="Calibri"/>
              </w:rPr>
              <w:t xml:space="preserve"> (SEA),</w:t>
            </w:r>
          </w:p>
        </w:tc>
        <w:tc>
          <w:tcPr>
            <w:tcW w:w="1134" w:type="dxa"/>
            <w:shd w:val="clear" w:color="auto" w:fill="auto"/>
          </w:tcPr>
          <w:p w14:paraId="45075A26" w14:textId="77777777" w:rsidR="00790A0D" w:rsidRPr="00DD47DF" w:rsidRDefault="00790A0D" w:rsidP="000634EB">
            <w:pPr>
              <w:pStyle w:val="Tabulka"/>
              <w:jc w:val="left"/>
              <w:rPr>
                <w:rFonts w:cs="Calibri"/>
              </w:rPr>
            </w:pPr>
            <w:r w:rsidRPr="00DD47DF">
              <w:rPr>
                <w:rFonts w:cs="Calibri"/>
                <w:iCs/>
              </w:rPr>
              <w:lastRenderedPageBreak/>
              <w:t xml:space="preserve"> </w:t>
            </w:r>
            <w:r w:rsidR="000634EB" w:rsidRPr="00DD47DF">
              <w:rPr>
                <w:rFonts w:cs="Calibri"/>
                <w:iCs/>
              </w:rPr>
              <w:t>ano</w:t>
            </w:r>
          </w:p>
        </w:tc>
        <w:tc>
          <w:tcPr>
            <w:tcW w:w="2126" w:type="dxa"/>
            <w:shd w:val="clear" w:color="auto" w:fill="auto"/>
          </w:tcPr>
          <w:p w14:paraId="461A3840" w14:textId="77777777" w:rsidR="00790A0D" w:rsidRPr="00DD47DF" w:rsidRDefault="00790A0D" w:rsidP="006D2F5F">
            <w:pPr>
              <w:pStyle w:val="Tabulka"/>
              <w:jc w:val="left"/>
              <w:rPr>
                <w:rFonts w:cs="Calibri"/>
              </w:rPr>
            </w:pPr>
            <w:r w:rsidRPr="00DD47DF">
              <w:rPr>
                <w:rFonts w:cs="Calibri"/>
              </w:rPr>
              <w:t xml:space="preserve">Příslušná ustanovení zákona č. 100/2001 Sb., o posuzování vlivů na životní prostředí, týkající se posuzování vlivů </w:t>
            </w:r>
            <w:r w:rsidRPr="00DD47DF">
              <w:rPr>
                <w:rFonts w:cs="Calibri"/>
              </w:rPr>
              <w:lastRenderedPageBreak/>
              <w:t>koncepcí na životní prostředí.</w:t>
            </w:r>
          </w:p>
          <w:p w14:paraId="76ECBDEC" w14:textId="77777777" w:rsidR="00790A0D" w:rsidRPr="00DD47DF" w:rsidRDefault="00790A0D" w:rsidP="006D2F5F">
            <w:pPr>
              <w:pStyle w:val="Tabulka"/>
              <w:jc w:val="left"/>
              <w:rPr>
                <w:rFonts w:cs="Calibri"/>
              </w:rPr>
            </w:pPr>
          </w:p>
          <w:p w14:paraId="733EFC4B" w14:textId="77777777" w:rsidR="00790A0D" w:rsidRPr="00DD47DF" w:rsidRDefault="00AF6FE3" w:rsidP="006D2F5F">
            <w:pPr>
              <w:pStyle w:val="Tabulka"/>
              <w:jc w:val="left"/>
              <w:rPr>
                <w:rFonts w:cs="Calibri"/>
              </w:rPr>
            </w:pPr>
            <w:hyperlink r:id="rId96" w:history="1">
              <w:r w:rsidR="00790A0D" w:rsidRPr="00DD47DF">
                <w:rPr>
                  <w:rStyle w:val="Hypertextovodkaz"/>
                  <w:rFonts w:cs="Calibri"/>
                </w:rPr>
                <w:t>http://portal.cenia.cz/eiasea/static/sea_legislativa</w:t>
              </w:r>
            </w:hyperlink>
          </w:p>
          <w:p w14:paraId="5261C94C" w14:textId="77777777" w:rsidR="00790A0D" w:rsidRPr="00DD47DF" w:rsidRDefault="00790A0D" w:rsidP="006D2F5F">
            <w:pPr>
              <w:pStyle w:val="Tabulka"/>
              <w:jc w:val="left"/>
              <w:rPr>
                <w:rFonts w:cs="Calibri"/>
              </w:rPr>
            </w:pPr>
            <w:r w:rsidRPr="00DD47DF">
              <w:rPr>
                <w:rFonts w:cs="Calibri"/>
              </w:rPr>
              <w:t>§ 19 zákona č. 100/2001 Sb., o posuzování vlivů na životní prostředí:</w:t>
            </w:r>
          </w:p>
          <w:p w14:paraId="0C7452C9" w14:textId="77777777" w:rsidR="00790A0D" w:rsidRPr="00DD47DF" w:rsidRDefault="00790A0D" w:rsidP="006D2F5F">
            <w:pPr>
              <w:pStyle w:val="Tabulka"/>
              <w:jc w:val="left"/>
              <w:rPr>
                <w:rFonts w:cs="Calibri"/>
              </w:rPr>
            </w:pPr>
          </w:p>
          <w:p w14:paraId="6598AB41" w14:textId="77777777" w:rsidR="00790A0D" w:rsidRPr="00DD47DF" w:rsidRDefault="00AF6FE3" w:rsidP="006D2F5F">
            <w:pPr>
              <w:pStyle w:val="Tabulka"/>
              <w:jc w:val="left"/>
              <w:rPr>
                <w:rFonts w:cs="Calibri"/>
              </w:rPr>
            </w:pPr>
            <w:hyperlink r:id="rId97" w:history="1">
              <w:r w:rsidR="00790A0D" w:rsidRPr="00DD47DF">
                <w:rPr>
                  <w:rStyle w:val="Hypertextovodkaz"/>
                  <w:rFonts w:eastAsia="SimSun" w:cs="Calibri"/>
                </w:rPr>
                <w:t>http://portal.cenia.cz/eiasea/static/eia_legislativa</w:t>
              </w:r>
            </w:hyperlink>
          </w:p>
        </w:tc>
        <w:tc>
          <w:tcPr>
            <w:tcW w:w="4394" w:type="dxa"/>
            <w:shd w:val="clear" w:color="auto" w:fill="auto"/>
          </w:tcPr>
          <w:p w14:paraId="2CEECC55" w14:textId="77777777" w:rsidR="0015299B" w:rsidRPr="00DD47DF" w:rsidRDefault="0015299B" w:rsidP="00EF7241">
            <w:pPr>
              <w:pStyle w:val="Tabulka"/>
              <w:spacing w:before="0" w:after="0"/>
              <w:jc w:val="left"/>
              <w:rPr>
                <w:rFonts w:cs="Calibri"/>
              </w:rPr>
            </w:pPr>
            <w:r w:rsidRPr="00DD47DF">
              <w:rPr>
                <w:rFonts w:cs="Calibri"/>
              </w:rPr>
              <w:lastRenderedPageBreak/>
              <w:t xml:space="preserve">Gestor PP: Plnění </w:t>
            </w:r>
            <w:r w:rsidR="000634EB" w:rsidRPr="00DD47DF">
              <w:rPr>
                <w:rFonts w:cs="Calibri"/>
              </w:rPr>
              <w:t>ANO</w:t>
            </w:r>
          </w:p>
          <w:p w14:paraId="6021AC0C" w14:textId="77777777" w:rsidR="00457706" w:rsidRPr="00DD47DF" w:rsidRDefault="00457706" w:rsidP="00457706">
            <w:pPr>
              <w:pStyle w:val="DAVA"/>
              <w:spacing w:before="80" w:after="80"/>
              <w:rPr>
                <w:rFonts w:ascii="Times New Roman" w:hAnsi="Times New Roman"/>
                <w:sz w:val="22"/>
                <w:szCs w:val="22"/>
              </w:rPr>
            </w:pPr>
            <w:r w:rsidRPr="00DD47DF">
              <w:rPr>
                <w:rFonts w:ascii="Times New Roman" w:hAnsi="Times New Roman"/>
                <w:sz w:val="22"/>
                <w:szCs w:val="22"/>
              </w:rPr>
              <w:t>Novela zákona EIA</w:t>
            </w:r>
            <w:r w:rsidR="000634EB" w:rsidRPr="00DD47DF">
              <w:rPr>
                <w:rFonts w:ascii="Times New Roman" w:hAnsi="Times New Roman"/>
                <w:sz w:val="22"/>
                <w:szCs w:val="22"/>
              </w:rPr>
              <w:t xml:space="preserve"> nabyla účinnosti dne 1.4.2015.</w:t>
            </w:r>
            <w:r w:rsidRPr="00DD47DF">
              <w:rPr>
                <w:rFonts w:ascii="Times New Roman" w:hAnsi="Times New Roman"/>
                <w:sz w:val="22"/>
                <w:szCs w:val="22"/>
              </w:rPr>
              <w:t xml:space="preserve">  Změny novely byly konzult</w:t>
            </w:r>
            <w:r w:rsidR="005F769E" w:rsidRPr="00DD47DF">
              <w:rPr>
                <w:rFonts w:ascii="Times New Roman" w:hAnsi="Times New Roman"/>
                <w:sz w:val="22"/>
                <w:szCs w:val="22"/>
              </w:rPr>
              <w:t>ovány</w:t>
            </w:r>
            <w:r w:rsidRPr="00DD47DF">
              <w:rPr>
                <w:rFonts w:ascii="Times New Roman" w:hAnsi="Times New Roman"/>
                <w:sz w:val="22"/>
                <w:szCs w:val="22"/>
              </w:rPr>
              <w:t xml:space="preserve"> a schváleny EK. Novela bude  i pro již zahájená navazující řízení, budou tak naplněny požadavky směrnice EIA u všech projektů a </w:t>
            </w:r>
            <w:r w:rsidRPr="00DD47DF">
              <w:rPr>
                <w:rFonts w:ascii="Times New Roman" w:hAnsi="Times New Roman"/>
                <w:sz w:val="22"/>
                <w:szCs w:val="22"/>
              </w:rPr>
              <w:lastRenderedPageBreak/>
              <w:t>neukončeným povolovacím procesem, a bude prováděna kontrola souladu již vydaných stanovisek EIA se směrnicí EIA.</w:t>
            </w:r>
          </w:p>
          <w:p w14:paraId="06D23A08" w14:textId="77777777" w:rsidR="00EF7241" w:rsidRPr="00DD47DF" w:rsidRDefault="00457706" w:rsidP="00EF7241">
            <w:pPr>
              <w:pStyle w:val="Tabulka"/>
              <w:spacing w:before="0" w:after="0"/>
              <w:jc w:val="left"/>
              <w:rPr>
                <w:rFonts w:cs="Calibri"/>
              </w:rPr>
            </w:pPr>
            <w:r w:rsidRPr="00DD47DF">
              <w:t>Metodická pomůcka pro projekty s povolovacím procesem vydána 20. 8. 2014 MŽP a MMR. U projektů a ukončeným povol. procesem před nabytím účinnosti novely, bude vyhodnocen soulad povol. procesu se směrnicí EIA. K tomu zřízena PS.</w:t>
            </w:r>
          </w:p>
          <w:p w14:paraId="4A08E713" w14:textId="77777777" w:rsidR="00790A0D" w:rsidRPr="00DD47DF" w:rsidRDefault="00557467" w:rsidP="00557467">
            <w:pPr>
              <w:pStyle w:val="Tabulka"/>
              <w:spacing w:before="0" w:after="0"/>
              <w:jc w:val="left"/>
              <w:rPr>
                <w:rFonts w:cs="Calibri"/>
              </w:rPr>
            </w:pPr>
            <w:r w:rsidRPr="00DD47DF">
              <w:rPr>
                <w:rFonts w:cs="Calibri"/>
              </w:rPr>
              <w:t xml:space="preserve">Viz též </w:t>
            </w:r>
            <w:r w:rsidR="00790A0D" w:rsidRPr="00DD47DF">
              <w:rPr>
                <w:rFonts w:cs="Calibri"/>
              </w:rPr>
              <w:t>Akční plán v gesci MŽP.</w:t>
            </w:r>
          </w:p>
        </w:tc>
      </w:tr>
      <w:tr w:rsidR="00790A0D" w:rsidRPr="00DD47DF" w14:paraId="0A7B0E05" w14:textId="77777777" w:rsidTr="006D2F5F">
        <w:tc>
          <w:tcPr>
            <w:tcW w:w="1752" w:type="dxa"/>
            <w:vMerge/>
            <w:shd w:val="clear" w:color="auto" w:fill="auto"/>
          </w:tcPr>
          <w:p w14:paraId="4FD45F13" w14:textId="77777777" w:rsidR="00790A0D" w:rsidRPr="00DD47DF" w:rsidRDefault="00790A0D" w:rsidP="006D2F5F">
            <w:pPr>
              <w:pStyle w:val="Tabulka"/>
              <w:rPr>
                <w:rFonts w:cs="Calibri"/>
                <w:b/>
              </w:rPr>
            </w:pPr>
          </w:p>
        </w:tc>
        <w:tc>
          <w:tcPr>
            <w:tcW w:w="1701" w:type="dxa"/>
            <w:vMerge/>
            <w:shd w:val="clear" w:color="auto" w:fill="auto"/>
          </w:tcPr>
          <w:p w14:paraId="215046AD" w14:textId="77777777" w:rsidR="00790A0D" w:rsidRPr="00DD47DF" w:rsidRDefault="00790A0D" w:rsidP="006D2F5F">
            <w:pPr>
              <w:pStyle w:val="Tabulka"/>
              <w:rPr>
                <w:rFonts w:cs="Calibri"/>
              </w:rPr>
            </w:pPr>
          </w:p>
        </w:tc>
        <w:tc>
          <w:tcPr>
            <w:tcW w:w="1276" w:type="dxa"/>
            <w:vMerge/>
            <w:shd w:val="clear" w:color="auto" w:fill="auto"/>
          </w:tcPr>
          <w:p w14:paraId="1FB42E78" w14:textId="77777777" w:rsidR="00790A0D" w:rsidRPr="00DD47DF" w:rsidRDefault="00790A0D" w:rsidP="006D2F5F">
            <w:pPr>
              <w:pStyle w:val="Tabulka"/>
              <w:rPr>
                <w:rFonts w:cs="Calibri"/>
              </w:rPr>
            </w:pPr>
          </w:p>
        </w:tc>
        <w:tc>
          <w:tcPr>
            <w:tcW w:w="1843" w:type="dxa"/>
            <w:shd w:val="clear" w:color="auto" w:fill="auto"/>
          </w:tcPr>
          <w:p w14:paraId="5E678058" w14:textId="77777777" w:rsidR="00790A0D" w:rsidRPr="00DD47DF" w:rsidRDefault="00790A0D" w:rsidP="006D2F5F">
            <w:pPr>
              <w:pStyle w:val="Tabulka"/>
              <w:jc w:val="left"/>
              <w:rPr>
                <w:rFonts w:cs="Calibri"/>
              </w:rPr>
            </w:pPr>
            <w:r w:rsidRPr="00DD47DF">
              <w:rPr>
                <w:rFonts w:cs="Calibri"/>
              </w:rPr>
              <w:t>Opatření pro odbornou přípravu a šíření informací pro zaměstnance podílející se na provádění směrnic EIA a SEA</w:t>
            </w:r>
          </w:p>
        </w:tc>
        <w:tc>
          <w:tcPr>
            <w:tcW w:w="1134" w:type="dxa"/>
            <w:shd w:val="clear" w:color="auto" w:fill="auto"/>
          </w:tcPr>
          <w:p w14:paraId="43B38623"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592DC235" w14:textId="77777777" w:rsidR="00790A0D" w:rsidRPr="00DD47DF" w:rsidRDefault="00790A0D" w:rsidP="006D2F5F">
            <w:pPr>
              <w:pStyle w:val="Tabulka"/>
              <w:jc w:val="left"/>
              <w:rPr>
                <w:rFonts w:cs="Calibri"/>
              </w:rPr>
            </w:pPr>
            <w:r w:rsidRPr="00DD47DF">
              <w:rPr>
                <w:rFonts w:cs="Calibri"/>
              </w:rPr>
              <w:t>§21 a 22 zákona č. 100/2001 Sb., o posuzování vlivů na životní prostředí</w:t>
            </w:r>
          </w:p>
          <w:p w14:paraId="4B804EC2" w14:textId="77777777" w:rsidR="00790A0D" w:rsidRPr="00DD47DF" w:rsidRDefault="00790A0D" w:rsidP="006D2F5F">
            <w:pPr>
              <w:pStyle w:val="Tabulka"/>
              <w:jc w:val="left"/>
              <w:rPr>
                <w:rFonts w:cs="Calibri"/>
              </w:rPr>
            </w:pPr>
          </w:p>
          <w:p w14:paraId="145A4AB6" w14:textId="77777777" w:rsidR="00790A0D" w:rsidRPr="00DD47DF" w:rsidRDefault="00790A0D" w:rsidP="006D2F5F">
            <w:pPr>
              <w:pStyle w:val="Tabulka"/>
              <w:jc w:val="left"/>
              <w:rPr>
                <w:rFonts w:cs="Calibri"/>
              </w:rPr>
            </w:pPr>
            <w:r w:rsidRPr="00DD47DF">
              <w:rPr>
                <w:rFonts w:cs="Calibri"/>
              </w:rPr>
              <w:t>§21 zákona č. 312/2002 Sb., o úřednících územních samosprávných celků a o změně některých zákonů</w:t>
            </w:r>
          </w:p>
          <w:p w14:paraId="66F0E09C" w14:textId="77777777" w:rsidR="00790A0D" w:rsidRPr="00DD47DF" w:rsidRDefault="00790A0D" w:rsidP="006D2F5F">
            <w:pPr>
              <w:pStyle w:val="Tabulka"/>
              <w:jc w:val="left"/>
              <w:rPr>
                <w:rFonts w:cs="Calibri"/>
              </w:rPr>
            </w:pPr>
          </w:p>
          <w:p w14:paraId="41E5BF3A" w14:textId="77777777" w:rsidR="00790A0D" w:rsidRPr="00DD47DF" w:rsidRDefault="00790A0D" w:rsidP="006D2F5F">
            <w:pPr>
              <w:pStyle w:val="Tabulka"/>
              <w:jc w:val="left"/>
              <w:rPr>
                <w:rFonts w:cs="Calibri"/>
              </w:rPr>
            </w:pPr>
            <w:r w:rsidRPr="00DD47DF">
              <w:rPr>
                <w:rFonts w:cs="Calibri"/>
              </w:rPr>
              <w:t>Usnesení Vlády ČR ze dne 30. listopadu 2005 č. 1542</w:t>
            </w:r>
          </w:p>
          <w:p w14:paraId="25E5E5E5" w14:textId="77777777" w:rsidR="00790A0D" w:rsidRPr="00DD47DF" w:rsidRDefault="00790A0D" w:rsidP="006D2F5F">
            <w:pPr>
              <w:pStyle w:val="Tabulka"/>
              <w:jc w:val="left"/>
              <w:rPr>
                <w:rFonts w:cs="Calibri"/>
              </w:rPr>
            </w:pPr>
          </w:p>
          <w:p w14:paraId="7FB14327" w14:textId="77777777" w:rsidR="00790A0D" w:rsidRPr="00DD47DF" w:rsidRDefault="00AF6FE3" w:rsidP="006D2F5F">
            <w:pPr>
              <w:pStyle w:val="Tabulka"/>
              <w:jc w:val="left"/>
              <w:rPr>
                <w:rFonts w:cs="Calibri"/>
              </w:rPr>
            </w:pPr>
            <w:hyperlink r:id="rId98" w:history="1">
              <w:r w:rsidR="00790A0D" w:rsidRPr="00DD47DF">
                <w:rPr>
                  <w:rStyle w:val="Hypertextovodkaz"/>
                  <w:rFonts w:cs="Calibri"/>
                </w:rPr>
                <w:t>http://www.mzp.cz/cz/posuzovani_vlivu_zivotni_prostredi</w:t>
              </w:r>
            </w:hyperlink>
          </w:p>
          <w:p w14:paraId="4E6A1B84" w14:textId="77777777" w:rsidR="00790A0D" w:rsidRPr="00DD47DF" w:rsidRDefault="00790A0D" w:rsidP="006D2F5F">
            <w:pPr>
              <w:pStyle w:val="Tabulka"/>
              <w:jc w:val="left"/>
              <w:rPr>
                <w:rFonts w:cs="Calibri"/>
              </w:rPr>
            </w:pPr>
          </w:p>
          <w:p w14:paraId="57AE639B" w14:textId="77777777" w:rsidR="00790A0D" w:rsidRPr="00DD47DF" w:rsidRDefault="00AF6FE3" w:rsidP="006D2F5F">
            <w:pPr>
              <w:pStyle w:val="Tabulka"/>
              <w:jc w:val="left"/>
              <w:rPr>
                <w:rFonts w:cs="Calibri"/>
              </w:rPr>
            </w:pPr>
            <w:hyperlink r:id="rId99" w:history="1">
              <w:r w:rsidR="00790A0D" w:rsidRPr="00DD47DF">
                <w:rPr>
                  <w:rStyle w:val="Hypertextovodkaz"/>
                  <w:rFonts w:cs="Calibri"/>
                </w:rPr>
                <w:t>http://portal.cenia.cz/eiasea/view/eia100_cr</w:t>
              </w:r>
            </w:hyperlink>
            <w:r w:rsidR="00790A0D" w:rsidRPr="00DD47DF">
              <w:rPr>
                <w:rFonts w:cs="Calibri"/>
              </w:rPr>
              <w:t xml:space="preserve"> (+ záložka legislativa, pokyny a sdělení atd.)</w:t>
            </w:r>
          </w:p>
          <w:p w14:paraId="5830042E" w14:textId="77777777" w:rsidR="00790A0D" w:rsidRPr="00DD47DF" w:rsidRDefault="00790A0D" w:rsidP="006D2F5F">
            <w:pPr>
              <w:pStyle w:val="Tabulka"/>
              <w:jc w:val="left"/>
              <w:rPr>
                <w:rFonts w:cs="Calibri"/>
              </w:rPr>
            </w:pPr>
          </w:p>
          <w:p w14:paraId="451D2E81" w14:textId="77777777" w:rsidR="00790A0D" w:rsidRPr="00DD47DF" w:rsidRDefault="00AF6FE3" w:rsidP="006D2F5F">
            <w:pPr>
              <w:pStyle w:val="Tabulka"/>
              <w:jc w:val="left"/>
              <w:rPr>
                <w:rFonts w:cs="Calibri"/>
              </w:rPr>
            </w:pPr>
            <w:hyperlink r:id="rId100" w:history="1">
              <w:r w:rsidR="00790A0D" w:rsidRPr="00DD47DF">
                <w:rPr>
                  <w:rStyle w:val="Hypertextovodkaz"/>
                  <w:rFonts w:cs="Calibri"/>
                </w:rPr>
                <w:t>http://portal.cenia.cz/eiasea/view/eia100_cr</w:t>
              </w:r>
            </w:hyperlink>
          </w:p>
          <w:p w14:paraId="0B8DE3E2" w14:textId="77777777" w:rsidR="00790A0D" w:rsidRPr="00DD47DF" w:rsidRDefault="00AF6FE3" w:rsidP="006D2F5F">
            <w:pPr>
              <w:pStyle w:val="Tabulka"/>
              <w:jc w:val="left"/>
              <w:rPr>
                <w:rFonts w:cs="Calibri"/>
              </w:rPr>
            </w:pPr>
            <w:hyperlink r:id="rId101" w:history="1">
              <w:r w:rsidR="00790A0D" w:rsidRPr="00DD47DF">
                <w:rPr>
                  <w:rStyle w:val="Hypertextovodkaz"/>
                  <w:rFonts w:cs="Calibri"/>
                </w:rPr>
                <w:t>http://portal.cenia.cz/eiasea/view/SEA100_koncepce</w:t>
              </w:r>
            </w:hyperlink>
          </w:p>
        </w:tc>
        <w:tc>
          <w:tcPr>
            <w:tcW w:w="4394" w:type="dxa"/>
            <w:shd w:val="clear" w:color="auto" w:fill="auto"/>
          </w:tcPr>
          <w:p w14:paraId="5D6C007C" w14:textId="77777777" w:rsidR="00CC122F" w:rsidRPr="00DD47DF" w:rsidRDefault="00CC122F" w:rsidP="006D2F5F">
            <w:pPr>
              <w:pStyle w:val="Tabulka"/>
              <w:spacing w:before="0"/>
              <w:jc w:val="left"/>
              <w:rPr>
                <w:rFonts w:cs="Calibri"/>
              </w:rPr>
            </w:pPr>
            <w:r w:rsidRPr="00DD47DF">
              <w:rPr>
                <w:rFonts w:cs="Calibri"/>
              </w:rPr>
              <w:lastRenderedPageBreak/>
              <w:t>Gestor PP: Plnění ANO</w:t>
            </w:r>
          </w:p>
          <w:p w14:paraId="135B7568" w14:textId="77777777" w:rsidR="00790A0D" w:rsidRPr="00DD47DF" w:rsidRDefault="00790A0D" w:rsidP="006D2F5F">
            <w:pPr>
              <w:pStyle w:val="Tabulka"/>
              <w:spacing w:before="0"/>
              <w:jc w:val="left"/>
              <w:rPr>
                <w:rFonts w:cs="Calibri"/>
              </w:rPr>
            </w:pPr>
            <w:r w:rsidRPr="00DD47DF">
              <w:rPr>
                <w:rFonts w:cs="Calibri"/>
              </w:rPr>
              <w:t xml:space="preserve">MŽP metodicky vede všechny pracovníky provádějící směrnice EIA a SEA. </w:t>
            </w:r>
            <w:r w:rsidR="00CC122F" w:rsidRPr="00DD47DF">
              <w:rPr>
                <w:rFonts w:cs="Calibri"/>
              </w:rPr>
              <w:t>V</w:t>
            </w:r>
            <w:r w:rsidR="0045099F" w:rsidRPr="00DD47DF">
              <w:rPr>
                <w:rFonts w:cs="Calibri"/>
              </w:rPr>
              <w:t xml:space="preserve"> </w:t>
            </w:r>
            <w:r w:rsidRPr="00DD47DF">
              <w:rPr>
                <w:rFonts w:cs="Calibri"/>
              </w:rPr>
              <w:t xml:space="preserve">součinnosti s MMR </w:t>
            </w:r>
            <w:r w:rsidR="00CC122F" w:rsidRPr="00DD47DF">
              <w:rPr>
                <w:rFonts w:cs="Calibri"/>
              </w:rPr>
              <w:t xml:space="preserve">realizuje </w:t>
            </w:r>
            <w:r w:rsidRPr="00DD47DF">
              <w:rPr>
                <w:rFonts w:cs="Calibri"/>
              </w:rPr>
              <w:t>školení pro pracovníky</w:t>
            </w:r>
            <w:r w:rsidR="00CC122F" w:rsidRPr="00DD47DF">
              <w:rPr>
                <w:rFonts w:cs="Calibri"/>
              </w:rPr>
              <w:t xml:space="preserve"> ŘO.</w:t>
            </w:r>
          </w:p>
          <w:p w14:paraId="36B3E0E3" w14:textId="77777777" w:rsidR="00790A0D" w:rsidRPr="00DD47DF" w:rsidRDefault="00790A0D" w:rsidP="006D2F5F">
            <w:pPr>
              <w:pStyle w:val="Tabulka"/>
              <w:spacing w:before="0"/>
              <w:jc w:val="left"/>
            </w:pPr>
            <w:r w:rsidRPr="00DD47DF">
              <w:rPr>
                <w:rFonts w:cs="Calibri"/>
              </w:rPr>
              <w:t xml:space="preserve">Informace z oblasti EIA a SEA jsou šířeny prostřednictvím informačního systému a metodických pokynů. </w:t>
            </w:r>
            <w:r w:rsidR="00684FC1" w:rsidRPr="00DD47DF">
              <w:t>Krajští úředníci pravidelně využívají také možnosti individuální konzultace.</w:t>
            </w:r>
            <w:r w:rsidRPr="00DD47DF">
              <w:rPr>
                <w:rFonts w:cs="Calibri"/>
              </w:rPr>
              <w:t xml:space="preserve"> </w:t>
            </w:r>
            <w:r w:rsidR="00684FC1" w:rsidRPr="00DD47DF">
              <w:rPr>
                <w:rFonts w:cs="Calibri"/>
              </w:rPr>
              <w:t>P</w:t>
            </w:r>
            <w:r w:rsidRPr="00DD47DF">
              <w:rPr>
                <w:rFonts w:cs="Calibri"/>
              </w:rPr>
              <w:t>racovníci provádějící směrnice EIA a SEA jsou kvalifikováni k poradenství.</w:t>
            </w:r>
            <w:r w:rsidR="00684FC1" w:rsidRPr="00DD47DF">
              <w:t xml:space="preserve"> Krajští úředníci prokazují zvláštní odbornou způsobilost v oblasti posuzování vlivů na </w:t>
            </w:r>
            <w:r w:rsidR="00684FC1" w:rsidRPr="00DD47DF">
              <w:lastRenderedPageBreak/>
              <w:t>životní prostředí, která se ověřuje zkouškou a prokazuje osvědčením.</w:t>
            </w:r>
            <w:r w:rsidR="00684FC1" w:rsidRPr="00DD47DF">
              <w:rPr>
                <w:bCs/>
                <w:color w:val="000000"/>
              </w:rPr>
              <w:t xml:space="preserve"> Součástí vzdělávání pracovníků </w:t>
            </w:r>
            <w:r w:rsidR="00967531" w:rsidRPr="00DD47DF">
              <w:rPr>
                <w:bCs/>
                <w:color w:val="000000"/>
              </w:rPr>
              <w:t xml:space="preserve"> </w:t>
            </w:r>
            <w:r w:rsidR="00684FC1" w:rsidRPr="00DD47DF">
              <w:rPr>
                <w:bCs/>
                <w:color w:val="000000"/>
              </w:rPr>
              <w:t>jsou rovněž informace o aktuálním stavu infringementového řízení a o nové právní úprav</w:t>
            </w:r>
            <w:r w:rsidR="004738B8" w:rsidRPr="00DD47DF">
              <w:rPr>
                <w:bCs/>
                <w:color w:val="000000"/>
              </w:rPr>
              <w:t>ě</w:t>
            </w:r>
            <w:r w:rsidR="00684FC1" w:rsidRPr="00DD47DF">
              <w:rPr>
                <w:bCs/>
                <w:color w:val="000000"/>
              </w:rPr>
              <w:t xml:space="preserve"> v oblasti EIA</w:t>
            </w:r>
            <w:r w:rsidR="00F26664" w:rsidRPr="00DD47DF">
              <w:rPr>
                <w:bCs/>
                <w:color w:val="000000"/>
              </w:rPr>
              <w:t xml:space="preserve">  (zákon č. 39/2015 Sb.). </w:t>
            </w:r>
          </w:p>
          <w:p w14:paraId="2DC73098" w14:textId="77777777" w:rsidR="00790A0D" w:rsidRPr="00DD47DF" w:rsidRDefault="00790A0D" w:rsidP="006D2F5F">
            <w:pPr>
              <w:pStyle w:val="Tabulka"/>
              <w:spacing w:before="0"/>
              <w:jc w:val="left"/>
              <w:rPr>
                <w:rFonts w:cs="Calibri"/>
              </w:rPr>
            </w:pPr>
            <w:r w:rsidRPr="00DD47DF">
              <w:rPr>
                <w:rFonts w:cs="Calibri"/>
              </w:rPr>
              <w:t>MMR-NOK zajišťuje na horizontální úrovni proškolení zaměstnanců implementujících fondy EU v rámci Systému vzdělávání, MŽP zajišťuje obsahovou náplň vzdělávání a lektorské zajištění. Zaměstnanci ŘO OP PIK jsou zapojeni do Systému vzdělávání.</w:t>
            </w:r>
          </w:p>
          <w:p w14:paraId="4D9FFFAD" w14:textId="77777777" w:rsidR="00790A0D" w:rsidRPr="00DD47DF" w:rsidRDefault="00967531" w:rsidP="006D2F5F">
            <w:pPr>
              <w:pStyle w:val="Tabulka"/>
              <w:spacing w:before="0"/>
              <w:jc w:val="left"/>
              <w:rPr>
                <w:rFonts w:cs="Calibri"/>
              </w:rPr>
            </w:pPr>
            <w:r w:rsidRPr="00DD47DF">
              <w:rPr>
                <w:rFonts w:cs="Calibri"/>
              </w:rPr>
              <w:t>V</w:t>
            </w:r>
            <w:r w:rsidR="00790A0D" w:rsidRPr="00DD47DF">
              <w:rPr>
                <w:rFonts w:cs="Calibri"/>
              </w:rPr>
              <w:t xml:space="preserve">iz </w:t>
            </w:r>
            <w:r w:rsidRPr="00DD47DF">
              <w:rPr>
                <w:rFonts w:cs="Calibri"/>
              </w:rPr>
              <w:t xml:space="preserve">též </w:t>
            </w:r>
            <w:r w:rsidR="00790A0D" w:rsidRPr="00DD47DF">
              <w:rPr>
                <w:rFonts w:cs="Calibri"/>
              </w:rPr>
              <w:t xml:space="preserve">Příloha č. II </w:t>
            </w:r>
            <w:r w:rsidR="004738B8" w:rsidRPr="00DD47DF">
              <w:rPr>
                <w:rFonts w:cs="Calibri"/>
              </w:rPr>
              <w:t xml:space="preserve">- </w:t>
            </w:r>
            <w:r w:rsidR="00790A0D" w:rsidRPr="00DD47DF">
              <w:rPr>
                <w:rFonts w:cs="Calibri"/>
              </w:rPr>
              <w:t xml:space="preserve"> Akční plán.</w:t>
            </w:r>
          </w:p>
          <w:p w14:paraId="0E205C21" w14:textId="77777777" w:rsidR="00790A0D" w:rsidRPr="00DD47DF" w:rsidRDefault="00790A0D" w:rsidP="006D2F5F">
            <w:pPr>
              <w:pStyle w:val="Tabulka"/>
              <w:jc w:val="left"/>
              <w:rPr>
                <w:rFonts w:cs="Calibri"/>
              </w:rPr>
            </w:pPr>
          </w:p>
        </w:tc>
      </w:tr>
      <w:tr w:rsidR="00790A0D" w:rsidRPr="00DD47DF" w14:paraId="527EF10F" w14:textId="77777777" w:rsidTr="006D2F5F">
        <w:tc>
          <w:tcPr>
            <w:tcW w:w="1752" w:type="dxa"/>
            <w:vMerge/>
            <w:shd w:val="clear" w:color="auto" w:fill="auto"/>
          </w:tcPr>
          <w:p w14:paraId="2DD599DA" w14:textId="77777777" w:rsidR="00790A0D" w:rsidRPr="00DD47DF" w:rsidRDefault="00790A0D" w:rsidP="006D2F5F">
            <w:pPr>
              <w:pStyle w:val="Tabulka"/>
              <w:jc w:val="left"/>
              <w:rPr>
                <w:rFonts w:cs="Calibri"/>
                <w:b/>
              </w:rPr>
            </w:pPr>
          </w:p>
        </w:tc>
        <w:tc>
          <w:tcPr>
            <w:tcW w:w="1701" w:type="dxa"/>
            <w:vMerge/>
            <w:shd w:val="clear" w:color="auto" w:fill="auto"/>
          </w:tcPr>
          <w:p w14:paraId="767C1755" w14:textId="77777777" w:rsidR="00790A0D" w:rsidRPr="00DD47DF" w:rsidRDefault="00790A0D" w:rsidP="006D2F5F">
            <w:pPr>
              <w:pStyle w:val="Tabulka"/>
              <w:jc w:val="left"/>
              <w:rPr>
                <w:rFonts w:cs="Calibri"/>
              </w:rPr>
            </w:pPr>
          </w:p>
        </w:tc>
        <w:tc>
          <w:tcPr>
            <w:tcW w:w="1276" w:type="dxa"/>
            <w:vMerge/>
            <w:shd w:val="clear" w:color="auto" w:fill="auto"/>
          </w:tcPr>
          <w:p w14:paraId="1198219A" w14:textId="77777777" w:rsidR="00790A0D" w:rsidRPr="00DD47DF" w:rsidRDefault="00790A0D" w:rsidP="006D2F5F">
            <w:pPr>
              <w:pStyle w:val="Tabulka"/>
              <w:jc w:val="left"/>
              <w:rPr>
                <w:rFonts w:cs="Calibri"/>
              </w:rPr>
            </w:pPr>
          </w:p>
        </w:tc>
        <w:tc>
          <w:tcPr>
            <w:tcW w:w="1843" w:type="dxa"/>
            <w:shd w:val="clear" w:color="auto" w:fill="auto"/>
          </w:tcPr>
          <w:p w14:paraId="144DBF07" w14:textId="77777777" w:rsidR="00790A0D" w:rsidRPr="00DD47DF" w:rsidRDefault="00790A0D" w:rsidP="006D2F5F">
            <w:pPr>
              <w:pStyle w:val="Tabulka"/>
              <w:jc w:val="left"/>
              <w:rPr>
                <w:rFonts w:cs="Calibri"/>
              </w:rPr>
            </w:pPr>
            <w:r w:rsidRPr="00DD47DF">
              <w:rPr>
                <w:rFonts w:cs="Calibri"/>
              </w:rPr>
              <w:t>Opatření k zajištění dostatečné správní kapacity</w:t>
            </w:r>
          </w:p>
        </w:tc>
        <w:tc>
          <w:tcPr>
            <w:tcW w:w="1134" w:type="dxa"/>
            <w:shd w:val="clear" w:color="auto" w:fill="auto"/>
          </w:tcPr>
          <w:p w14:paraId="05A63E39"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55ADB98B" w14:textId="77777777" w:rsidR="00790A0D" w:rsidRPr="00DD47DF" w:rsidRDefault="00790A0D" w:rsidP="006D2F5F">
            <w:pPr>
              <w:pStyle w:val="Tabulka"/>
              <w:jc w:val="left"/>
              <w:rPr>
                <w:rFonts w:cs="Calibri"/>
              </w:rPr>
            </w:pPr>
            <w:r w:rsidRPr="00DD47DF">
              <w:rPr>
                <w:rFonts w:cs="Calibri"/>
              </w:rPr>
              <w:t>§21 a 22 zákona č. 100/2001 Sb., o posuzování vlivů na životní prostředí</w:t>
            </w:r>
          </w:p>
          <w:p w14:paraId="04B3E31D" w14:textId="77777777" w:rsidR="00790A0D" w:rsidRPr="00DD47DF" w:rsidRDefault="00790A0D" w:rsidP="006D2F5F">
            <w:pPr>
              <w:pStyle w:val="Tabulka"/>
              <w:jc w:val="left"/>
              <w:rPr>
                <w:rFonts w:cs="Calibri"/>
              </w:rPr>
            </w:pPr>
          </w:p>
          <w:p w14:paraId="041C8C4E" w14:textId="77777777" w:rsidR="00790A0D" w:rsidRPr="00DD47DF" w:rsidRDefault="00790A0D" w:rsidP="006D2F5F">
            <w:pPr>
              <w:pStyle w:val="Tabulka"/>
              <w:jc w:val="left"/>
              <w:rPr>
                <w:rFonts w:cs="Calibri"/>
              </w:rPr>
            </w:pPr>
            <w:r w:rsidRPr="00DD47DF">
              <w:rPr>
                <w:rFonts w:cs="Calibri"/>
              </w:rPr>
              <w:t>§21 zákona č. 312/2002 Sb., o úřednících územních samosprávných celků a o změně některých zákonů</w:t>
            </w:r>
          </w:p>
          <w:p w14:paraId="563F4BB9" w14:textId="77777777" w:rsidR="00790A0D" w:rsidRPr="00DD47DF" w:rsidRDefault="00790A0D" w:rsidP="006D2F5F">
            <w:pPr>
              <w:pStyle w:val="Tabulka"/>
              <w:jc w:val="left"/>
              <w:rPr>
                <w:rFonts w:cs="Calibri"/>
              </w:rPr>
            </w:pPr>
          </w:p>
          <w:p w14:paraId="5548EBAC" w14:textId="77777777" w:rsidR="00790A0D" w:rsidRPr="00DD47DF" w:rsidRDefault="00790A0D" w:rsidP="006D2F5F">
            <w:pPr>
              <w:pStyle w:val="Tabulka"/>
              <w:jc w:val="left"/>
              <w:rPr>
                <w:rFonts w:cs="Calibri"/>
              </w:rPr>
            </w:pPr>
            <w:r w:rsidRPr="00DD47DF">
              <w:rPr>
                <w:rFonts w:cs="Calibri"/>
              </w:rPr>
              <w:t>Usnesení Vlády ČR ze dne 30. listopadu 2005 č. 1542</w:t>
            </w:r>
          </w:p>
          <w:p w14:paraId="6985FBCD" w14:textId="77777777" w:rsidR="00790A0D" w:rsidRPr="00DD47DF" w:rsidRDefault="00790A0D" w:rsidP="006D2F5F">
            <w:pPr>
              <w:pStyle w:val="Tabulka"/>
              <w:jc w:val="left"/>
              <w:rPr>
                <w:rFonts w:cs="Calibri"/>
              </w:rPr>
            </w:pPr>
          </w:p>
          <w:p w14:paraId="5419CAE7" w14:textId="77777777" w:rsidR="00790A0D" w:rsidRPr="00DD47DF" w:rsidRDefault="00790A0D" w:rsidP="006D2F5F">
            <w:pPr>
              <w:pStyle w:val="Tabulka"/>
              <w:jc w:val="left"/>
              <w:rPr>
                <w:rFonts w:cs="Calibri"/>
              </w:rPr>
            </w:pPr>
            <w:r w:rsidRPr="00DD47DF">
              <w:rPr>
                <w:rFonts w:cs="Calibri"/>
              </w:rPr>
              <w:t>Zákon č. 111/2009 Sb., o základních registrech</w:t>
            </w:r>
          </w:p>
          <w:p w14:paraId="7C89DB2D" w14:textId="77777777" w:rsidR="00790A0D" w:rsidRPr="00DD47DF" w:rsidRDefault="00790A0D" w:rsidP="006D2F5F">
            <w:pPr>
              <w:pStyle w:val="Tabulka"/>
              <w:jc w:val="left"/>
              <w:rPr>
                <w:rFonts w:cs="Calibri"/>
              </w:rPr>
            </w:pPr>
          </w:p>
          <w:p w14:paraId="4FAA56B1" w14:textId="77777777" w:rsidR="00790A0D" w:rsidRPr="00DD47DF" w:rsidRDefault="00AF6FE3" w:rsidP="006D2F5F">
            <w:pPr>
              <w:pStyle w:val="Tabulka"/>
              <w:jc w:val="left"/>
              <w:rPr>
                <w:rFonts w:cs="Calibri"/>
              </w:rPr>
            </w:pPr>
            <w:hyperlink r:id="rId102" w:history="1">
              <w:r w:rsidR="00790A0D" w:rsidRPr="00DD47DF">
                <w:rPr>
                  <w:rStyle w:val="Hypertextovodkaz"/>
                  <w:rFonts w:cs="Calibri"/>
                </w:rPr>
                <w:t>http://www.mzp.cz/cz/posuzovani_vlivu_zivotni_prostredi</w:t>
              </w:r>
            </w:hyperlink>
          </w:p>
          <w:p w14:paraId="54CC9C31" w14:textId="77777777" w:rsidR="00790A0D" w:rsidRPr="00DD47DF" w:rsidRDefault="00790A0D" w:rsidP="006D2F5F">
            <w:pPr>
              <w:pStyle w:val="Tabulka"/>
              <w:jc w:val="left"/>
              <w:rPr>
                <w:rFonts w:cs="Calibri"/>
              </w:rPr>
            </w:pPr>
          </w:p>
          <w:p w14:paraId="4890E01D" w14:textId="77777777" w:rsidR="00790A0D" w:rsidRPr="00DD47DF" w:rsidRDefault="00AF6FE3" w:rsidP="006D2F5F">
            <w:pPr>
              <w:pStyle w:val="Tabulka"/>
              <w:jc w:val="left"/>
              <w:rPr>
                <w:rFonts w:cs="Calibri"/>
              </w:rPr>
            </w:pPr>
            <w:hyperlink r:id="rId103" w:history="1">
              <w:r w:rsidR="00790A0D" w:rsidRPr="00DD47DF">
                <w:rPr>
                  <w:rStyle w:val="Hypertextovodkaz"/>
                  <w:rFonts w:cs="Calibri"/>
                </w:rPr>
                <w:t>http://portal.cenia.cz/eiasea/view/eia100_cr</w:t>
              </w:r>
            </w:hyperlink>
            <w:r w:rsidR="00790A0D" w:rsidRPr="00DD47DF">
              <w:rPr>
                <w:rStyle w:val="Hypertextovodkaz"/>
                <w:rFonts w:cs="Calibri"/>
              </w:rPr>
              <w:t xml:space="preserve"> </w:t>
            </w:r>
          </w:p>
          <w:p w14:paraId="78F289FB" w14:textId="77777777" w:rsidR="00790A0D" w:rsidRPr="00DD47DF" w:rsidRDefault="00790A0D" w:rsidP="006D2F5F">
            <w:pPr>
              <w:pStyle w:val="Tabulka"/>
              <w:jc w:val="left"/>
              <w:rPr>
                <w:rFonts w:cs="Calibri"/>
              </w:rPr>
            </w:pPr>
          </w:p>
          <w:p w14:paraId="0BA44D09" w14:textId="77777777" w:rsidR="00790A0D" w:rsidRPr="00DD47DF" w:rsidRDefault="00AF6FE3" w:rsidP="006D2F5F">
            <w:pPr>
              <w:pStyle w:val="Tabulka"/>
              <w:jc w:val="left"/>
              <w:rPr>
                <w:rFonts w:cs="Calibri"/>
                <w:color w:val="0000FF"/>
                <w:u w:val="single"/>
              </w:rPr>
            </w:pPr>
            <w:hyperlink r:id="rId104" w:history="1">
              <w:r w:rsidR="00790A0D" w:rsidRPr="00DD47DF">
                <w:rPr>
                  <w:rStyle w:val="Hypertextovodkaz"/>
                  <w:rFonts w:cs="Calibri"/>
                </w:rPr>
                <w:t>http://portal.cenia.cz/eiasea/view/SEA100_koncepce</w:t>
              </w:r>
            </w:hyperlink>
            <w:r w:rsidR="00790A0D" w:rsidRPr="00DD47DF">
              <w:rPr>
                <w:rFonts w:cs="Calibri"/>
              </w:rPr>
              <w:t xml:space="preserve"> </w:t>
            </w:r>
            <w:hyperlink r:id="rId105" w:history="1">
              <w:r w:rsidR="00790A0D" w:rsidRPr="00DD47DF">
                <w:rPr>
                  <w:rStyle w:val="Hypertextovodkaz"/>
                  <w:rFonts w:cs="Calibri"/>
                </w:rPr>
                <w:t>http://portal.cenia.cz/eiasea/osoby/osoby</w:t>
              </w:r>
            </w:hyperlink>
          </w:p>
        </w:tc>
        <w:tc>
          <w:tcPr>
            <w:tcW w:w="4394" w:type="dxa"/>
            <w:shd w:val="clear" w:color="auto" w:fill="auto"/>
          </w:tcPr>
          <w:p w14:paraId="392C06A5" w14:textId="77777777" w:rsidR="003F16D3" w:rsidRPr="00DD47DF" w:rsidRDefault="003F16D3" w:rsidP="006D2F5F">
            <w:pPr>
              <w:pStyle w:val="DAVA"/>
              <w:spacing w:before="0"/>
              <w:rPr>
                <w:rFonts w:ascii="Times New Roman" w:hAnsi="Times New Roman"/>
                <w:bCs/>
                <w:color w:val="000000"/>
                <w:sz w:val="22"/>
                <w:szCs w:val="22"/>
              </w:rPr>
            </w:pPr>
            <w:r w:rsidRPr="00DD47DF">
              <w:rPr>
                <w:rFonts w:ascii="Times New Roman" w:hAnsi="Times New Roman"/>
                <w:bCs/>
                <w:color w:val="000000"/>
                <w:sz w:val="22"/>
                <w:szCs w:val="22"/>
              </w:rPr>
              <w:lastRenderedPageBreak/>
              <w:t>Gestor PP: Plnění ANO</w:t>
            </w:r>
          </w:p>
          <w:p w14:paraId="6907C081" w14:textId="77777777" w:rsidR="0078753D" w:rsidRPr="00DD47DF" w:rsidRDefault="0078753D" w:rsidP="0078753D">
            <w:pPr>
              <w:pStyle w:val="DAVA"/>
              <w:spacing w:before="80" w:after="80"/>
              <w:rPr>
                <w:rFonts w:ascii="Times New Roman" w:hAnsi="Times New Roman"/>
                <w:bCs/>
                <w:color w:val="000000"/>
                <w:sz w:val="22"/>
                <w:szCs w:val="22"/>
                <w:lang w:eastAsia="cs-CZ"/>
              </w:rPr>
            </w:pPr>
            <w:r w:rsidRPr="00DD47DF">
              <w:rPr>
                <w:rFonts w:ascii="Times New Roman" w:hAnsi="Times New Roman"/>
                <w:bCs/>
                <w:color w:val="000000"/>
                <w:sz w:val="22"/>
                <w:szCs w:val="22"/>
                <w:lang w:eastAsia="cs-CZ"/>
              </w:rPr>
              <w:t xml:space="preserve">V souladu se zákonem č. 111/2009 Sb., byl zahájen proces zefektivnění veřejné správy, na základě kterého jsou nyní průběžně stanovovány dostatečné počty pracovníků pro výkon státní správy, tedy i počet úředníků zajišťující provádění směrnice EIA a SEA. </w:t>
            </w:r>
            <w:r w:rsidRPr="00DD47DF">
              <w:rPr>
                <w:rFonts w:ascii="Times New Roman" w:hAnsi="Times New Roman"/>
                <w:bCs/>
                <w:color w:val="000000"/>
                <w:sz w:val="22"/>
                <w:szCs w:val="22"/>
              </w:rPr>
              <w:t xml:space="preserve">Tento počet odpovídá aktuálním požadavkům na správní kapacitu reagující na změnu podmínek. </w:t>
            </w:r>
            <w:r w:rsidRPr="00DD47DF">
              <w:rPr>
                <w:rFonts w:ascii="Times New Roman" w:hAnsi="Times New Roman"/>
                <w:bCs/>
                <w:color w:val="000000"/>
                <w:sz w:val="22"/>
                <w:szCs w:val="22"/>
                <w:lang w:eastAsia="cs-CZ"/>
              </w:rPr>
              <w:t xml:space="preserve">Technická pomoc je zajišťována skrze informační systém a metodické pokyny </w:t>
            </w:r>
            <w:r w:rsidRPr="00DD47DF">
              <w:rPr>
                <w:rFonts w:ascii="Times New Roman" w:hAnsi="Times New Roman"/>
                <w:sz w:val="22"/>
                <w:szCs w:val="22"/>
              </w:rPr>
              <w:t xml:space="preserve">a </w:t>
            </w:r>
            <w:r w:rsidRPr="00DD47DF">
              <w:rPr>
                <w:rFonts w:ascii="Times New Roman" w:hAnsi="Times New Roman"/>
                <w:sz w:val="22"/>
                <w:szCs w:val="22"/>
              </w:rPr>
              <w:lastRenderedPageBreak/>
              <w:t>pomocí systému autorizovaných expertů.</w:t>
            </w:r>
          </w:p>
          <w:p w14:paraId="69710986" w14:textId="77777777" w:rsidR="00790A0D" w:rsidRPr="00DD47DF" w:rsidRDefault="00790A0D" w:rsidP="006D2F5F">
            <w:pPr>
              <w:pStyle w:val="DAVA"/>
              <w:spacing w:before="0"/>
              <w:rPr>
                <w:rFonts w:ascii="Times New Roman" w:hAnsi="Times New Roman"/>
                <w:bCs/>
                <w:color w:val="000000"/>
                <w:sz w:val="22"/>
                <w:szCs w:val="22"/>
              </w:rPr>
            </w:pPr>
            <w:r w:rsidRPr="00DD47DF">
              <w:rPr>
                <w:rFonts w:ascii="Times New Roman" w:hAnsi="Times New Roman"/>
                <w:bCs/>
                <w:color w:val="000000"/>
                <w:sz w:val="22"/>
                <w:szCs w:val="22"/>
              </w:rPr>
              <w:t>Viz Příloha č. II a Akční plán.</w:t>
            </w:r>
          </w:p>
          <w:p w14:paraId="308752C4" w14:textId="77777777" w:rsidR="00790A0D" w:rsidRPr="00DD47DF" w:rsidRDefault="00790A0D" w:rsidP="006D2F5F">
            <w:pPr>
              <w:pStyle w:val="Tabulka"/>
              <w:jc w:val="left"/>
              <w:rPr>
                <w:rFonts w:cs="Calibri"/>
              </w:rPr>
            </w:pPr>
          </w:p>
        </w:tc>
      </w:tr>
      <w:tr w:rsidR="00790A0D" w:rsidRPr="00DD47DF" w14:paraId="00905C28" w14:textId="77777777" w:rsidTr="006D2F5F">
        <w:tc>
          <w:tcPr>
            <w:tcW w:w="1752" w:type="dxa"/>
            <w:vMerge w:val="restart"/>
            <w:shd w:val="clear" w:color="auto" w:fill="auto"/>
          </w:tcPr>
          <w:p w14:paraId="6AF2ADB4" w14:textId="77777777" w:rsidR="00790A0D" w:rsidRPr="00DD47DF" w:rsidRDefault="00790A0D" w:rsidP="006D2F5F">
            <w:pPr>
              <w:pStyle w:val="Tabulka"/>
              <w:jc w:val="left"/>
              <w:rPr>
                <w:rFonts w:cs="Calibri"/>
                <w:b/>
              </w:rPr>
            </w:pPr>
            <w:r w:rsidRPr="00DD47DF">
              <w:rPr>
                <w:rFonts w:cs="Calibri"/>
                <w:b/>
              </w:rPr>
              <w:lastRenderedPageBreak/>
              <w:t xml:space="preserve">Existence statistického základu nezbytného k provádění hodnocení za účelem posouzení účinnosti a </w:t>
            </w:r>
            <w:r w:rsidRPr="00DD47DF">
              <w:rPr>
                <w:rFonts w:cs="Calibri"/>
                <w:b/>
              </w:rPr>
              <w:lastRenderedPageBreak/>
              <w:t>dopadu programů.</w:t>
            </w:r>
          </w:p>
          <w:p w14:paraId="7AFEC9C0" w14:textId="77777777" w:rsidR="00790A0D" w:rsidRPr="00DD47DF" w:rsidRDefault="00790A0D" w:rsidP="006D2F5F">
            <w:pPr>
              <w:pStyle w:val="Tabulka"/>
              <w:jc w:val="left"/>
              <w:rPr>
                <w:rFonts w:cs="Calibri"/>
                <w:b/>
              </w:rPr>
            </w:pPr>
          </w:p>
          <w:p w14:paraId="1B8EB23B" w14:textId="77777777" w:rsidR="00790A0D" w:rsidRPr="00DD47DF" w:rsidRDefault="00790A0D" w:rsidP="006D2F5F">
            <w:pPr>
              <w:pStyle w:val="Tabulka"/>
              <w:jc w:val="left"/>
              <w:rPr>
                <w:rFonts w:cs="Calibri"/>
                <w:b/>
              </w:rPr>
            </w:pPr>
            <w:r w:rsidRPr="00DD47DF">
              <w:rPr>
                <w:rFonts w:cs="Calibri"/>
                <w:b/>
              </w:rPr>
              <w:t>Existence systému ukazatele výsledků nezbytného pro výběr opatření, jež budou nejúčinněji přispívat k dosahování požadovaných výsledků, k sledování pokroku při plnění cílů a k provedení posouzení dopadů</w:t>
            </w:r>
          </w:p>
        </w:tc>
        <w:tc>
          <w:tcPr>
            <w:tcW w:w="1701" w:type="dxa"/>
            <w:vMerge w:val="restart"/>
            <w:shd w:val="clear" w:color="auto" w:fill="auto"/>
          </w:tcPr>
          <w:p w14:paraId="4C582F11" w14:textId="77777777" w:rsidR="00790A0D" w:rsidRPr="00DD47DF" w:rsidRDefault="00790A0D" w:rsidP="006D2F5F">
            <w:pPr>
              <w:pStyle w:val="Tabulka"/>
              <w:jc w:val="left"/>
              <w:rPr>
                <w:rFonts w:cs="Calibri"/>
              </w:rPr>
            </w:pPr>
            <w:r w:rsidRPr="00DD47DF">
              <w:rPr>
                <w:rFonts w:cs="Calibri"/>
              </w:rPr>
              <w:lastRenderedPageBreak/>
              <w:t>Všechny prioritní osy OP PIK</w:t>
            </w:r>
          </w:p>
          <w:p w14:paraId="6E126A67" w14:textId="77777777" w:rsidR="00790A0D" w:rsidRPr="00DD47DF" w:rsidRDefault="00790A0D" w:rsidP="006D2F5F">
            <w:pPr>
              <w:pStyle w:val="Tabulka"/>
              <w:jc w:val="left"/>
              <w:rPr>
                <w:rFonts w:cs="Calibri"/>
              </w:rPr>
            </w:pPr>
          </w:p>
          <w:p w14:paraId="5388D958" w14:textId="77777777" w:rsidR="00790A0D" w:rsidRPr="00DD47DF" w:rsidRDefault="00790A0D" w:rsidP="006D2F5F">
            <w:pPr>
              <w:pStyle w:val="Tabulka"/>
              <w:jc w:val="left"/>
              <w:rPr>
                <w:rFonts w:cs="Calibri"/>
              </w:rPr>
            </w:pPr>
          </w:p>
        </w:tc>
        <w:tc>
          <w:tcPr>
            <w:tcW w:w="1276" w:type="dxa"/>
            <w:vMerge w:val="restart"/>
            <w:shd w:val="clear" w:color="auto" w:fill="auto"/>
          </w:tcPr>
          <w:p w14:paraId="4406DC69" w14:textId="77777777" w:rsidR="00790A0D" w:rsidRPr="00DD47DF" w:rsidRDefault="002D4CC1" w:rsidP="006D2F5F">
            <w:pPr>
              <w:pStyle w:val="Tabulka"/>
              <w:jc w:val="left"/>
              <w:rPr>
                <w:rFonts w:cs="Calibri"/>
              </w:rPr>
            </w:pPr>
            <w:r>
              <w:rPr>
                <w:rFonts w:cs="Calibri"/>
              </w:rPr>
              <w:t>Částečně</w:t>
            </w:r>
          </w:p>
          <w:p w14:paraId="56428102" w14:textId="77777777" w:rsidR="00790A0D" w:rsidRPr="00DD47DF" w:rsidRDefault="00790A0D" w:rsidP="006D2F5F">
            <w:pPr>
              <w:pStyle w:val="Tabulka"/>
              <w:jc w:val="left"/>
              <w:rPr>
                <w:rFonts w:cs="Calibri"/>
              </w:rPr>
            </w:pPr>
          </w:p>
          <w:p w14:paraId="505C13E6" w14:textId="77777777" w:rsidR="00790A0D" w:rsidRPr="00DD47DF" w:rsidRDefault="00790A0D" w:rsidP="006D2F5F">
            <w:pPr>
              <w:pStyle w:val="Tabulka"/>
              <w:jc w:val="left"/>
              <w:rPr>
                <w:rFonts w:cs="Calibri"/>
              </w:rPr>
            </w:pPr>
          </w:p>
          <w:p w14:paraId="77744727" w14:textId="77777777" w:rsidR="00790A0D" w:rsidRPr="00DD47DF" w:rsidRDefault="00790A0D" w:rsidP="006D2F5F">
            <w:pPr>
              <w:pStyle w:val="Tabulka"/>
              <w:jc w:val="left"/>
              <w:rPr>
                <w:rFonts w:cs="Calibri"/>
              </w:rPr>
            </w:pPr>
          </w:p>
        </w:tc>
        <w:tc>
          <w:tcPr>
            <w:tcW w:w="1843" w:type="dxa"/>
            <w:shd w:val="clear" w:color="auto" w:fill="auto"/>
          </w:tcPr>
          <w:p w14:paraId="42DA92E3" w14:textId="77777777" w:rsidR="00790A0D" w:rsidRPr="00DD47DF" w:rsidRDefault="00790A0D" w:rsidP="006D2F5F">
            <w:pPr>
              <w:pStyle w:val="DAVA"/>
              <w:spacing w:before="80" w:after="80"/>
              <w:rPr>
                <w:rFonts w:ascii="Times New Roman" w:hAnsi="Times New Roman"/>
                <w:sz w:val="22"/>
                <w:szCs w:val="22"/>
                <w:lang w:eastAsia="cs-CZ"/>
              </w:rPr>
            </w:pPr>
            <w:r w:rsidRPr="00DD47DF">
              <w:rPr>
                <w:rFonts w:ascii="Times New Roman" w:hAnsi="Times New Roman"/>
                <w:color w:val="000000"/>
                <w:sz w:val="22"/>
                <w:szCs w:val="22"/>
              </w:rPr>
              <w:t>Jsou vypracována opatření pro včasný sběr a agregaci statistických údajů, která obsahují tyto prvky:</w:t>
            </w:r>
          </w:p>
          <w:p w14:paraId="5641E1B6" w14:textId="77777777" w:rsidR="00790A0D" w:rsidRPr="00DD47DF" w:rsidRDefault="00790A0D" w:rsidP="00D43AF5">
            <w:pPr>
              <w:pStyle w:val="Odstavecseseznamem"/>
              <w:numPr>
                <w:ilvl w:val="0"/>
                <w:numId w:val="92"/>
              </w:numPr>
              <w:overflowPunct/>
              <w:autoSpaceDE/>
              <w:autoSpaceDN/>
              <w:adjustRightInd/>
              <w:spacing w:before="80" w:after="80"/>
              <w:ind w:left="355"/>
              <w:textAlignment w:val="auto"/>
              <w:rPr>
                <w:sz w:val="22"/>
                <w:szCs w:val="22"/>
              </w:rPr>
            </w:pPr>
            <w:r w:rsidRPr="00DD47DF">
              <w:rPr>
                <w:bCs/>
                <w:sz w:val="22"/>
                <w:szCs w:val="22"/>
              </w:rPr>
              <w:t xml:space="preserve">určení zdrojů a mechanismů </w:t>
            </w:r>
            <w:r w:rsidRPr="00DD47DF">
              <w:rPr>
                <w:bCs/>
                <w:sz w:val="22"/>
                <w:szCs w:val="22"/>
              </w:rPr>
              <w:lastRenderedPageBreak/>
              <w:t>pro zajištění statistického ověřování,</w:t>
            </w:r>
          </w:p>
        </w:tc>
        <w:tc>
          <w:tcPr>
            <w:tcW w:w="1134" w:type="dxa"/>
            <w:shd w:val="clear" w:color="auto" w:fill="auto"/>
          </w:tcPr>
          <w:p w14:paraId="387CD564" w14:textId="77777777" w:rsidR="00790A0D" w:rsidRPr="00DD47DF" w:rsidRDefault="00A0467F" w:rsidP="006D2F5F">
            <w:pPr>
              <w:pStyle w:val="Tabulka"/>
              <w:jc w:val="left"/>
            </w:pPr>
            <w:r w:rsidRPr="00DD47DF">
              <w:lastRenderedPageBreak/>
              <w:t>ne</w:t>
            </w:r>
          </w:p>
        </w:tc>
        <w:tc>
          <w:tcPr>
            <w:tcW w:w="2126" w:type="dxa"/>
            <w:shd w:val="clear" w:color="auto" w:fill="auto"/>
          </w:tcPr>
          <w:p w14:paraId="281321BD" w14:textId="77777777" w:rsidR="00790A0D" w:rsidRPr="00DD47DF" w:rsidRDefault="00790A0D" w:rsidP="006D2F5F">
            <w:pPr>
              <w:pStyle w:val="Tabulka"/>
              <w:jc w:val="left"/>
            </w:pPr>
          </w:p>
        </w:tc>
        <w:tc>
          <w:tcPr>
            <w:tcW w:w="4394" w:type="dxa"/>
            <w:shd w:val="clear" w:color="auto" w:fill="auto"/>
          </w:tcPr>
          <w:p w14:paraId="01022349" w14:textId="77777777" w:rsidR="00F97C3B" w:rsidRPr="00DD47DF" w:rsidRDefault="0078753D" w:rsidP="006D2F5F">
            <w:pPr>
              <w:pStyle w:val="DAVA"/>
              <w:spacing w:before="80" w:after="80"/>
              <w:rPr>
                <w:rFonts w:ascii="Times New Roman" w:hAnsi="Times New Roman"/>
                <w:sz w:val="22"/>
                <w:szCs w:val="22"/>
              </w:rPr>
            </w:pPr>
            <w:r w:rsidRPr="00DD47DF">
              <w:rPr>
                <w:rFonts w:ascii="Times New Roman" w:hAnsi="Times New Roman"/>
                <w:sz w:val="22"/>
                <w:szCs w:val="22"/>
              </w:rPr>
              <w:t xml:space="preserve">Gestor PP: Plnění </w:t>
            </w:r>
            <w:r w:rsidR="000529F1" w:rsidRPr="00DD47DF">
              <w:rPr>
                <w:rFonts w:ascii="Times New Roman" w:hAnsi="Times New Roman"/>
                <w:sz w:val="22"/>
                <w:szCs w:val="22"/>
              </w:rPr>
              <w:t xml:space="preserve">ČÁSTEČNĚ </w:t>
            </w:r>
          </w:p>
          <w:p w14:paraId="4A104FE8" w14:textId="77777777" w:rsidR="00790A0D" w:rsidRPr="00DD47DF" w:rsidRDefault="00790A0D" w:rsidP="006D2F5F">
            <w:pPr>
              <w:pStyle w:val="DAVA"/>
              <w:spacing w:before="80" w:after="80"/>
              <w:rPr>
                <w:rFonts w:ascii="Times New Roman" w:hAnsi="Times New Roman"/>
                <w:sz w:val="22"/>
                <w:szCs w:val="22"/>
              </w:rPr>
            </w:pPr>
            <w:r w:rsidRPr="00DD47DF">
              <w:rPr>
                <w:rFonts w:ascii="Times New Roman" w:hAnsi="Times New Roman"/>
                <w:sz w:val="22"/>
                <w:szCs w:val="22"/>
              </w:rPr>
              <w:t>9. srpna 2013 byl usnesením vlády č. 597 schválen závazný metodický pokyn určující pravidla pro tvorbu indikátorových soustav (MP indikátorů 2014-2020).</w:t>
            </w:r>
          </w:p>
          <w:p w14:paraId="6ED64D73" w14:textId="77777777" w:rsidR="00790A0D" w:rsidRPr="00DD47DF" w:rsidRDefault="00790A0D" w:rsidP="006D2F5F">
            <w:pPr>
              <w:pStyle w:val="DAVA"/>
              <w:spacing w:before="80" w:after="80"/>
              <w:rPr>
                <w:rFonts w:ascii="Times New Roman" w:hAnsi="Times New Roman"/>
                <w:sz w:val="22"/>
                <w:szCs w:val="22"/>
              </w:rPr>
            </w:pPr>
            <w:r w:rsidRPr="00DD47DF">
              <w:rPr>
                <w:rFonts w:ascii="Times New Roman" w:hAnsi="Times New Roman"/>
                <w:sz w:val="22"/>
                <w:szCs w:val="22"/>
              </w:rPr>
              <w:t xml:space="preserve">Připravováno technické řešení v rámci monitorovacího systému MS2014+. </w:t>
            </w:r>
          </w:p>
          <w:p w14:paraId="2E6615BC" w14:textId="77777777" w:rsidR="00790A0D" w:rsidRPr="00DD47DF" w:rsidRDefault="00790A0D" w:rsidP="006D2F5F">
            <w:pPr>
              <w:pStyle w:val="DAVA"/>
              <w:spacing w:before="80" w:after="80"/>
              <w:rPr>
                <w:rFonts w:ascii="Times New Roman" w:hAnsi="Times New Roman"/>
                <w:sz w:val="22"/>
                <w:szCs w:val="22"/>
              </w:rPr>
            </w:pPr>
            <w:r w:rsidRPr="00DD47DF">
              <w:rPr>
                <w:rFonts w:ascii="Times New Roman" w:hAnsi="Times New Roman"/>
                <w:sz w:val="22"/>
                <w:szCs w:val="22"/>
              </w:rPr>
              <w:t xml:space="preserve">V rámci přípravy indikátorové soustavy dochází </w:t>
            </w:r>
            <w:r w:rsidRPr="00DD47DF">
              <w:rPr>
                <w:rFonts w:ascii="Times New Roman" w:hAnsi="Times New Roman"/>
                <w:sz w:val="22"/>
                <w:szCs w:val="22"/>
              </w:rPr>
              <w:lastRenderedPageBreak/>
              <w:t>k posuzování jednotlivých ukazatelů s ohledem na jejich relevanci, jednoznačnost a také dostupnost. Při přípravě probíhá spolupráce také s ex-ante hodnotiteli programů.</w:t>
            </w:r>
          </w:p>
          <w:p w14:paraId="1D5CA8F0" w14:textId="77777777" w:rsidR="00790A0D" w:rsidRPr="00DD47DF" w:rsidRDefault="00790A0D" w:rsidP="0078753D">
            <w:pPr>
              <w:pStyle w:val="Tabulka"/>
              <w:jc w:val="left"/>
            </w:pPr>
            <w:r w:rsidRPr="00DD47DF">
              <w:t>U relevantních výsledkových indikátorů, jejichž zdrojem jsou centrální statistiky, je nastavována spolupráce s ČSÚ na pravidelné dodávání potřebných dat.</w:t>
            </w:r>
          </w:p>
          <w:p w14:paraId="06C9B849" w14:textId="77777777" w:rsidR="0078753D" w:rsidRPr="00DD47DF" w:rsidRDefault="0078753D" w:rsidP="00D32020">
            <w:pPr>
              <w:pStyle w:val="Tabulka"/>
              <w:jc w:val="left"/>
            </w:pPr>
            <w:r w:rsidRPr="00DD47DF">
              <w:t>ŘO: Plnění</w:t>
            </w:r>
            <w:r w:rsidR="00D32020" w:rsidRPr="00DD47DF">
              <w:t xml:space="preserve"> částečně</w:t>
            </w:r>
          </w:p>
          <w:p w14:paraId="03AF8BBC" w14:textId="77777777" w:rsidR="00D32020" w:rsidRPr="00DD47DF" w:rsidRDefault="00D32020" w:rsidP="00D32020">
            <w:pPr>
              <w:pStyle w:val="Tabulka"/>
              <w:jc w:val="left"/>
            </w:pPr>
            <w:r w:rsidRPr="00DD47DF">
              <w:t>V současné době má MPO uzavřenou rámcovou dohodu o spolupráci s ČSÚ, která se týká poskytování relevantních dat pro potřeby MPO.</w:t>
            </w:r>
          </w:p>
        </w:tc>
      </w:tr>
      <w:tr w:rsidR="00790A0D" w:rsidRPr="00DD47DF" w14:paraId="348DBF76" w14:textId="77777777" w:rsidTr="006D2F5F">
        <w:tc>
          <w:tcPr>
            <w:tcW w:w="1752" w:type="dxa"/>
            <w:vMerge/>
            <w:shd w:val="clear" w:color="auto" w:fill="auto"/>
          </w:tcPr>
          <w:p w14:paraId="3D2C0821" w14:textId="77777777" w:rsidR="00790A0D" w:rsidRPr="00DD47DF" w:rsidRDefault="00790A0D" w:rsidP="006D2F5F">
            <w:pPr>
              <w:pStyle w:val="Tabulka"/>
              <w:rPr>
                <w:rFonts w:cs="Calibri"/>
                <w:b/>
              </w:rPr>
            </w:pPr>
          </w:p>
        </w:tc>
        <w:tc>
          <w:tcPr>
            <w:tcW w:w="1701" w:type="dxa"/>
            <w:vMerge/>
            <w:shd w:val="clear" w:color="auto" w:fill="auto"/>
          </w:tcPr>
          <w:p w14:paraId="5D40AA29" w14:textId="77777777" w:rsidR="00790A0D" w:rsidRPr="00DD47DF" w:rsidRDefault="00790A0D" w:rsidP="006D2F5F">
            <w:pPr>
              <w:pStyle w:val="Tabulka"/>
              <w:rPr>
                <w:rFonts w:cs="Calibri"/>
              </w:rPr>
            </w:pPr>
          </w:p>
        </w:tc>
        <w:tc>
          <w:tcPr>
            <w:tcW w:w="1276" w:type="dxa"/>
            <w:vMerge/>
            <w:shd w:val="clear" w:color="auto" w:fill="auto"/>
          </w:tcPr>
          <w:p w14:paraId="14CCD9D6" w14:textId="77777777" w:rsidR="00790A0D" w:rsidRPr="00DD47DF" w:rsidRDefault="00790A0D" w:rsidP="006D2F5F">
            <w:pPr>
              <w:pStyle w:val="Tabulka"/>
              <w:rPr>
                <w:rFonts w:cs="Calibri"/>
              </w:rPr>
            </w:pPr>
          </w:p>
        </w:tc>
        <w:tc>
          <w:tcPr>
            <w:tcW w:w="1843" w:type="dxa"/>
            <w:shd w:val="clear" w:color="auto" w:fill="auto"/>
          </w:tcPr>
          <w:p w14:paraId="11CDB2A6" w14:textId="77777777" w:rsidR="00790A0D" w:rsidRPr="00DD47DF" w:rsidRDefault="00790A0D" w:rsidP="006D2F5F">
            <w:pPr>
              <w:pStyle w:val="Odstavecseseznamem"/>
              <w:spacing w:before="80" w:after="80"/>
              <w:ind w:left="0"/>
              <w:contextualSpacing w:val="0"/>
              <w:rPr>
                <w:bCs/>
                <w:sz w:val="22"/>
                <w:szCs w:val="22"/>
              </w:rPr>
            </w:pPr>
            <w:r w:rsidRPr="00DD47DF">
              <w:rPr>
                <w:bCs/>
                <w:sz w:val="22"/>
                <w:szCs w:val="22"/>
              </w:rPr>
              <w:t>Jsou vypracována opatření pro včasný sběr a agregaci statistických údajů, která obsahují tyto prvky:</w:t>
            </w:r>
          </w:p>
          <w:p w14:paraId="1B4B3DDC" w14:textId="77777777" w:rsidR="00790A0D" w:rsidRPr="00DD47DF" w:rsidRDefault="00790A0D" w:rsidP="00F91E8F">
            <w:pPr>
              <w:pStyle w:val="Tabulka"/>
              <w:numPr>
                <w:ilvl w:val="0"/>
                <w:numId w:val="92"/>
              </w:numPr>
              <w:jc w:val="left"/>
            </w:pPr>
            <w:r w:rsidRPr="00DD47DF">
              <w:rPr>
                <w:bCs/>
              </w:rPr>
              <w:t>opatření pro zveřejňování a zpřístupňování souhrnných informací veřejnosti;</w:t>
            </w:r>
          </w:p>
        </w:tc>
        <w:tc>
          <w:tcPr>
            <w:tcW w:w="1134" w:type="dxa"/>
            <w:shd w:val="clear" w:color="auto" w:fill="auto"/>
          </w:tcPr>
          <w:p w14:paraId="3090D333" w14:textId="77777777" w:rsidR="00790A0D" w:rsidRPr="00DD47DF" w:rsidRDefault="00790A0D" w:rsidP="006D2F5F">
            <w:pPr>
              <w:pStyle w:val="Tabulka"/>
              <w:jc w:val="left"/>
            </w:pPr>
            <w:r w:rsidRPr="00DD47DF">
              <w:t>ano</w:t>
            </w:r>
          </w:p>
        </w:tc>
        <w:tc>
          <w:tcPr>
            <w:tcW w:w="2126" w:type="dxa"/>
            <w:shd w:val="clear" w:color="auto" w:fill="auto"/>
          </w:tcPr>
          <w:p w14:paraId="3F0320CC" w14:textId="77777777" w:rsidR="00790A0D" w:rsidRPr="00DD47DF" w:rsidRDefault="00AF6FE3" w:rsidP="006D2F5F">
            <w:pPr>
              <w:rPr>
                <w:sz w:val="22"/>
                <w:szCs w:val="22"/>
              </w:rPr>
            </w:pPr>
            <w:hyperlink r:id="rId106" w:history="1">
              <w:r w:rsidR="00790A0D" w:rsidRPr="00DD47DF">
                <w:rPr>
                  <w:rStyle w:val="Hypertextovodkaz"/>
                  <w:sz w:val="22"/>
                  <w:szCs w:val="22"/>
                </w:rPr>
                <w:t>http://www.s-f.cz/cs/Fondy-EU/2014-2020/Metodicke-pokyny</w:t>
              </w:r>
            </w:hyperlink>
          </w:p>
          <w:p w14:paraId="760E00B5" w14:textId="77777777" w:rsidR="00790A0D" w:rsidRPr="00DD47DF" w:rsidRDefault="00790A0D" w:rsidP="006D2F5F">
            <w:pPr>
              <w:pStyle w:val="Tabulka"/>
              <w:jc w:val="left"/>
            </w:pPr>
          </w:p>
        </w:tc>
        <w:tc>
          <w:tcPr>
            <w:tcW w:w="4394" w:type="dxa"/>
            <w:shd w:val="clear" w:color="auto" w:fill="auto"/>
          </w:tcPr>
          <w:p w14:paraId="123E0E5A" w14:textId="77777777" w:rsidR="0078753D" w:rsidRPr="00DD47DF" w:rsidRDefault="0078753D" w:rsidP="006D2F5F">
            <w:pPr>
              <w:pStyle w:val="DAVA"/>
              <w:spacing w:before="80" w:after="80"/>
              <w:rPr>
                <w:rFonts w:ascii="Times New Roman" w:hAnsi="Times New Roman"/>
                <w:sz w:val="22"/>
                <w:szCs w:val="22"/>
              </w:rPr>
            </w:pPr>
            <w:r w:rsidRPr="00DD47DF">
              <w:rPr>
                <w:rFonts w:ascii="Times New Roman" w:hAnsi="Times New Roman"/>
                <w:sz w:val="22"/>
                <w:szCs w:val="22"/>
              </w:rPr>
              <w:t>Gestor PP: Plnění ANO</w:t>
            </w:r>
          </w:p>
          <w:p w14:paraId="71B94A11" w14:textId="77777777" w:rsidR="00790A0D" w:rsidRPr="00DD47DF" w:rsidRDefault="00790A0D" w:rsidP="006D2F5F">
            <w:pPr>
              <w:pStyle w:val="DAVA"/>
              <w:spacing w:before="80" w:after="80"/>
              <w:rPr>
                <w:rFonts w:ascii="Times New Roman" w:hAnsi="Times New Roman"/>
                <w:sz w:val="22"/>
                <w:szCs w:val="22"/>
              </w:rPr>
            </w:pPr>
            <w:r w:rsidRPr="00DD47DF">
              <w:rPr>
                <w:rFonts w:ascii="Times New Roman" w:hAnsi="Times New Roman"/>
                <w:sz w:val="22"/>
                <w:szCs w:val="22"/>
              </w:rPr>
              <w:t>Z metodického hlediska splněno v podobě následujících závazných metodických pokynů:</w:t>
            </w:r>
          </w:p>
          <w:p w14:paraId="6C5B50EE" w14:textId="77777777" w:rsidR="00790A0D" w:rsidRPr="00DD47DF" w:rsidRDefault="00790A0D" w:rsidP="006D2F5F">
            <w:pPr>
              <w:pStyle w:val="DAVA"/>
              <w:spacing w:before="80" w:after="80"/>
              <w:rPr>
                <w:rFonts w:ascii="Times New Roman" w:hAnsi="Times New Roman"/>
                <w:sz w:val="22"/>
                <w:szCs w:val="22"/>
              </w:rPr>
            </w:pPr>
            <w:r w:rsidRPr="00DD47DF">
              <w:rPr>
                <w:rFonts w:ascii="Times New Roman" w:hAnsi="Times New Roman"/>
                <w:sz w:val="22"/>
                <w:szCs w:val="22"/>
              </w:rPr>
              <w:t>MP evaluace (schválen ÚV 597/2013), kde je zapracován požadavek na povinné zveřejňování všech evaluačních výstupů.</w:t>
            </w:r>
          </w:p>
          <w:p w14:paraId="063CA3E4" w14:textId="77777777" w:rsidR="00790A0D" w:rsidRPr="00DD47DF" w:rsidRDefault="00790A0D" w:rsidP="006D2F5F">
            <w:pPr>
              <w:pStyle w:val="DAVA"/>
              <w:spacing w:before="80" w:after="80"/>
              <w:rPr>
                <w:rFonts w:ascii="Times New Roman" w:hAnsi="Times New Roman"/>
                <w:sz w:val="22"/>
                <w:szCs w:val="22"/>
              </w:rPr>
            </w:pPr>
            <w:r w:rsidRPr="00DD47DF">
              <w:rPr>
                <w:rFonts w:ascii="Times New Roman" w:hAnsi="Times New Roman"/>
                <w:sz w:val="22"/>
                <w:szCs w:val="22"/>
              </w:rPr>
              <w:t>MP monitorování (schválen), která definuje obsah a pravidelné zveřejňování zpráv o průběhu implementace</w:t>
            </w:r>
          </w:p>
          <w:p w14:paraId="5F6804D1" w14:textId="77777777" w:rsidR="00790A0D" w:rsidRPr="00DD47DF" w:rsidRDefault="00790A0D" w:rsidP="001D2CCD">
            <w:pPr>
              <w:pStyle w:val="DAVA"/>
              <w:spacing w:before="80" w:after="80"/>
              <w:rPr>
                <w:rFonts w:ascii="Times New Roman" w:hAnsi="Times New Roman"/>
                <w:sz w:val="22"/>
                <w:szCs w:val="22"/>
              </w:rPr>
            </w:pPr>
            <w:r w:rsidRPr="00DD47DF">
              <w:rPr>
                <w:rFonts w:ascii="Times New Roman" w:hAnsi="Times New Roman"/>
                <w:sz w:val="22"/>
                <w:szCs w:val="22"/>
              </w:rPr>
              <w:t xml:space="preserve">MP publicita (schválen </w:t>
            </w:r>
            <w:r w:rsidR="0045099F" w:rsidRPr="00DD47DF">
              <w:rPr>
                <w:rFonts w:ascii="Times New Roman" w:hAnsi="Times New Roman"/>
                <w:sz w:val="22"/>
                <w:szCs w:val="22"/>
              </w:rPr>
              <w:t>U</w:t>
            </w:r>
            <w:r w:rsidRPr="00DD47DF">
              <w:rPr>
                <w:rFonts w:ascii="Times New Roman" w:hAnsi="Times New Roman"/>
                <w:sz w:val="22"/>
                <w:szCs w:val="22"/>
              </w:rPr>
              <w:t>V 44/2014), který definuje závazná pravidla pro tv</w:t>
            </w:r>
            <w:r w:rsidR="001D2CCD" w:rsidRPr="00DD47DF">
              <w:rPr>
                <w:rFonts w:ascii="Times New Roman" w:hAnsi="Times New Roman"/>
                <w:sz w:val="22"/>
                <w:szCs w:val="22"/>
              </w:rPr>
              <w:t>orbu jednotného webu ESI fondů.</w:t>
            </w:r>
          </w:p>
        </w:tc>
      </w:tr>
      <w:tr w:rsidR="00790A0D" w:rsidRPr="00DD47DF" w14:paraId="0C828416" w14:textId="77777777" w:rsidTr="006D2F5F">
        <w:tc>
          <w:tcPr>
            <w:tcW w:w="1752" w:type="dxa"/>
            <w:vMerge/>
            <w:shd w:val="clear" w:color="auto" w:fill="auto"/>
          </w:tcPr>
          <w:p w14:paraId="3CF6DD2C" w14:textId="77777777" w:rsidR="00790A0D" w:rsidRPr="00DD47DF" w:rsidRDefault="00790A0D" w:rsidP="006D2F5F">
            <w:pPr>
              <w:pStyle w:val="Tabulka"/>
              <w:rPr>
                <w:rFonts w:cs="Calibri"/>
                <w:b/>
              </w:rPr>
            </w:pPr>
          </w:p>
        </w:tc>
        <w:tc>
          <w:tcPr>
            <w:tcW w:w="1701" w:type="dxa"/>
            <w:vMerge/>
            <w:shd w:val="clear" w:color="auto" w:fill="auto"/>
          </w:tcPr>
          <w:p w14:paraId="658FA983" w14:textId="77777777" w:rsidR="00790A0D" w:rsidRPr="00DD47DF" w:rsidRDefault="00790A0D" w:rsidP="006D2F5F">
            <w:pPr>
              <w:pStyle w:val="Tabulka"/>
              <w:rPr>
                <w:rFonts w:cs="Calibri"/>
              </w:rPr>
            </w:pPr>
          </w:p>
        </w:tc>
        <w:tc>
          <w:tcPr>
            <w:tcW w:w="1276" w:type="dxa"/>
            <w:vMerge/>
            <w:shd w:val="clear" w:color="auto" w:fill="auto"/>
          </w:tcPr>
          <w:p w14:paraId="53670033" w14:textId="77777777" w:rsidR="00790A0D" w:rsidRPr="00DD47DF" w:rsidRDefault="00790A0D" w:rsidP="006D2F5F">
            <w:pPr>
              <w:pStyle w:val="Tabulka"/>
              <w:rPr>
                <w:rFonts w:cs="Calibri"/>
              </w:rPr>
            </w:pPr>
          </w:p>
        </w:tc>
        <w:tc>
          <w:tcPr>
            <w:tcW w:w="1843" w:type="dxa"/>
            <w:shd w:val="clear" w:color="auto" w:fill="auto"/>
          </w:tcPr>
          <w:p w14:paraId="317F76CD" w14:textId="77777777" w:rsidR="00790A0D" w:rsidRPr="00DD47DF" w:rsidRDefault="00790A0D" w:rsidP="006D2F5F">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Účinný systém ukazatelů výsledků, včetně:</w:t>
            </w:r>
          </w:p>
          <w:p w14:paraId="01FD5AE3" w14:textId="77777777" w:rsidR="00790A0D" w:rsidRPr="00DD47DF" w:rsidRDefault="00790A0D" w:rsidP="00F91E8F">
            <w:pPr>
              <w:pStyle w:val="Tabulka"/>
              <w:numPr>
                <w:ilvl w:val="0"/>
                <w:numId w:val="92"/>
              </w:numPr>
              <w:jc w:val="left"/>
            </w:pPr>
            <w:r w:rsidRPr="00DD47DF">
              <w:rPr>
                <w:bCs/>
              </w:rPr>
              <w:t xml:space="preserve">výběru ukazatelů </w:t>
            </w:r>
            <w:r w:rsidRPr="00DD47DF">
              <w:rPr>
                <w:bCs/>
              </w:rPr>
              <w:lastRenderedPageBreak/>
              <w:t>výsledků pro každý program, jež budou vypovídat o motivaci k výběru strategických kroků financovaných z programu,</w:t>
            </w:r>
          </w:p>
        </w:tc>
        <w:tc>
          <w:tcPr>
            <w:tcW w:w="1134" w:type="dxa"/>
            <w:shd w:val="clear" w:color="auto" w:fill="auto"/>
          </w:tcPr>
          <w:p w14:paraId="6F9463B8" w14:textId="77777777" w:rsidR="00790A0D" w:rsidRPr="00DD47DF" w:rsidRDefault="008B1FD2" w:rsidP="006D2F5F">
            <w:pPr>
              <w:pStyle w:val="Tabulka"/>
              <w:jc w:val="left"/>
            </w:pPr>
            <w:r w:rsidRPr="00DD47DF">
              <w:lastRenderedPageBreak/>
              <w:t>ne</w:t>
            </w:r>
          </w:p>
        </w:tc>
        <w:tc>
          <w:tcPr>
            <w:tcW w:w="2126" w:type="dxa"/>
            <w:shd w:val="clear" w:color="auto" w:fill="auto"/>
          </w:tcPr>
          <w:p w14:paraId="2AC27EF6" w14:textId="77777777" w:rsidR="00790A0D" w:rsidRPr="00DD47DF" w:rsidRDefault="00790A0D" w:rsidP="006D2F5F">
            <w:pPr>
              <w:pStyle w:val="Tabulka"/>
              <w:jc w:val="left"/>
            </w:pPr>
          </w:p>
        </w:tc>
        <w:tc>
          <w:tcPr>
            <w:tcW w:w="4394" w:type="dxa"/>
            <w:shd w:val="clear" w:color="auto" w:fill="auto"/>
          </w:tcPr>
          <w:p w14:paraId="028D6A2E" w14:textId="77777777" w:rsidR="002862A9" w:rsidRPr="00DD47DF" w:rsidRDefault="0078753D" w:rsidP="006D2F5F">
            <w:pPr>
              <w:pStyle w:val="DAVA"/>
              <w:spacing w:before="80" w:after="80"/>
              <w:rPr>
                <w:rFonts w:ascii="Times New Roman" w:hAnsi="Times New Roman"/>
                <w:sz w:val="22"/>
                <w:szCs w:val="22"/>
              </w:rPr>
            </w:pPr>
            <w:r w:rsidRPr="00DD47DF">
              <w:rPr>
                <w:rFonts w:ascii="Times New Roman" w:hAnsi="Times New Roman"/>
                <w:sz w:val="22"/>
                <w:szCs w:val="22"/>
              </w:rPr>
              <w:t xml:space="preserve">Gestor PP: Plnění </w:t>
            </w:r>
            <w:r w:rsidR="000529F1" w:rsidRPr="00DD47DF">
              <w:rPr>
                <w:rFonts w:ascii="Times New Roman" w:hAnsi="Times New Roman"/>
                <w:sz w:val="22"/>
                <w:szCs w:val="22"/>
              </w:rPr>
              <w:t xml:space="preserve">ČÁSTEČNĚ </w:t>
            </w:r>
          </w:p>
          <w:p w14:paraId="062F0CC7" w14:textId="77777777" w:rsidR="00790A0D" w:rsidRPr="00DD47DF" w:rsidRDefault="0078753D" w:rsidP="006D2F5F">
            <w:pPr>
              <w:pStyle w:val="DAVA"/>
              <w:spacing w:before="80" w:after="80"/>
              <w:rPr>
                <w:rFonts w:ascii="Times New Roman" w:hAnsi="Times New Roman"/>
                <w:sz w:val="22"/>
                <w:szCs w:val="22"/>
              </w:rPr>
            </w:pPr>
            <w:r w:rsidRPr="00DD47DF">
              <w:rPr>
                <w:rFonts w:ascii="Times New Roman" w:hAnsi="Times New Roman"/>
                <w:sz w:val="22"/>
                <w:szCs w:val="22"/>
              </w:rPr>
              <w:t>P</w:t>
            </w:r>
            <w:r w:rsidR="00790A0D" w:rsidRPr="00DD47DF">
              <w:rPr>
                <w:rFonts w:ascii="Times New Roman" w:hAnsi="Times New Roman"/>
                <w:sz w:val="22"/>
                <w:szCs w:val="22"/>
              </w:rPr>
              <w:t>robíhá příprava indikátorových soustav programů a spolupráce s ČSÚ pro definování zdrojů statistických dat.</w:t>
            </w:r>
          </w:p>
          <w:p w14:paraId="5609EC43" w14:textId="77777777" w:rsidR="00790A0D" w:rsidRPr="00DD47DF" w:rsidRDefault="00790A0D" w:rsidP="003C2AF9">
            <w:pPr>
              <w:pStyle w:val="DAVA"/>
              <w:spacing w:before="80" w:after="80"/>
              <w:rPr>
                <w:rFonts w:ascii="Times New Roman" w:hAnsi="Times New Roman"/>
                <w:sz w:val="22"/>
                <w:szCs w:val="22"/>
              </w:rPr>
            </w:pPr>
            <w:r w:rsidRPr="00DD47DF">
              <w:rPr>
                <w:rFonts w:ascii="Times New Roman" w:hAnsi="Times New Roman"/>
                <w:sz w:val="22"/>
                <w:szCs w:val="22"/>
              </w:rPr>
              <w:t xml:space="preserve">V rámci přípravy programových dokumentů </w:t>
            </w:r>
            <w:r w:rsidRPr="00DD47DF">
              <w:rPr>
                <w:rFonts w:ascii="Times New Roman" w:hAnsi="Times New Roman"/>
                <w:sz w:val="22"/>
                <w:szCs w:val="22"/>
              </w:rPr>
              <w:lastRenderedPageBreak/>
              <w:t>probíhá intenzivní spolupráce mezi MMR-NOK, ŘO a ex-ante hodnotiteli, důraz</w:t>
            </w:r>
            <w:r w:rsidR="0078753D" w:rsidRPr="00DD47DF">
              <w:rPr>
                <w:rFonts w:ascii="Times New Roman" w:hAnsi="Times New Roman"/>
                <w:sz w:val="22"/>
                <w:szCs w:val="22"/>
              </w:rPr>
              <w:t xml:space="preserve"> je kladen </w:t>
            </w:r>
            <w:r w:rsidRPr="00DD47DF">
              <w:rPr>
                <w:rFonts w:ascii="Times New Roman" w:hAnsi="Times New Roman"/>
                <w:sz w:val="22"/>
                <w:szCs w:val="22"/>
              </w:rPr>
              <w:t xml:space="preserve"> na správné nastavení intervenční logiky programu  včetně </w:t>
            </w:r>
            <w:r w:rsidR="003C2AF9" w:rsidRPr="00DD47DF">
              <w:rPr>
                <w:rFonts w:ascii="Times New Roman" w:hAnsi="Times New Roman"/>
                <w:sz w:val="22"/>
                <w:szCs w:val="22"/>
              </w:rPr>
              <w:t xml:space="preserve"> </w:t>
            </w:r>
            <w:r w:rsidRPr="00DD47DF">
              <w:rPr>
                <w:rFonts w:ascii="Times New Roman" w:hAnsi="Times New Roman"/>
                <w:sz w:val="22"/>
                <w:szCs w:val="22"/>
              </w:rPr>
              <w:t>soustavy indikátorů. Indikátorové soustavy a tvorba programově specifických indikátorů je připravována dle závazného MP indikátorů 2014-2020 a respektuje požadavky EK včetně obsahu této předběžné podmínky. V souladu s MP monitorování a MP evaluace budou pravidelně probíhat hodnocení plnění stanovených cílů. Závěry provedených evaluací budou vodítk</w:t>
            </w:r>
            <w:r w:rsidR="00BE586C" w:rsidRPr="00DD47DF">
              <w:rPr>
                <w:rFonts w:ascii="Times New Roman" w:hAnsi="Times New Roman"/>
                <w:sz w:val="22"/>
                <w:szCs w:val="22"/>
              </w:rPr>
              <w:t xml:space="preserve">em </w:t>
            </w:r>
            <w:r w:rsidRPr="00DD47DF">
              <w:rPr>
                <w:rFonts w:ascii="Times New Roman" w:hAnsi="Times New Roman"/>
                <w:sz w:val="22"/>
                <w:szCs w:val="22"/>
              </w:rPr>
              <w:t xml:space="preserve"> k případné revizi strategie resp. programového dokumentu.</w:t>
            </w:r>
          </w:p>
          <w:p w14:paraId="55B99920" w14:textId="77777777" w:rsidR="003C2AF9" w:rsidRPr="00DD47DF" w:rsidRDefault="003C2AF9" w:rsidP="00BE586C">
            <w:pPr>
              <w:pStyle w:val="DAVA"/>
              <w:spacing w:before="80" w:after="80"/>
              <w:rPr>
                <w:rFonts w:ascii="Times New Roman" w:hAnsi="Times New Roman"/>
                <w:sz w:val="22"/>
                <w:szCs w:val="22"/>
              </w:rPr>
            </w:pPr>
            <w:r w:rsidRPr="00DD47DF">
              <w:rPr>
                <w:rFonts w:ascii="Times New Roman" w:hAnsi="Times New Roman"/>
                <w:sz w:val="22"/>
                <w:szCs w:val="22"/>
              </w:rPr>
              <w:t>ŘO: Plnění</w:t>
            </w:r>
            <w:r w:rsidR="00BE586C" w:rsidRPr="00DD47DF">
              <w:rPr>
                <w:rFonts w:ascii="Times New Roman" w:hAnsi="Times New Roman"/>
                <w:sz w:val="22"/>
                <w:szCs w:val="22"/>
              </w:rPr>
              <w:t xml:space="preserve"> </w:t>
            </w:r>
            <w:r w:rsidR="00FC061B" w:rsidRPr="00DD47DF">
              <w:rPr>
                <w:sz w:val="22"/>
                <w:szCs w:val="22"/>
              </w:rPr>
              <w:t xml:space="preserve"> </w:t>
            </w:r>
            <w:r w:rsidR="00FC061B" w:rsidRPr="00DD47DF">
              <w:rPr>
                <w:rFonts w:ascii="Times New Roman" w:hAnsi="Times New Roman"/>
                <w:sz w:val="22"/>
                <w:szCs w:val="22"/>
              </w:rPr>
              <w:t>ČÁSTEČNĚ</w:t>
            </w:r>
          </w:p>
          <w:p w14:paraId="4C344687" w14:textId="77777777" w:rsidR="00BE586C" w:rsidRPr="00DD47DF" w:rsidRDefault="00BE586C" w:rsidP="00BE586C">
            <w:pPr>
              <w:pStyle w:val="DAVA"/>
              <w:spacing w:before="80" w:after="80"/>
              <w:rPr>
                <w:rFonts w:ascii="Times New Roman" w:hAnsi="Times New Roman"/>
                <w:sz w:val="22"/>
                <w:szCs w:val="22"/>
              </w:rPr>
            </w:pPr>
            <w:r w:rsidRPr="00DD47DF">
              <w:rPr>
                <w:rFonts w:ascii="Times New Roman" w:hAnsi="Times New Roman"/>
                <w:sz w:val="22"/>
                <w:szCs w:val="22"/>
              </w:rPr>
              <w:t>Ukazatele výsledků SC byly nastaveny ve spolupráci s ex-ante hodnotitelem OP PIK a při zohlednění specifických připomínek a doporučení EK (Evaluation Unit) . Ukazatele výsledků SC byly voleny tak, aby co nejlépe vyjadřovaly žádoucí změnu.</w:t>
            </w:r>
          </w:p>
        </w:tc>
      </w:tr>
      <w:tr w:rsidR="00790A0D" w:rsidRPr="00DD47DF" w14:paraId="0AE23009" w14:textId="77777777" w:rsidTr="006D2F5F">
        <w:tc>
          <w:tcPr>
            <w:tcW w:w="1752" w:type="dxa"/>
            <w:vMerge/>
            <w:shd w:val="clear" w:color="auto" w:fill="auto"/>
          </w:tcPr>
          <w:p w14:paraId="0611E7B5" w14:textId="77777777" w:rsidR="00790A0D" w:rsidRPr="00DD47DF" w:rsidRDefault="00790A0D" w:rsidP="006D2F5F">
            <w:pPr>
              <w:pStyle w:val="Tabulka"/>
              <w:jc w:val="left"/>
              <w:rPr>
                <w:rFonts w:cs="Calibri"/>
                <w:b/>
              </w:rPr>
            </w:pPr>
          </w:p>
        </w:tc>
        <w:tc>
          <w:tcPr>
            <w:tcW w:w="1701" w:type="dxa"/>
            <w:vMerge/>
            <w:shd w:val="clear" w:color="auto" w:fill="auto"/>
          </w:tcPr>
          <w:p w14:paraId="77F2C891" w14:textId="77777777" w:rsidR="00790A0D" w:rsidRPr="00DD47DF" w:rsidRDefault="00790A0D" w:rsidP="006D2F5F">
            <w:pPr>
              <w:pStyle w:val="Tabulka"/>
              <w:jc w:val="left"/>
              <w:rPr>
                <w:rFonts w:cs="Calibri"/>
              </w:rPr>
            </w:pPr>
          </w:p>
        </w:tc>
        <w:tc>
          <w:tcPr>
            <w:tcW w:w="1276" w:type="dxa"/>
            <w:vMerge/>
            <w:shd w:val="clear" w:color="auto" w:fill="auto"/>
          </w:tcPr>
          <w:p w14:paraId="38055D42" w14:textId="77777777" w:rsidR="00790A0D" w:rsidRPr="00DD47DF" w:rsidRDefault="00790A0D" w:rsidP="006D2F5F">
            <w:pPr>
              <w:pStyle w:val="Tabulka"/>
              <w:jc w:val="left"/>
              <w:rPr>
                <w:rFonts w:cs="Calibri"/>
              </w:rPr>
            </w:pPr>
          </w:p>
        </w:tc>
        <w:tc>
          <w:tcPr>
            <w:tcW w:w="1843" w:type="dxa"/>
            <w:shd w:val="clear" w:color="auto" w:fill="auto"/>
          </w:tcPr>
          <w:p w14:paraId="40D78D1C" w14:textId="77777777" w:rsidR="00790A0D" w:rsidRPr="00DD47DF" w:rsidRDefault="00790A0D" w:rsidP="006D2F5F">
            <w:pPr>
              <w:pStyle w:val="Odstavecseseznamem"/>
              <w:spacing w:before="80" w:after="80"/>
              <w:ind w:left="0"/>
              <w:contextualSpacing w:val="0"/>
              <w:rPr>
                <w:bCs/>
                <w:sz w:val="22"/>
                <w:szCs w:val="22"/>
              </w:rPr>
            </w:pPr>
            <w:r w:rsidRPr="00DD47DF">
              <w:rPr>
                <w:bCs/>
                <w:sz w:val="22"/>
                <w:szCs w:val="22"/>
              </w:rPr>
              <w:t>Účinný systém ukazatelů výsledků, včetně:</w:t>
            </w:r>
          </w:p>
          <w:p w14:paraId="284D46BC" w14:textId="77777777" w:rsidR="00790A0D" w:rsidRPr="00DD47DF" w:rsidRDefault="00790A0D" w:rsidP="00BE586C">
            <w:pPr>
              <w:pStyle w:val="Tabulka"/>
              <w:numPr>
                <w:ilvl w:val="0"/>
                <w:numId w:val="92"/>
              </w:numPr>
              <w:jc w:val="left"/>
            </w:pPr>
            <w:r w:rsidRPr="00DD47DF">
              <w:rPr>
                <w:bCs/>
              </w:rPr>
              <w:t>vytyčení cílů pro tyto ukazatele,</w:t>
            </w:r>
          </w:p>
        </w:tc>
        <w:tc>
          <w:tcPr>
            <w:tcW w:w="1134" w:type="dxa"/>
            <w:shd w:val="clear" w:color="auto" w:fill="auto"/>
          </w:tcPr>
          <w:p w14:paraId="379F72CA" w14:textId="77777777" w:rsidR="00790A0D" w:rsidRPr="00DD47DF" w:rsidRDefault="008B1FD2" w:rsidP="006D2F5F">
            <w:pPr>
              <w:pStyle w:val="Tabulka"/>
              <w:jc w:val="left"/>
            </w:pPr>
            <w:r w:rsidRPr="00DD47DF">
              <w:t>ne</w:t>
            </w:r>
          </w:p>
        </w:tc>
        <w:tc>
          <w:tcPr>
            <w:tcW w:w="2126" w:type="dxa"/>
            <w:shd w:val="clear" w:color="auto" w:fill="auto"/>
          </w:tcPr>
          <w:p w14:paraId="7B0376B6" w14:textId="77777777" w:rsidR="00790A0D" w:rsidRPr="00DD47DF" w:rsidRDefault="00790A0D" w:rsidP="006D2F5F">
            <w:pPr>
              <w:pStyle w:val="Tabulka"/>
              <w:jc w:val="left"/>
            </w:pPr>
          </w:p>
        </w:tc>
        <w:tc>
          <w:tcPr>
            <w:tcW w:w="4394" w:type="dxa"/>
            <w:shd w:val="clear" w:color="auto" w:fill="auto"/>
          </w:tcPr>
          <w:p w14:paraId="4EEE2152" w14:textId="77777777" w:rsidR="00F97C3B" w:rsidRPr="00DD47DF" w:rsidRDefault="003C2AF9" w:rsidP="006D2F5F">
            <w:pPr>
              <w:pStyle w:val="DAVA"/>
              <w:spacing w:before="80" w:after="80"/>
              <w:rPr>
                <w:rFonts w:ascii="Times New Roman" w:hAnsi="Times New Roman"/>
                <w:sz w:val="22"/>
                <w:szCs w:val="22"/>
              </w:rPr>
            </w:pPr>
            <w:r w:rsidRPr="00DD47DF">
              <w:rPr>
                <w:rFonts w:ascii="Times New Roman" w:hAnsi="Times New Roman"/>
                <w:sz w:val="22"/>
                <w:szCs w:val="22"/>
              </w:rPr>
              <w:t>Gestor</w:t>
            </w:r>
            <w:r w:rsidR="000529F1" w:rsidRPr="00DD47DF">
              <w:rPr>
                <w:rFonts w:ascii="Times New Roman" w:hAnsi="Times New Roman"/>
                <w:sz w:val="22"/>
                <w:szCs w:val="22"/>
              </w:rPr>
              <w:t xml:space="preserve"> </w:t>
            </w:r>
            <w:r w:rsidRPr="00DD47DF">
              <w:rPr>
                <w:rFonts w:ascii="Times New Roman" w:hAnsi="Times New Roman"/>
                <w:sz w:val="22"/>
                <w:szCs w:val="22"/>
              </w:rPr>
              <w:t xml:space="preserve">PP: Plnění </w:t>
            </w:r>
            <w:r w:rsidR="000529F1" w:rsidRPr="00DD47DF">
              <w:rPr>
                <w:rFonts w:ascii="Times New Roman" w:hAnsi="Times New Roman"/>
                <w:sz w:val="22"/>
                <w:szCs w:val="22"/>
              </w:rPr>
              <w:t xml:space="preserve">ČÁSTEČNĚ </w:t>
            </w:r>
          </w:p>
          <w:p w14:paraId="208134B6" w14:textId="77777777" w:rsidR="00790A0D" w:rsidRPr="00DD47DF" w:rsidRDefault="00790A0D" w:rsidP="006D2F5F">
            <w:pPr>
              <w:pStyle w:val="DAVA"/>
              <w:spacing w:before="80" w:after="80"/>
              <w:rPr>
                <w:rFonts w:ascii="Times New Roman" w:hAnsi="Times New Roman"/>
                <w:sz w:val="22"/>
                <w:szCs w:val="22"/>
              </w:rPr>
            </w:pPr>
            <w:r w:rsidRPr="00DD47DF">
              <w:rPr>
                <w:rFonts w:ascii="Times New Roman" w:hAnsi="Times New Roman"/>
                <w:sz w:val="22"/>
                <w:szCs w:val="22"/>
              </w:rPr>
              <w:t xml:space="preserve">Budou součástí programových dokumentů. </w:t>
            </w:r>
          </w:p>
          <w:p w14:paraId="17CFEF81" w14:textId="77777777" w:rsidR="00790A0D" w:rsidRPr="00DD47DF" w:rsidRDefault="00790A0D" w:rsidP="006D2F5F">
            <w:pPr>
              <w:pStyle w:val="Tabulka"/>
              <w:jc w:val="left"/>
            </w:pPr>
            <w:r w:rsidRPr="00DD47DF">
              <w:t>Nastavení výchozích a cílových hodnot je prováděno v rámci přípravy programů. Průběžně ve spolupráci s ex-ante hodnotiteli probíhá expertní posuzování relevance hodnot ve vazbě na alokaci pro dané téma.</w:t>
            </w:r>
          </w:p>
          <w:p w14:paraId="1F23E2FC" w14:textId="77777777" w:rsidR="003C2AF9" w:rsidRPr="00DD47DF" w:rsidRDefault="003C2AF9" w:rsidP="00D43AF5">
            <w:pPr>
              <w:pStyle w:val="Tabulka"/>
              <w:jc w:val="left"/>
            </w:pPr>
            <w:r w:rsidRPr="00DD47DF">
              <w:t>ŘO: Plnění</w:t>
            </w:r>
            <w:r w:rsidR="00D43AF5" w:rsidRPr="00DD47DF">
              <w:t xml:space="preserve"> </w:t>
            </w:r>
            <w:r w:rsidR="00FC061B" w:rsidRPr="00DD47DF">
              <w:t xml:space="preserve"> ČÁSTEČNĚ</w:t>
            </w:r>
          </w:p>
          <w:p w14:paraId="3EC79D16" w14:textId="77777777" w:rsidR="00D43AF5" w:rsidRPr="00DD47DF" w:rsidRDefault="00D43AF5" w:rsidP="00D43AF5">
            <w:pPr>
              <w:pStyle w:val="Tabulka"/>
              <w:jc w:val="left"/>
            </w:pPr>
            <w:r w:rsidRPr="00DD47DF">
              <w:t xml:space="preserve">Cílové hodnoty ukazatelů výsledků OP PIK </w:t>
            </w:r>
            <w:r w:rsidRPr="00DD47DF">
              <w:lastRenderedPageBreak/>
              <w:t>byly nastaveny na základě spolupráce odborných pracovníků ŘO s externí poradenskou firmou a ověřeny a potvrzeny ex-ante hodnotitelem.</w:t>
            </w:r>
          </w:p>
        </w:tc>
      </w:tr>
      <w:tr w:rsidR="00790A0D" w:rsidRPr="00DD47DF" w14:paraId="58369F27" w14:textId="77777777" w:rsidTr="006D2F5F">
        <w:tc>
          <w:tcPr>
            <w:tcW w:w="1752" w:type="dxa"/>
            <w:vMerge/>
            <w:shd w:val="clear" w:color="auto" w:fill="auto"/>
          </w:tcPr>
          <w:p w14:paraId="225970FC" w14:textId="77777777" w:rsidR="00790A0D" w:rsidRPr="00DD47DF" w:rsidRDefault="00790A0D" w:rsidP="006D2F5F">
            <w:pPr>
              <w:pStyle w:val="Tabulka"/>
              <w:jc w:val="left"/>
              <w:rPr>
                <w:rFonts w:cs="Calibri"/>
                <w:b/>
              </w:rPr>
            </w:pPr>
          </w:p>
        </w:tc>
        <w:tc>
          <w:tcPr>
            <w:tcW w:w="1701" w:type="dxa"/>
            <w:vMerge/>
            <w:shd w:val="clear" w:color="auto" w:fill="auto"/>
          </w:tcPr>
          <w:p w14:paraId="5C50315C" w14:textId="77777777" w:rsidR="00790A0D" w:rsidRPr="00DD47DF" w:rsidRDefault="00790A0D" w:rsidP="006D2F5F">
            <w:pPr>
              <w:pStyle w:val="Tabulka"/>
              <w:jc w:val="left"/>
              <w:rPr>
                <w:rFonts w:cs="Calibri"/>
              </w:rPr>
            </w:pPr>
          </w:p>
        </w:tc>
        <w:tc>
          <w:tcPr>
            <w:tcW w:w="1276" w:type="dxa"/>
            <w:vMerge/>
            <w:shd w:val="clear" w:color="auto" w:fill="auto"/>
          </w:tcPr>
          <w:p w14:paraId="0B829102" w14:textId="77777777" w:rsidR="00790A0D" w:rsidRPr="00DD47DF" w:rsidRDefault="00790A0D" w:rsidP="006D2F5F">
            <w:pPr>
              <w:pStyle w:val="Tabulka"/>
              <w:jc w:val="left"/>
              <w:rPr>
                <w:rFonts w:cs="Calibri"/>
              </w:rPr>
            </w:pPr>
          </w:p>
        </w:tc>
        <w:tc>
          <w:tcPr>
            <w:tcW w:w="1843" w:type="dxa"/>
            <w:shd w:val="clear" w:color="auto" w:fill="auto"/>
          </w:tcPr>
          <w:p w14:paraId="2B01B37F" w14:textId="77777777" w:rsidR="00790A0D" w:rsidRPr="00DD47DF" w:rsidRDefault="00790A0D" w:rsidP="006D2F5F">
            <w:pPr>
              <w:pStyle w:val="Odstavecseseznamem"/>
              <w:spacing w:before="80" w:after="80"/>
              <w:ind w:left="0"/>
              <w:contextualSpacing w:val="0"/>
              <w:rPr>
                <w:bCs/>
                <w:sz w:val="22"/>
                <w:szCs w:val="22"/>
              </w:rPr>
            </w:pPr>
            <w:r w:rsidRPr="00DD47DF">
              <w:rPr>
                <w:bCs/>
                <w:sz w:val="22"/>
                <w:szCs w:val="22"/>
              </w:rPr>
              <w:t>Účinný systém ukazatelů výsledků, včetně:</w:t>
            </w:r>
          </w:p>
          <w:p w14:paraId="7B4FEAB2" w14:textId="77777777" w:rsidR="00790A0D" w:rsidRPr="00DD47DF" w:rsidRDefault="00790A0D" w:rsidP="00D43AF5">
            <w:pPr>
              <w:pStyle w:val="Tabulka"/>
              <w:numPr>
                <w:ilvl w:val="0"/>
                <w:numId w:val="92"/>
              </w:numPr>
              <w:jc w:val="left"/>
            </w:pPr>
            <w:r w:rsidRPr="00DD47DF">
              <w:rPr>
                <w:bCs/>
              </w:rPr>
              <w:t>musí být zajištěn soulad každého ukazatele s těmito podmínkami: robustností a statistickou validací, jasným normativním výkladem, souladem se strategiemi, včasným sběrem údajů,</w:t>
            </w:r>
          </w:p>
        </w:tc>
        <w:tc>
          <w:tcPr>
            <w:tcW w:w="1134" w:type="dxa"/>
            <w:shd w:val="clear" w:color="auto" w:fill="auto"/>
          </w:tcPr>
          <w:p w14:paraId="43EBAD85" w14:textId="77777777" w:rsidR="00790A0D" w:rsidRPr="00DD47DF" w:rsidRDefault="008B1FD2" w:rsidP="006D2F5F">
            <w:pPr>
              <w:pStyle w:val="Tabulka"/>
              <w:jc w:val="left"/>
            </w:pPr>
            <w:r w:rsidRPr="00DD47DF">
              <w:rPr>
                <w:rFonts w:eastAsia="Calibri"/>
              </w:rPr>
              <w:t>ne</w:t>
            </w:r>
          </w:p>
        </w:tc>
        <w:tc>
          <w:tcPr>
            <w:tcW w:w="2126" w:type="dxa"/>
            <w:shd w:val="clear" w:color="auto" w:fill="auto"/>
          </w:tcPr>
          <w:p w14:paraId="436C8EB9" w14:textId="77777777" w:rsidR="00790A0D" w:rsidRPr="00DD47DF" w:rsidRDefault="00790A0D" w:rsidP="006D2F5F">
            <w:pPr>
              <w:pStyle w:val="Tabulka"/>
              <w:jc w:val="left"/>
            </w:pPr>
          </w:p>
        </w:tc>
        <w:tc>
          <w:tcPr>
            <w:tcW w:w="4394" w:type="dxa"/>
            <w:shd w:val="clear" w:color="auto" w:fill="auto"/>
          </w:tcPr>
          <w:p w14:paraId="36AC2D05" w14:textId="77777777" w:rsidR="003C2AF9" w:rsidRPr="00DD47DF" w:rsidRDefault="003C2AF9" w:rsidP="006D2F5F">
            <w:pPr>
              <w:rPr>
                <w:sz w:val="22"/>
                <w:szCs w:val="22"/>
              </w:rPr>
            </w:pPr>
            <w:r w:rsidRPr="00DD47DF">
              <w:rPr>
                <w:sz w:val="22"/>
                <w:szCs w:val="22"/>
              </w:rPr>
              <w:t xml:space="preserve">Gestor PP: Plnění </w:t>
            </w:r>
            <w:r w:rsidR="0004197D" w:rsidRPr="00DD47DF">
              <w:rPr>
                <w:sz w:val="22"/>
                <w:szCs w:val="22"/>
              </w:rPr>
              <w:t>ČÁSTEČNĚ</w:t>
            </w:r>
          </w:p>
          <w:p w14:paraId="0647DC2E" w14:textId="77777777" w:rsidR="00790A0D" w:rsidRPr="00DD47DF" w:rsidRDefault="00790A0D" w:rsidP="006D2F5F">
            <w:pPr>
              <w:rPr>
                <w:sz w:val="22"/>
                <w:szCs w:val="22"/>
              </w:rPr>
            </w:pPr>
            <w:r w:rsidRPr="00DD47DF">
              <w:rPr>
                <w:sz w:val="22"/>
                <w:szCs w:val="22"/>
              </w:rPr>
              <w:t>Je součástí programových dokumentů. Stejná pravidla jsou součástí MP indikátorů (schváleno UV 597/2013).</w:t>
            </w:r>
          </w:p>
          <w:p w14:paraId="0DD68F81" w14:textId="77777777" w:rsidR="003C2AF9" w:rsidRPr="00DD47DF" w:rsidRDefault="003C2AF9" w:rsidP="006D2F5F">
            <w:pPr>
              <w:rPr>
                <w:sz w:val="22"/>
                <w:szCs w:val="22"/>
              </w:rPr>
            </w:pPr>
            <w:r w:rsidRPr="00DD47DF">
              <w:rPr>
                <w:sz w:val="22"/>
                <w:szCs w:val="22"/>
              </w:rPr>
              <w:t>ŘO: Plnění</w:t>
            </w:r>
            <w:r w:rsidR="00D43AF5" w:rsidRPr="00DD47DF">
              <w:rPr>
                <w:sz w:val="22"/>
                <w:szCs w:val="22"/>
              </w:rPr>
              <w:t xml:space="preserve"> </w:t>
            </w:r>
            <w:r w:rsidR="00FC061B" w:rsidRPr="00DD47DF">
              <w:rPr>
                <w:sz w:val="22"/>
                <w:szCs w:val="22"/>
              </w:rPr>
              <w:t>ČÁSTEČNĚ</w:t>
            </w:r>
          </w:p>
          <w:p w14:paraId="7B4C0394" w14:textId="77777777" w:rsidR="00D43AF5" w:rsidRPr="00DD47DF" w:rsidRDefault="00D43AF5" w:rsidP="006D2F5F">
            <w:pPr>
              <w:rPr>
                <w:sz w:val="22"/>
                <w:szCs w:val="22"/>
              </w:rPr>
            </w:pPr>
            <w:r w:rsidRPr="00DD47DF">
              <w:rPr>
                <w:sz w:val="22"/>
                <w:szCs w:val="22"/>
              </w:rPr>
              <w:t xml:space="preserve">Ukazatele výsledků SC byly nastaveny ve spolupráci s ex-ante hodnotitelem OP PIK a při zohlednění specifických připomínek a doporučení EK (Evaluation </w:t>
            </w:r>
            <w:r w:rsidR="00370AC0" w:rsidRPr="00DD47DF">
              <w:rPr>
                <w:sz w:val="22"/>
                <w:szCs w:val="22"/>
              </w:rPr>
              <w:t>U</w:t>
            </w:r>
            <w:r w:rsidRPr="00DD47DF">
              <w:rPr>
                <w:sz w:val="22"/>
                <w:szCs w:val="22"/>
              </w:rPr>
              <w:t xml:space="preserve">nit) a splňují požadavky na robustnost a statistickou validaci.  </w:t>
            </w:r>
          </w:p>
          <w:p w14:paraId="2E323C0E" w14:textId="77777777" w:rsidR="00790A0D" w:rsidRPr="00DD47DF" w:rsidRDefault="00790A0D" w:rsidP="006D2F5F">
            <w:pPr>
              <w:pStyle w:val="Tabulka"/>
              <w:jc w:val="left"/>
            </w:pPr>
          </w:p>
        </w:tc>
      </w:tr>
      <w:tr w:rsidR="00790A0D" w:rsidRPr="00DD47DF" w14:paraId="1B41FAF7" w14:textId="77777777" w:rsidTr="006D2F5F">
        <w:tc>
          <w:tcPr>
            <w:tcW w:w="1752" w:type="dxa"/>
            <w:vMerge/>
            <w:shd w:val="clear" w:color="auto" w:fill="auto"/>
          </w:tcPr>
          <w:p w14:paraId="4284929B" w14:textId="77777777" w:rsidR="00790A0D" w:rsidRPr="00DD47DF" w:rsidRDefault="00790A0D" w:rsidP="006D2F5F">
            <w:pPr>
              <w:pStyle w:val="Tabulka"/>
              <w:jc w:val="left"/>
              <w:rPr>
                <w:rFonts w:cs="Calibri"/>
                <w:b/>
              </w:rPr>
            </w:pPr>
          </w:p>
        </w:tc>
        <w:tc>
          <w:tcPr>
            <w:tcW w:w="1701" w:type="dxa"/>
            <w:vMerge/>
            <w:shd w:val="clear" w:color="auto" w:fill="auto"/>
          </w:tcPr>
          <w:p w14:paraId="72F90C50" w14:textId="77777777" w:rsidR="00790A0D" w:rsidRPr="00DD47DF" w:rsidRDefault="00790A0D" w:rsidP="006D2F5F">
            <w:pPr>
              <w:pStyle w:val="Tabulka"/>
              <w:jc w:val="left"/>
              <w:rPr>
                <w:rFonts w:cs="Calibri"/>
              </w:rPr>
            </w:pPr>
          </w:p>
        </w:tc>
        <w:tc>
          <w:tcPr>
            <w:tcW w:w="1276" w:type="dxa"/>
            <w:vMerge/>
            <w:shd w:val="clear" w:color="auto" w:fill="auto"/>
          </w:tcPr>
          <w:p w14:paraId="575A4841" w14:textId="77777777" w:rsidR="00790A0D" w:rsidRPr="00DD47DF" w:rsidRDefault="00790A0D" w:rsidP="006D2F5F">
            <w:pPr>
              <w:pStyle w:val="Tabulka"/>
              <w:jc w:val="left"/>
              <w:rPr>
                <w:rFonts w:cs="Calibri"/>
              </w:rPr>
            </w:pPr>
          </w:p>
        </w:tc>
        <w:tc>
          <w:tcPr>
            <w:tcW w:w="1843" w:type="dxa"/>
            <w:shd w:val="clear" w:color="auto" w:fill="auto"/>
          </w:tcPr>
          <w:p w14:paraId="3D92D4BB" w14:textId="77777777" w:rsidR="00790A0D" w:rsidRPr="00DD47DF" w:rsidRDefault="00790A0D" w:rsidP="006D2F5F">
            <w:pPr>
              <w:pStyle w:val="Tabulka"/>
              <w:jc w:val="left"/>
              <w:rPr>
                <w:rFonts w:cs="Calibri"/>
              </w:rPr>
            </w:pPr>
            <w:r w:rsidRPr="00DD47DF">
              <w:rPr>
                <w:rFonts w:cs="Calibri"/>
              </w:rPr>
              <w:t>Postupy zajišťující, aby všechny operace financované z programu používaly účinný systém ukazatelů.</w:t>
            </w:r>
          </w:p>
        </w:tc>
        <w:tc>
          <w:tcPr>
            <w:tcW w:w="1134" w:type="dxa"/>
            <w:shd w:val="clear" w:color="auto" w:fill="auto"/>
          </w:tcPr>
          <w:p w14:paraId="44F7F215" w14:textId="77777777" w:rsidR="00790A0D" w:rsidRPr="00DD47DF" w:rsidRDefault="008B1FD2" w:rsidP="006D2F5F">
            <w:pPr>
              <w:pStyle w:val="Tabulka"/>
              <w:jc w:val="left"/>
              <w:rPr>
                <w:rFonts w:cs="Calibri"/>
              </w:rPr>
            </w:pPr>
            <w:r w:rsidRPr="00DD47DF">
              <w:rPr>
                <w:rFonts w:eastAsia="Calibri" w:cs="Calibri"/>
              </w:rPr>
              <w:t>ne</w:t>
            </w:r>
          </w:p>
        </w:tc>
        <w:tc>
          <w:tcPr>
            <w:tcW w:w="2126" w:type="dxa"/>
            <w:shd w:val="clear" w:color="auto" w:fill="auto"/>
          </w:tcPr>
          <w:p w14:paraId="770EFBE6" w14:textId="77777777" w:rsidR="00790A0D" w:rsidRPr="00DD47DF" w:rsidRDefault="00AF6FE3" w:rsidP="006D2F5F">
            <w:pPr>
              <w:pStyle w:val="Tabulka"/>
              <w:jc w:val="left"/>
              <w:rPr>
                <w:rFonts w:cs="Calibri"/>
              </w:rPr>
            </w:pPr>
            <w:hyperlink r:id="rId107" w:history="1">
              <w:r w:rsidR="00790A0D" w:rsidRPr="00DD47DF">
                <w:rPr>
                  <w:rStyle w:val="Hypertextovodkaz"/>
                </w:rPr>
                <w:t>http://www.s-f.cz/cs/Fondy-EU/2014-2020/Metodicke-pokyny</w:t>
              </w:r>
            </w:hyperlink>
          </w:p>
        </w:tc>
        <w:tc>
          <w:tcPr>
            <w:tcW w:w="4394" w:type="dxa"/>
            <w:shd w:val="clear" w:color="auto" w:fill="auto"/>
          </w:tcPr>
          <w:p w14:paraId="14E29274" w14:textId="77777777" w:rsidR="003C2AF9" w:rsidRPr="00DD47DF" w:rsidRDefault="003C2AF9" w:rsidP="006D2F5F">
            <w:pPr>
              <w:pStyle w:val="DAVA"/>
              <w:spacing w:before="80" w:after="80"/>
              <w:rPr>
                <w:rFonts w:ascii="Times New Roman" w:hAnsi="Times New Roman"/>
                <w:sz w:val="22"/>
                <w:szCs w:val="22"/>
              </w:rPr>
            </w:pPr>
            <w:r w:rsidRPr="00DD47DF">
              <w:rPr>
                <w:rFonts w:ascii="Times New Roman" w:hAnsi="Times New Roman"/>
                <w:sz w:val="22"/>
                <w:szCs w:val="22"/>
              </w:rPr>
              <w:t xml:space="preserve">Gestor PP: Plnění </w:t>
            </w:r>
            <w:r w:rsidR="0004197D" w:rsidRPr="00DD47DF">
              <w:rPr>
                <w:rFonts w:ascii="Times New Roman" w:hAnsi="Times New Roman"/>
                <w:sz w:val="22"/>
                <w:szCs w:val="22"/>
              </w:rPr>
              <w:t>ČÁSTEČNĚ</w:t>
            </w:r>
          </w:p>
          <w:p w14:paraId="53193532" w14:textId="77777777" w:rsidR="00790A0D" w:rsidRPr="00DD47DF" w:rsidRDefault="00790A0D" w:rsidP="006D2F5F">
            <w:pPr>
              <w:pStyle w:val="DAVA"/>
              <w:spacing w:before="80" w:after="80"/>
              <w:rPr>
                <w:rFonts w:ascii="Times New Roman" w:hAnsi="Times New Roman"/>
                <w:sz w:val="22"/>
                <w:szCs w:val="22"/>
              </w:rPr>
            </w:pPr>
            <w:r w:rsidRPr="00DD47DF">
              <w:rPr>
                <w:rFonts w:ascii="Times New Roman" w:hAnsi="Times New Roman"/>
                <w:sz w:val="22"/>
                <w:szCs w:val="22"/>
              </w:rPr>
              <w:t>Povinné postupy pro splnění kritéria jsou součástí schváleného závazného metodického prostředí:</w:t>
            </w:r>
          </w:p>
          <w:p w14:paraId="091A9CD4" w14:textId="77777777" w:rsidR="00790A0D" w:rsidRPr="00DD47DF" w:rsidRDefault="00790A0D" w:rsidP="003C2AF9">
            <w:pPr>
              <w:pStyle w:val="DAVA"/>
              <w:spacing w:before="80" w:after="80"/>
              <w:rPr>
                <w:sz w:val="22"/>
                <w:szCs w:val="22"/>
              </w:rPr>
            </w:pPr>
            <w:r w:rsidRPr="00DD47DF">
              <w:rPr>
                <w:rFonts w:ascii="Times New Roman" w:hAnsi="Times New Roman"/>
                <w:sz w:val="22"/>
                <w:szCs w:val="22"/>
              </w:rPr>
              <w:t xml:space="preserve">MP indikátory (UV 597/2013 a MP výběr a hodnocení projektů (schválen UV 873/2013), které definují závazná pravidla pro výběr a plnění alespoň jednoho indikátoru ve vazbě na </w:t>
            </w:r>
            <w:r w:rsidRPr="00DD47DF">
              <w:rPr>
                <w:rFonts w:ascii="Times New Roman" w:hAnsi="Times New Roman"/>
                <w:sz w:val="22"/>
                <w:szCs w:val="22"/>
              </w:rPr>
              <w:lastRenderedPageBreak/>
              <w:t>specifický cíl. V rámci uvedeného pokynu jsou současně promítnuty principy 3E pro výběr a hodnocení operací. Závazné a jednotné metodické konstrukce všech indikátorů používaných v rámci programů a každé operace jsou definovány v rámci tzn. NČI2014+</w:t>
            </w:r>
            <w:r w:rsidR="003C2AF9" w:rsidRPr="00DD47DF">
              <w:rPr>
                <w:rFonts w:ascii="Times New Roman" w:hAnsi="Times New Roman"/>
                <w:sz w:val="22"/>
                <w:szCs w:val="22"/>
              </w:rPr>
              <w:t>.</w:t>
            </w:r>
          </w:p>
          <w:p w14:paraId="5CFF2670" w14:textId="77777777" w:rsidR="003C2AF9" w:rsidRPr="00DD47DF" w:rsidRDefault="003C2AF9" w:rsidP="003C2AF9">
            <w:pPr>
              <w:pStyle w:val="DAVA"/>
              <w:spacing w:before="80" w:after="80"/>
              <w:rPr>
                <w:rFonts w:ascii="Times New Roman" w:hAnsi="Times New Roman"/>
                <w:sz w:val="22"/>
                <w:szCs w:val="22"/>
              </w:rPr>
            </w:pPr>
            <w:r w:rsidRPr="00DD47DF">
              <w:rPr>
                <w:rFonts w:ascii="Times New Roman" w:hAnsi="Times New Roman"/>
                <w:sz w:val="22"/>
                <w:szCs w:val="22"/>
              </w:rPr>
              <w:t>ŘO: Plnění</w:t>
            </w:r>
            <w:r w:rsidR="00BF4517" w:rsidRPr="00DD47DF">
              <w:rPr>
                <w:rFonts w:ascii="Times New Roman" w:hAnsi="Times New Roman"/>
                <w:sz w:val="22"/>
                <w:szCs w:val="22"/>
              </w:rPr>
              <w:t xml:space="preserve"> částečně</w:t>
            </w:r>
          </w:p>
          <w:p w14:paraId="43728415" w14:textId="77777777" w:rsidR="00BF4517" w:rsidRPr="00DD47DF" w:rsidRDefault="00BF4517" w:rsidP="00F34E54">
            <w:pPr>
              <w:pStyle w:val="DAVA"/>
              <w:spacing w:before="80" w:after="80"/>
              <w:rPr>
                <w:rFonts w:ascii="Times New Roman" w:hAnsi="Times New Roman"/>
                <w:sz w:val="22"/>
                <w:szCs w:val="22"/>
              </w:rPr>
            </w:pPr>
            <w:r w:rsidRPr="00DD47DF">
              <w:rPr>
                <w:rFonts w:ascii="Times New Roman" w:hAnsi="Times New Roman"/>
                <w:sz w:val="22"/>
                <w:szCs w:val="22"/>
              </w:rPr>
              <w:t>Požadavky a pravidla na používání systému ukazatelů OP PIK jsou</w:t>
            </w:r>
            <w:r w:rsidR="006F0E4D" w:rsidRPr="00DD47DF">
              <w:rPr>
                <w:rFonts w:ascii="Times New Roman" w:hAnsi="Times New Roman"/>
                <w:sz w:val="22"/>
                <w:szCs w:val="22"/>
              </w:rPr>
              <w:t xml:space="preserve"> součástí</w:t>
            </w:r>
            <w:r w:rsidRPr="00DD47DF">
              <w:rPr>
                <w:rFonts w:ascii="Times New Roman" w:hAnsi="Times New Roman"/>
                <w:sz w:val="22"/>
                <w:szCs w:val="22"/>
              </w:rPr>
              <w:t> navazující řídící dokumentac</w:t>
            </w:r>
            <w:r w:rsidR="006F0E4D" w:rsidRPr="00DD47DF">
              <w:rPr>
                <w:rFonts w:ascii="Times New Roman" w:hAnsi="Times New Roman"/>
                <w:sz w:val="22"/>
                <w:szCs w:val="22"/>
              </w:rPr>
              <w:t>e</w:t>
            </w:r>
            <w:r w:rsidRPr="00DD47DF">
              <w:rPr>
                <w:rFonts w:ascii="Times New Roman" w:hAnsi="Times New Roman"/>
                <w:sz w:val="22"/>
                <w:szCs w:val="22"/>
              </w:rPr>
              <w:t xml:space="preserve"> k programu a také pokyn</w:t>
            </w:r>
            <w:r w:rsidR="006F0E4D" w:rsidRPr="00DD47DF">
              <w:rPr>
                <w:rFonts w:ascii="Times New Roman" w:hAnsi="Times New Roman"/>
                <w:sz w:val="22"/>
                <w:szCs w:val="22"/>
              </w:rPr>
              <w:t>ů</w:t>
            </w:r>
            <w:r w:rsidRPr="00DD47DF">
              <w:rPr>
                <w:rFonts w:ascii="Times New Roman" w:hAnsi="Times New Roman"/>
                <w:sz w:val="22"/>
                <w:szCs w:val="22"/>
              </w:rPr>
              <w:t xml:space="preserve"> a podmín</w:t>
            </w:r>
            <w:r w:rsidR="006F0E4D" w:rsidRPr="00DD47DF">
              <w:rPr>
                <w:rFonts w:ascii="Times New Roman" w:hAnsi="Times New Roman"/>
                <w:sz w:val="22"/>
                <w:szCs w:val="22"/>
              </w:rPr>
              <w:t>e</w:t>
            </w:r>
            <w:r w:rsidRPr="00DD47DF">
              <w:rPr>
                <w:rFonts w:ascii="Times New Roman" w:hAnsi="Times New Roman"/>
                <w:sz w:val="22"/>
                <w:szCs w:val="22"/>
              </w:rPr>
              <w:t>k pro žadatele a příjemce</w:t>
            </w:r>
            <w:r w:rsidR="006F0E4D" w:rsidRPr="00DD47DF">
              <w:rPr>
                <w:rFonts w:ascii="Times New Roman" w:hAnsi="Times New Roman"/>
                <w:sz w:val="22"/>
                <w:szCs w:val="22"/>
              </w:rPr>
              <w:t xml:space="preserve">, kde </w:t>
            </w:r>
            <w:r w:rsidR="00F34E54" w:rsidRPr="00DD47DF">
              <w:rPr>
                <w:rFonts w:ascii="Times New Roman" w:hAnsi="Times New Roman"/>
                <w:sz w:val="22"/>
                <w:szCs w:val="22"/>
              </w:rPr>
              <w:t>budou</w:t>
            </w:r>
            <w:r w:rsidR="006F0E4D" w:rsidRPr="00DD47DF">
              <w:rPr>
                <w:rFonts w:ascii="Times New Roman" w:hAnsi="Times New Roman"/>
                <w:sz w:val="22"/>
                <w:szCs w:val="22"/>
              </w:rPr>
              <w:t xml:space="preserve"> podrobně popsány povinnosti příjemců poskytovat ŘO potřebné informace pro naplňování indikátorů.</w:t>
            </w:r>
          </w:p>
        </w:tc>
      </w:tr>
      <w:tr w:rsidR="00790A0D" w:rsidRPr="00DD47DF" w14:paraId="2A18850B" w14:textId="77777777" w:rsidTr="006D2F5F">
        <w:tc>
          <w:tcPr>
            <w:tcW w:w="1752" w:type="dxa"/>
            <w:vMerge w:val="restart"/>
            <w:shd w:val="clear" w:color="auto" w:fill="auto"/>
          </w:tcPr>
          <w:p w14:paraId="4D458755" w14:textId="77777777" w:rsidR="00790A0D" w:rsidRPr="00DD47DF" w:rsidRDefault="00790A0D" w:rsidP="006D2F5F">
            <w:pPr>
              <w:pStyle w:val="Tabulka"/>
              <w:jc w:val="left"/>
              <w:rPr>
                <w:rFonts w:cs="Calibri"/>
                <w:b/>
              </w:rPr>
            </w:pPr>
            <w:r w:rsidRPr="00DD47DF">
              <w:rPr>
                <w:rFonts w:cs="Calibri"/>
                <w:b/>
              </w:rPr>
              <w:lastRenderedPageBreak/>
              <w:t xml:space="preserve">1.1. Výzkum a inovace: Existence národní nebo regionální strategie pro inteligentní specializaci v souladu s národním programem reforem na podporu soukromých výdajů na výzkum a inovace, která je v souladu s rysy </w:t>
            </w:r>
            <w:r w:rsidRPr="00DD47DF">
              <w:rPr>
                <w:rFonts w:cs="Calibri"/>
                <w:b/>
              </w:rPr>
              <w:lastRenderedPageBreak/>
              <w:t>dobře fungujících celostátních nebo regionálních systémů výzkumu a inovací.</w:t>
            </w:r>
          </w:p>
        </w:tc>
        <w:tc>
          <w:tcPr>
            <w:tcW w:w="1701" w:type="dxa"/>
            <w:vMerge w:val="restart"/>
            <w:shd w:val="clear" w:color="auto" w:fill="auto"/>
          </w:tcPr>
          <w:p w14:paraId="7F65AB28" w14:textId="77777777" w:rsidR="00790A0D" w:rsidRPr="00DD47DF" w:rsidRDefault="00790A0D" w:rsidP="006D2F5F">
            <w:pPr>
              <w:pStyle w:val="Tabulka"/>
              <w:jc w:val="left"/>
              <w:rPr>
                <w:rFonts w:cs="Calibri"/>
              </w:rPr>
            </w:pPr>
            <w:r w:rsidRPr="00DD47DF">
              <w:rPr>
                <w:rFonts w:cs="Calibri"/>
              </w:rPr>
              <w:lastRenderedPageBreak/>
              <w:t>PO 1 - Rozvoj výzkumu a vývoje pro inovace</w:t>
            </w:r>
          </w:p>
          <w:p w14:paraId="7A641138" w14:textId="77777777" w:rsidR="00790A0D" w:rsidRPr="00DD47DF" w:rsidRDefault="00790A0D" w:rsidP="006D2F5F">
            <w:pPr>
              <w:pStyle w:val="Tabulka"/>
              <w:jc w:val="left"/>
              <w:rPr>
                <w:rFonts w:cs="Calibri"/>
              </w:rPr>
            </w:pPr>
          </w:p>
          <w:p w14:paraId="6BF57C90" w14:textId="77777777" w:rsidR="00790A0D" w:rsidRPr="00DD47DF" w:rsidRDefault="00790A0D" w:rsidP="006D2F5F">
            <w:pPr>
              <w:pStyle w:val="Tabulka"/>
              <w:jc w:val="left"/>
              <w:rPr>
                <w:rFonts w:cs="Calibri"/>
              </w:rPr>
            </w:pPr>
          </w:p>
          <w:p w14:paraId="43B89DD1" w14:textId="77777777" w:rsidR="00790A0D" w:rsidRPr="00DD47DF" w:rsidRDefault="00790A0D" w:rsidP="006D2F5F">
            <w:pPr>
              <w:pStyle w:val="Tabulka"/>
              <w:jc w:val="left"/>
              <w:rPr>
                <w:rFonts w:cs="Calibri"/>
              </w:rPr>
            </w:pPr>
          </w:p>
          <w:p w14:paraId="1C8B3E5C" w14:textId="77777777" w:rsidR="00790A0D" w:rsidRPr="00DD47DF" w:rsidRDefault="00790A0D" w:rsidP="006D2F5F">
            <w:pPr>
              <w:pStyle w:val="Tabulka"/>
              <w:jc w:val="left"/>
              <w:rPr>
                <w:rFonts w:cs="Calibri"/>
              </w:rPr>
            </w:pPr>
          </w:p>
          <w:p w14:paraId="24E40453" w14:textId="77777777" w:rsidR="00790A0D" w:rsidRPr="00DD47DF" w:rsidRDefault="00790A0D" w:rsidP="006D2F5F">
            <w:pPr>
              <w:pStyle w:val="Tabulka"/>
              <w:jc w:val="left"/>
              <w:rPr>
                <w:rFonts w:cs="Calibri"/>
              </w:rPr>
            </w:pPr>
          </w:p>
        </w:tc>
        <w:tc>
          <w:tcPr>
            <w:tcW w:w="1276" w:type="dxa"/>
            <w:vMerge w:val="restart"/>
            <w:shd w:val="clear" w:color="auto" w:fill="auto"/>
          </w:tcPr>
          <w:p w14:paraId="5A86A0C5" w14:textId="77777777" w:rsidR="00790A0D" w:rsidRPr="00DD47DF" w:rsidRDefault="00DF7373" w:rsidP="006D2F5F">
            <w:pPr>
              <w:pStyle w:val="Tabulka"/>
              <w:jc w:val="left"/>
              <w:rPr>
                <w:rFonts w:cs="Calibri"/>
              </w:rPr>
            </w:pPr>
            <w:r w:rsidRPr="00DD47DF">
              <w:rPr>
                <w:rFonts w:cs="Calibri"/>
              </w:rPr>
              <w:t>částečně</w:t>
            </w:r>
          </w:p>
          <w:p w14:paraId="79D27D61" w14:textId="77777777" w:rsidR="00790A0D" w:rsidRPr="00DD47DF" w:rsidRDefault="00790A0D" w:rsidP="006D2F5F">
            <w:pPr>
              <w:pStyle w:val="Tabulka"/>
              <w:jc w:val="left"/>
              <w:rPr>
                <w:rFonts w:cs="Calibri"/>
              </w:rPr>
            </w:pPr>
          </w:p>
          <w:p w14:paraId="1B20EDF3" w14:textId="77777777" w:rsidR="00790A0D" w:rsidRPr="00DD47DF" w:rsidRDefault="00790A0D" w:rsidP="006D2F5F">
            <w:pPr>
              <w:pStyle w:val="Tabulka"/>
              <w:jc w:val="left"/>
              <w:rPr>
                <w:rFonts w:cs="Calibri"/>
              </w:rPr>
            </w:pPr>
          </w:p>
          <w:p w14:paraId="5955328E" w14:textId="77777777" w:rsidR="00790A0D" w:rsidRPr="00DD47DF" w:rsidRDefault="00790A0D" w:rsidP="006D2F5F">
            <w:pPr>
              <w:pStyle w:val="Tabulka"/>
              <w:jc w:val="left"/>
              <w:rPr>
                <w:rFonts w:cs="Calibri"/>
              </w:rPr>
            </w:pPr>
          </w:p>
          <w:p w14:paraId="34816307" w14:textId="77777777" w:rsidR="00790A0D" w:rsidRPr="00DD47DF" w:rsidRDefault="00790A0D" w:rsidP="006D2F5F">
            <w:pPr>
              <w:pStyle w:val="Tabulka"/>
              <w:jc w:val="left"/>
              <w:rPr>
                <w:rFonts w:cs="Calibri"/>
              </w:rPr>
            </w:pPr>
          </w:p>
          <w:p w14:paraId="62C0DD88" w14:textId="77777777" w:rsidR="00790A0D" w:rsidRPr="00DD47DF" w:rsidRDefault="00790A0D" w:rsidP="006D2F5F">
            <w:pPr>
              <w:pStyle w:val="Tabulka"/>
              <w:jc w:val="left"/>
              <w:rPr>
                <w:rFonts w:cs="Calibri"/>
              </w:rPr>
            </w:pPr>
          </w:p>
          <w:p w14:paraId="1BFF8A04" w14:textId="77777777" w:rsidR="00790A0D" w:rsidRPr="00DD47DF" w:rsidRDefault="00790A0D" w:rsidP="006D2F5F">
            <w:pPr>
              <w:pStyle w:val="Tabulka"/>
              <w:jc w:val="left"/>
              <w:rPr>
                <w:rFonts w:cs="Calibri"/>
              </w:rPr>
            </w:pPr>
          </w:p>
        </w:tc>
        <w:tc>
          <w:tcPr>
            <w:tcW w:w="1843" w:type="dxa"/>
            <w:shd w:val="clear" w:color="auto" w:fill="auto"/>
          </w:tcPr>
          <w:p w14:paraId="355E8C9A" w14:textId="77777777" w:rsidR="00790A0D" w:rsidRPr="00DD47DF" w:rsidRDefault="00790A0D" w:rsidP="006D2F5F">
            <w:pPr>
              <w:pStyle w:val="Tabulka"/>
              <w:jc w:val="left"/>
              <w:rPr>
                <w:rFonts w:cs="Calibri"/>
              </w:rPr>
            </w:pPr>
            <w:r w:rsidRPr="00DD47DF">
              <w:rPr>
                <w:rFonts w:cs="Calibri"/>
                <w:bCs/>
              </w:rPr>
              <w:t>Je k dispozici národní strategie pro inteligentní specializaci, která:</w:t>
            </w:r>
          </w:p>
        </w:tc>
        <w:tc>
          <w:tcPr>
            <w:tcW w:w="1134" w:type="dxa"/>
            <w:shd w:val="clear" w:color="auto" w:fill="auto"/>
          </w:tcPr>
          <w:p w14:paraId="0744BEEC" w14:textId="77777777" w:rsidR="00790A0D" w:rsidRPr="00DD47DF" w:rsidRDefault="00DF7373" w:rsidP="006D2F5F">
            <w:pPr>
              <w:pStyle w:val="Tabulka"/>
              <w:jc w:val="left"/>
              <w:rPr>
                <w:rFonts w:cs="Calibri"/>
              </w:rPr>
            </w:pPr>
            <w:r w:rsidRPr="00DD47DF">
              <w:rPr>
                <w:rFonts w:cs="Calibri"/>
              </w:rPr>
              <w:t>ano</w:t>
            </w:r>
          </w:p>
        </w:tc>
        <w:tc>
          <w:tcPr>
            <w:tcW w:w="2126" w:type="dxa"/>
            <w:shd w:val="clear" w:color="auto" w:fill="auto"/>
          </w:tcPr>
          <w:p w14:paraId="735D2871" w14:textId="77777777" w:rsidR="00790A0D" w:rsidRPr="00DD47DF" w:rsidRDefault="00AF6FE3" w:rsidP="006D2F5F">
            <w:pPr>
              <w:pStyle w:val="Tabulka"/>
              <w:jc w:val="left"/>
            </w:pPr>
            <w:hyperlink r:id="rId108" w:history="1">
              <w:r w:rsidR="00790A0D" w:rsidRPr="00DD47DF">
                <w:rPr>
                  <w:rStyle w:val="Hypertextovodkaz"/>
                </w:rPr>
                <w:t>http://www.msmt.cz/strukturalni-fondy/ris3-strategie-cr</w:t>
              </w:r>
            </w:hyperlink>
          </w:p>
          <w:p w14:paraId="57E5668B" w14:textId="77777777" w:rsidR="00790A0D" w:rsidRPr="00DD47DF" w:rsidRDefault="00790A0D" w:rsidP="006D2F5F">
            <w:pPr>
              <w:pStyle w:val="Tabulka"/>
              <w:jc w:val="left"/>
            </w:pPr>
          </w:p>
          <w:p w14:paraId="169BC721" w14:textId="77777777" w:rsidR="00790A0D" w:rsidRPr="00DD47DF" w:rsidRDefault="00790A0D" w:rsidP="006D2F5F">
            <w:pPr>
              <w:pStyle w:val="Tabulka"/>
              <w:jc w:val="left"/>
            </w:pPr>
          </w:p>
          <w:p w14:paraId="7132EE4A" w14:textId="77777777" w:rsidR="00790A0D" w:rsidRPr="00DD47DF" w:rsidRDefault="00790A0D" w:rsidP="006D2F5F">
            <w:pPr>
              <w:pStyle w:val="Tabulka"/>
              <w:jc w:val="left"/>
              <w:rPr>
                <w:sz w:val="18"/>
                <w:szCs w:val="18"/>
              </w:rPr>
            </w:pPr>
          </w:p>
        </w:tc>
        <w:tc>
          <w:tcPr>
            <w:tcW w:w="4394" w:type="dxa"/>
            <w:shd w:val="clear" w:color="auto" w:fill="auto"/>
          </w:tcPr>
          <w:p w14:paraId="49EC7AA7" w14:textId="77777777" w:rsidR="00DF7373" w:rsidRPr="00DD47DF" w:rsidRDefault="00DF7373" w:rsidP="006D2F5F">
            <w:pPr>
              <w:pStyle w:val="Tabulka"/>
              <w:jc w:val="left"/>
            </w:pPr>
            <w:r w:rsidRPr="00DD47DF">
              <w:t xml:space="preserve">Národní RIS3 byla do r. 2014 připravována MŠMT, usnesením vlády č. 1028 z 8.12.2014 byla strategie schválena a jejím dalším řízením byl  pověřen Úřad vlády. V souladu s metodickým dokumentem EK k ex-ante kondicionalitám byl vytvořen Akční plán RIS3, který rekapituluje koncepční přístup ČR k této kondicionalitě a obsahuje popis již uskutečněných a zbývajících kroků ke splnění kritérií, která jsou dle vyjádření EK ze dne 12.12.2014 zatím nenaplněna, (spolu s harmonogramem aktivit a určením zodpovědných subjektů). </w:t>
            </w:r>
            <w:r w:rsidR="00E91F3C" w:rsidRPr="00DD47DF">
              <w:t xml:space="preserve">Akční plán je přílohou relevantních </w:t>
            </w:r>
            <w:r w:rsidR="001315A2" w:rsidRPr="00DD47DF">
              <w:t>programů</w:t>
            </w:r>
            <w:r w:rsidR="00E91F3C" w:rsidRPr="00DD47DF">
              <w:t xml:space="preserve">. </w:t>
            </w:r>
            <w:r w:rsidRPr="00DD47DF">
              <w:t xml:space="preserve">Schválením vládou ČR se Národní RIS3 stává nedílnou součástí „Aktualizace Národní politiky výzkumu, vývoje a inovací České republiky na léta 2009 až 2015 s výhledem do roku 2020“ (NP VaVaI), která je </w:t>
            </w:r>
            <w:r w:rsidRPr="00DD47DF">
              <w:lastRenderedPageBreak/>
              <w:t xml:space="preserve">na základě Usnesení vlády č. 294 ze dne 24. </w:t>
            </w:r>
            <w:r w:rsidR="00E91F3C" w:rsidRPr="00DD47DF">
              <w:t xml:space="preserve">4. </w:t>
            </w:r>
            <w:r w:rsidRPr="00DD47DF">
              <w:t>2013 základním strategickým dokumentem pro oblast VaVaI na národní úrovni.</w:t>
            </w:r>
          </w:p>
          <w:p w14:paraId="102A368E" w14:textId="77777777" w:rsidR="00790A0D" w:rsidRPr="00DD47DF" w:rsidRDefault="00790A0D" w:rsidP="006D2F5F">
            <w:pPr>
              <w:pStyle w:val="Tabulka"/>
              <w:jc w:val="left"/>
              <w:rPr>
                <w:rFonts w:cs="Calibri"/>
              </w:rPr>
            </w:pPr>
            <w:r w:rsidRPr="00DD47DF">
              <w:rPr>
                <w:rFonts w:cs="Calibri"/>
              </w:rPr>
              <w:t xml:space="preserve">OP PIK </w:t>
            </w:r>
            <w:r w:rsidR="00DF7373" w:rsidRPr="00DD47DF">
              <w:rPr>
                <w:rFonts w:cs="Calibri"/>
              </w:rPr>
              <w:t>je</w:t>
            </w:r>
            <w:r w:rsidRPr="00DD47DF">
              <w:rPr>
                <w:rFonts w:cs="Calibri"/>
              </w:rPr>
              <w:t xml:space="preserve"> navázán na RIS3 a v relevantních specifických cílech </w:t>
            </w:r>
            <w:r w:rsidR="00DF7373" w:rsidRPr="00DD47DF">
              <w:rPr>
                <w:rFonts w:cs="Calibri"/>
              </w:rPr>
              <w:t xml:space="preserve">ji </w:t>
            </w:r>
            <w:r w:rsidRPr="00DD47DF">
              <w:rPr>
                <w:rFonts w:cs="Calibri"/>
              </w:rPr>
              <w:t>zohledň</w:t>
            </w:r>
            <w:r w:rsidR="00DF7373" w:rsidRPr="00DD47DF">
              <w:rPr>
                <w:rFonts w:cs="Calibri"/>
              </w:rPr>
              <w:t>uje</w:t>
            </w:r>
            <w:r w:rsidRPr="00DD47DF">
              <w:rPr>
                <w:rFonts w:cs="Calibri"/>
              </w:rPr>
              <w:t xml:space="preserve">. </w:t>
            </w:r>
          </w:p>
          <w:p w14:paraId="3E7BAFEA" w14:textId="77777777" w:rsidR="00790A0D" w:rsidRPr="00DD47DF" w:rsidRDefault="00E91F3C" w:rsidP="00E91F3C">
            <w:pPr>
              <w:pStyle w:val="Tabulka"/>
              <w:jc w:val="left"/>
              <w:rPr>
                <w:rFonts w:cs="Calibri"/>
              </w:rPr>
            </w:pPr>
            <w:r w:rsidRPr="00DD47DF">
              <w:rPr>
                <w:rFonts w:cs="Calibri"/>
              </w:rPr>
              <w:t>V</w:t>
            </w:r>
            <w:r w:rsidR="00790A0D" w:rsidRPr="00DD47DF">
              <w:rPr>
                <w:rFonts w:cs="Calibri"/>
              </w:rPr>
              <w:t>iz</w:t>
            </w:r>
            <w:r w:rsidR="00790A0D" w:rsidRPr="00DD47DF">
              <w:t xml:space="preserve"> Akční plán</w:t>
            </w:r>
            <w:r w:rsidR="00CA1478" w:rsidRPr="00DD47DF">
              <w:t xml:space="preserve"> </w:t>
            </w:r>
            <w:r w:rsidR="00DF7373" w:rsidRPr="00DD47DF">
              <w:t xml:space="preserve">- </w:t>
            </w:r>
            <w:r w:rsidR="00CA1478" w:rsidRPr="00DD47DF">
              <w:t xml:space="preserve"> Příloha II</w:t>
            </w:r>
            <w:r w:rsidR="00790A0D" w:rsidRPr="00DD47DF">
              <w:t xml:space="preserve">. </w:t>
            </w:r>
          </w:p>
        </w:tc>
      </w:tr>
      <w:tr w:rsidR="00790A0D" w:rsidRPr="00DD47DF" w14:paraId="3F347EB1" w14:textId="77777777" w:rsidTr="006D2F5F">
        <w:tc>
          <w:tcPr>
            <w:tcW w:w="1752" w:type="dxa"/>
            <w:vMerge/>
            <w:shd w:val="clear" w:color="auto" w:fill="auto"/>
          </w:tcPr>
          <w:p w14:paraId="09B4B318" w14:textId="77777777" w:rsidR="00790A0D" w:rsidRPr="00DD47DF" w:rsidRDefault="00790A0D" w:rsidP="006D2F5F">
            <w:pPr>
              <w:pStyle w:val="Tabulka"/>
              <w:jc w:val="left"/>
              <w:rPr>
                <w:rFonts w:cs="Calibri"/>
                <w:b/>
              </w:rPr>
            </w:pPr>
          </w:p>
        </w:tc>
        <w:tc>
          <w:tcPr>
            <w:tcW w:w="1701" w:type="dxa"/>
            <w:vMerge/>
            <w:shd w:val="clear" w:color="auto" w:fill="auto"/>
          </w:tcPr>
          <w:p w14:paraId="744746C1" w14:textId="77777777" w:rsidR="00790A0D" w:rsidRPr="00DD47DF" w:rsidRDefault="00790A0D" w:rsidP="006D2F5F">
            <w:pPr>
              <w:pStyle w:val="Tabulka"/>
              <w:jc w:val="left"/>
              <w:rPr>
                <w:rFonts w:cs="Calibri"/>
              </w:rPr>
            </w:pPr>
          </w:p>
        </w:tc>
        <w:tc>
          <w:tcPr>
            <w:tcW w:w="1276" w:type="dxa"/>
            <w:vMerge/>
            <w:shd w:val="clear" w:color="auto" w:fill="auto"/>
          </w:tcPr>
          <w:p w14:paraId="6D724C4D" w14:textId="77777777" w:rsidR="00790A0D" w:rsidRPr="00DD47DF" w:rsidRDefault="00790A0D" w:rsidP="006D2F5F">
            <w:pPr>
              <w:pStyle w:val="Tabulka"/>
              <w:jc w:val="left"/>
              <w:rPr>
                <w:rFonts w:cs="Calibri"/>
              </w:rPr>
            </w:pPr>
          </w:p>
        </w:tc>
        <w:tc>
          <w:tcPr>
            <w:tcW w:w="1843" w:type="dxa"/>
            <w:shd w:val="clear" w:color="auto" w:fill="auto"/>
          </w:tcPr>
          <w:p w14:paraId="54E61F48" w14:textId="77777777" w:rsidR="00790A0D" w:rsidRPr="00DD47DF" w:rsidRDefault="00790A0D" w:rsidP="006D2F5F">
            <w:pPr>
              <w:pStyle w:val="Tabulka"/>
              <w:jc w:val="left"/>
              <w:rPr>
                <w:rFonts w:cs="Calibri"/>
              </w:rPr>
            </w:pPr>
            <w:r w:rsidRPr="00DD47DF">
              <w:rPr>
                <w:rFonts w:cs="Calibri"/>
              </w:rPr>
              <w:t>• je založena na analýze silných a slabých stránek, příležitostí a hrozeb nebo podobné analýze s cílem soustředit zdroje na omezený soubor priorit v oblasti výzkumu a inovací,</w:t>
            </w:r>
          </w:p>
        </w:tc>
        <w:tc>
          <w:tcPr>
            <w:tcW w:w="1134" w:type="dxa"/>
            <w:shd w:val="clear" w:color="auto" w:fill="auto"/>
          </w:tcPr>
          <w:p w14:paraId="1B4AE9FF" w14:textId="77777777" w:rsidR="00790A0D" w:rsidRPr="00DD47DF" w:rsidRDefault="00865021" w:rsidP="006D2F5F">
            <w:pPr>
              <w:pStyle w:val="Tabulka"/>
              <w:jc w:val="left"/>
              <w:rPr>
                <w:rFonts w:cs="Calibri"/>
              </w:rPr>
            </w:pPr>
            <w:r w:rsidRPr="00DD47DF">
              <w:rPr>
                <w:rFonts w:cs="Calibri"/>
              </w:rPr>
              <w:t>ano</w:t>
            </w:r>
          </w:p>
        </w:tc>
        <w:tc>
          <w:tcPr>
            <w:tcW w:w="2126" w:type="dxa"/>
            <w:shd w:val="clear" w:color="auto" w:fill="auto"/>
          </w:tcPr>
          <w:p w14:paraId="23FF9123" w14:textId="77777777" w:rsidR="00790A0D" w:rsidRPr="0069482B" w:rsidRDefault="00AF6FE3" w:rsidP="006D2F5F">
            <w:pPr>
              <w:rPr>
                <w:sz w:val="22"/>
                <w:szCs w:val="22"/>
              </w:rPr>
            </w:pPr>
            <w:hyperlink r:id="rId109" w:history="1">
              <w:r w:rsidR="0069482B" w:rsidRPr="0069482B">
                <w:rPr>
                  <w:rStyle w:val="Hypertextovodkaz"/>
                  <w:sz w:val="22"/>
                  <w:szCs w:val="22"/>
                </w:rPr>
                <w:t>http://www.msmt.cz/strukturalni-fondy/ris3-strategie-cr</w:t>
              </w:r>
            </w:hyperlink>
          </w:p>
        </w:tc>
        <w:tc>
          <w:tcPr>
            <w:tcW w:w="4394" w:type="dxa"/>
            <w:shd w:val="clear" w:color="auto" w:fill="auto"/>
          </w:tcPr>
          <w:p w14:paraId="1E6FB9B8" w14:textId="77777777" w:rsidR="002F562B" w:rsidRPr="00DD47DF" w:rsidRDefault="00865021" w:rsidP="002F562B">
            <w:pPr>
              <w:rPr>
                <w:sz w:val="22"/>
                <w:szCs w:val="22"/>
              </w:rPr>
            </w:pPr>
            <w:r w:rsidRPr="00DD47DF">
              <w:rPr>
                <w:sz w:val="22"/>
                <w:szCs w:val="22"/>
              </w:rPr>
              <w:t>Národní RIS3 je zpracovávána v návaznosti na stávající strategické dokumenty ČR (Aktualizace NP VaVaI, Národní inovační strategie ČR (NIS), Strategie mezinárodní konkurenceschopnosti pro období 2012 až 2020 (SMK), Priority orientovaného výzkumu ad.), ale opírá se i o nové vlastní analýzy (včetně SWOT), které poskytují rámec pro přesnější zacílení navrhovaných intervencí, a dále též i o řadu analýz jiných subjektů .Oblasti specializace RIS3 (vertikální a horizontální priority) budou dále zpřesňovány v návaznosti na kontinuálně probíhající proces „entrepreneurial discovery“ a také v návaznosti na rozpracování krajských příloh a na uplatnění principu entrepreneurial discovery v jednotlivých regionech. EK bude průběžně informována o postupu dalších kol jednání inovačních platforem (nejbližší 2 kola jednání jsou plánována v březnu a září 2015).</w:t>
            </w:r>
          </w:p>
        </w:tc>
      </w:tr>
      <w:tr w:rsidR="00790A0D" w:rsidRPr="00DD47DF" w14:paraId="0BEFE7E7" w14:textId="77777777" w:rsidTr="006D2F5F">
        <w:tc>
          <w:tcPr>
            <w:tcW w:w="1752" w:type="dxa"/>
            <w:vMerge/>
            <w:shd w:val="clear" w:color="auto" w:fill="auto"/>
          </w:tcPr>
          <w:p w14:paraId="5BED24A4" w14:textId="77777777" w:rsidR="00790A0D" w:rsidRPr="00DD47DF" w:rsidRDefault="00790A0D" w:rsidP="006D2F5F">
            <w:pPr>
              <w:pStyle w:val="Tabulka"/>
              <w:jc w:val="left"/>
              <w:rPr>
                <w:rFonts w:cs="Calibri"/>
                <w:b/>
              </w:rPr>
            </w:pPr>
          </w:p>
        </w:tc>
        <w:tc>
          <w:tcPr>
            <w:tcW w:w="1701" w:type="dxa"/>
            <w:vMerge/>
            <w:shd w:val="clear" w:color="auto" w:fill="auto"/>
          </w:tcPr>
          <w:p w14:paraId="33A38756" w14:textId="77777777" w:rsidR="00790A0D" w:rsidRPr="00DD47DF" w:rsidRDefault="00790A0D" w:rsidP="006D2F5F">
            <w:pPr>
              <w:pStyle w:val="Tabulka"/>
              <w:jc w:val="left"/>
              <w:rPr>
                <w:rFonts w:cs="Calibri"/>
              </w:rPr>
            </w:pPr>
          </w:p>
        </w:tc>
        <w:tc>
          <w:tcPr>
            <w:tcW w:w="1276" w:type="dxa"/>
            <w:vMerge/>
            <w:shd w:val="clear" w:color="auto" w:fill="auto"/>
          </w:tcPr>
          <w:p w14:paraId="238BCD54" w14:textId="77777777" w:rsidR="00790A0D" w:rsidRPr="00DD47DF" w:rsidRDefault="00790A0D" w:rsidP="006D2F5F">
            <w:pPr>
              <w:pStyle w:val="Tabulka"/>
              <w:jc w:val="left"/>
              <w:rPr>
                <w:rFonts w:cs="Calibri"/>
              </w:rPr>
            </w:pPr>
          </w:p>
        </w:tc>
        <w:tc>
          <w:tcPr>
            <w:tcW w:w="1843" w:type="dxa"/>
            <w:shd w:val="clear" w:color="auto" w:fill="auto"/>
          </w:tcPr>
          <w:p w14:paraId="4550D63F" w14:textId="77777777" w:rsidR="00790A0D" w:rsidRPr="00DD47DF" w:rsidRDefault="00790A0D" w:rsidP="006D2F5F">
            <w:pPr>
              <w:pStyle w:val="Tabulka"/>
              <w:jc w:val="left"/>
              <w:rPr>
                <w:rFonts w:cs="Calibri"/>
              </w:rPr>
            </w:pPr>
            <w:r w:rsidRPr="00DD47DF">
              <w:rPr>
                <w:rFonts w:cs="Calibri"/>
              </w:rPr>
              <w:t xml:space="preserve">• nastiňuje opatření na podporu soukromých investic v oblasti výzkumu a technického </w:t>
            </w:r>
            <w:r w:rsidRPr="00DD47DF">
              <w:rPr>
                <w:rFonts w:cs="Calibri"/>
              </w:rPr>
              <w:lastRenderedPageBreak/>
              <w:t>rozvoje,</w:t>
            </w:r>
          </w:p>
        </w:tc>
        <w:tc>
          <w:tcPr>
            <w:tcW w:w="1134" w:type="dxa"/>
            <w:shd w:val="clear" w:color="auto" w:fill="auto"/>
          </w:tcPr>
          <w:p w14:paraId="49381AB5" w14:textId="77777777" w:rsidR="00790A0D" w:rsidRPr="00DD47DF" w:rsidRDefault="00865021" w:rsidP="006D2F5F">
            <w:pPr>
              <w:pStyle w:val="Tabulka"/>
              <w:jc w:val="left"/>
              <w:rPr>
                <w:rFonts w:cs="Calibri"/>
              </w:rPr>
            </w:pPr>
            <w:r w:rsidRPr="00DD47DF">
              <w:rPr>
                <w:rFonts w:cs="Calibri"/>
              </w:rPr>
              <w:lastRenderedPageBreak/>
              <w:t>ano</w:t>
            </w:r>
          </w:p>
        </w:tc>
        <w:tc>
          <w:tcPr>
            <w:tcW w:w="2126" w:type="dxa"/>
            <w:shd w:val="clear" w:color="auto" w:fill="auto"/>
          </w:tcPr>
          <w:p w14:paraId="08657A35" w14:textId="77777777" w:rsidR="00790A0D" w:rsidRPr="00DD47DF" w:rsidRDefault="00AF6FE3" w:rsidP="006D2F5F">
            <w:pPr>
              <w:pStyle w:val="Tabulka"/>
              <w:jc w:val="left"/>
              <w:rPr>
                <w:rFonts w:cs="Calibri"/>
              </w:rPr>
            </w:pPr>
            <w:hyperlink r:id="rId110" w:history="1">
              <w:r w:rsidR="0069482B" w:rsidRPr="00DD47DF">
                <w:rPr>
                  <w:rStyle w:val="Hypertextovodkaz"/>
                </w:rPr>
                <w:t>http://www.msmt.cz/strukturalni-fondy/ris3-strategie-cr</w:t>
              </w:r>
            </w:hyperlink>
          </w:p>
        </w:tc>
        <w:tc>
          <w:tcPr>
            <w:tcW w:w="4394" w:type="dxa"/>
            <w:shd w:val="clear" w:color="auto" w:fill="auto"/>
          </w:tcPr>
          <w:p w14:paraId="380DFEAC" w14:textId="77777777" w:rsidR="00790A0D" w:rsidRPr="00DD47DF" w:rsidRDefault="00865021" w:rsidP="00865021">
            <w:pPr>
              <w:spacing w:after="120"/>
              <w:jc w:val="both"/>
              <w:rPr>
                <w:sz w:val="22"/>
                <w:szCs w:val="22"/>
              </w:rPr>
            </w:pPr>
            <w:r w:rsidRPr="00DD47DF">
              <w:rPr>
                <w:sz w:val="22"/>
                <w:szCs w:val="22"/>
              </w:rPr>
              <w:t>Zpracovaná Národní RIS3 strategie obsahuje opatření na podporu soukromých investic ve VaVaI ve všech 6 identifikovaných klíčových oblastech změn (více viz kap. 6 Národní RIS3)</w:t>
            </w:r>
            <w:r w:rsidR="000C4C8E" w:rsidRPr="00DD47DF">
              <w:rPr>
                <w:sz w:val="22"/>
                <w:szCs w:val="22"/>
              </w:rPr>
              <w:t>.</w:t>
            </w:r>
          </w:p>
        </w:tc>
      </w:tr>
      <w:tr w:rsidR="00790A0D" w:rsidRPr="00DD47DF" w14:paraId="79BA8060" w14:textId="77777777" w:rsidTr="006D2F5F">
        <w:tc>
          <w:tcPr>
            <w:tcW w:w="1752" w:type="dxa"/>
            <w:vMerge/>
            <w:shd w:val="clear" w:color="auto" w:fill="auto"/>
          </w:tcPr>
          <w:p w14:paraId="0DA02D1D" w14:textId="77777777" w:rsidR="00790A0D" w:rsidRPr="00DD47DF" w:rsidRDefault="00790A0D" w:rsidP="006D2F5F">
            <w:pPr>
              <w:pStyle w:val="Tabulka"/>
              <w:jc w:val="left"/>
              <w:rPr>
                <w:rFonts w:cs="Calibri"/>
                <w:b/>
              </w:rPr>
            </w:pPr>
          </w:p>
        </w:tc>
        <w:tc>
          <w:tcPr>
            <w:tcW w:w="1701" w:type="dxa"/>
            <w:vMerge/>
            <w:shd w:val="clear" w:color="auto" w:fill="auto"/>
          </w:tcPr>
          <w:p w14:paraId="54EF5ABF" w14:textId="77777777" w:rsidR="00790A0D" w:rsidRPr="00DD47DF" w:rsidRDefault="00790A0D" w:rsidP="006D2F5F">
            <w:pPr>
              <w:pStyle w:val="Tabulka"/>
              <w:jc w:val="left"/>
              <w:rPr>
                <w:rFonts w:cs="Calibri"/>
              </w:rPr>
            </w:pPr>
          </w:p>
        </w:tc>
        <w:tc>
          <w:tcPr>
            <w:tcW w:w="1276" w:type="dxa"/>
            <w:vMerge/>
            <w:shd w:val="clear" w:color="auto" w:fill="auto"/>
          </w:tcPr>
          <w:p w14:paraId="7D79277A" w14:textId="77777777" w:rsidR="00790A0D" w:rsidRPr="00DD47DF" w:rsidRDefault="00790A0D" w:rsidP="006D2F5F">
            <w:pPr>
              <w:pStyle w:val="Tabulka"/>
              <w:jc w:val="left"/>
              <w:rPr>
                <w:rFonts w:cs="Calibri"/>
              </w:rPr>
            </w:pPr>
          </w:p>
        </w:tc>
        <w:tc>
          <w:tcPr>
            <w:tcW w:w="1843" w:type="dxa"/>
            <w:shd w:val="clear" w:color="auto" w:fill="auto"/>
          </w:tcPr>
          <w:p w14:paraId="2BEC6836" w14:textId="77777777" w:rsidR="00790A0D" w:rsidRPr="00DD47DF" w:rsidRDefault="00790A0D" w:rsidP="006D2F5F">
            <w:pPr>
              <w:pStyle w:val="Tabulka"/>
              <w:jc w:val="left"/>
              <w:rPr>
                <w:rFonts w:cs="Calibri"/>
              </w:rPr>
            </w:pPr>
            <w:r w:rsidRPr="00DD47DF">
              <w:rPr>
                <w:rFonts w:cs="Calibri"/>
              </w:rPr>
              <w:t>•obsahuje mechanismus sledování</w:t>
            </w:r>
          </w:p>
        </w:tc>
        <w:tc>
          <w:tcPr>
            <w:tcW w:w="1134" w:type="dxa"/>
            <w:shd w:val="clear" w:color="auto" w:fill="auto"/>
          </w:tcPr>
          <w:p w14:paraId="2766A0E2" w14:textId="77777777" w:rsidR="00790A0D" w:rsidRPr="00DD47DF" w:rsidRDefault="00790A0D" w:rsidP="006D2F5F">
            <w:pPr>
              <w:pStyle w:val="Tabulka"/>
              <w:jc w:val="left"/>
              <w:rPr>
                <w:rFonts w:cs="Calibri"/>
              </w:rPr>
            </w:pPr>
            <w:r w:rsidRPr="00DD47DF">
              <w:rPr>
                <w:rFonts w:cs="Calibri"/>
              </w:rPr>
              <w:t>ne</w:t>
            </w:r>
          </w:p>
        </w:tc>
        <w:tc>
          <w:tcPr>
            <w:tcW w:w="2126" w:type="dxa"/>
            <w:shd w:val="clear" w:color="auto" w:fill="auto"/>
          </w:tcPr>
          <w:p w14:paraId="2736B999" w14:textId="77777777" w:rsidR="00790A0D" w:rsidRPr="00DD47DF" w:rsidRDefault="00790A0D" w:rsidP="006D2F5F">
            <w:pPr>
              <w:pStyle w:val="Tabulka"/>
              <w:jc w:val="left"/>
              <w:rPr>
                <w:rFonts w:cs="Calibri"/>
              </w:rPr>
            </w:pPr>
          </w:p>
        </w:tc>
        <w:tc>
          <w:tcPr>
            <w:tcW w:w="4394" w:type="dxa"/>
            <w:shd w:val="clear" w:color="auto" w:fill="auto"/>
          </w:tcPr>
          <w:p w14:paraId="797ADE99" w14:textId="77777777" w:rsidR="00790A0D" w:rsidRPr="00DD47DF" w:rsidRDefault="00865021" w:rsidP="006D2F5F">
            <w:pPr>
              <w:pStyle w:val="Tabulka"/>
              <w:spacing w:before="0" w:after="0"/>
              <w:jc w:val="left"/>
            </w:pPr>
            <w:r w:rsidRPr="00DD47DF">
              <w:t>Monitorování Národní RIS3 strategie je rozpracováno v subkapitole 7.2 textu Národní RIS3, s důrazem na monitorovací zprávy a roli jednotlivých orgánů při jejich zpracování a na získávání vstupů pro monitorování z úrovně operačních programů a orgánů zodpovědných za implementaci národních podpůrných nástrojů. Metodika monitorování bude na základě požadavku EK dopracována popisem role krajských subjektů při monitorování intervencí RIS3, které jsou realizovány z krajské úrovně jako součást intervencí navržených v krajských přílohách Národní RIS3. Dále bude také dopracován a aktualizován návrh monitorovacích indikátorů Národní RIS3 (vše do termínu duben 2015).</w:t>
            </w:r>
          </w:p>
        </w:tc>
      </w:tr>
      <w:tr w:rsidR="00790A0D" w:rsidRPr="00DD47DF" w14:paraId="6C1DDC52" w14:textId="77777777" w:rsidTr="006D2F5F">
        <w:tc>
          <w:tcPr>
            <w:tcW w:w="1752" w:type="dxa"/>
            <w:vMerge/>
            <w:shd w:val="clear" w:color="auto" w:fill="auto"/>
          </w:tcPr>
          <w:p w14:paraId="02DBD931" w14:textId="77777777" w:rsidR="00790A0D" w:rsidRPr="00DD47DF" w:rsidRDefault="00790A0D" w:rsidP="006D2F5F">
            <w:pPr>
              <w:pStyle w:val="Tabulka"/>
              <w:jc w:val="left"/>
              <w:rPr>
                <w:rFonts w:cs="Calibri"/>
                <w:b/>
              </w:rPr>
            </w:pPr>
          </w:p>
        </w:tc>
        <w:tc>
          <w:tcPr>
            <w:tcW w:w="1701" w:type="dxa"/>
            <w:vMerge/>
            <w:shd w:val="clear" w:color="auto" w:fill="auto"/>
          </w:tcPr>
          <w:p w14:paraId="4727D915" w14:textId="77777777" w:rsidR="00790A0D" w:rsidRPr="00DD47DF" w:rsidRDefault="00790A0D" w:rsidP="006D2F5F">
            <w:pPr>
              <w:pStyle w:val="Tabulka"/>
              <w:jc w:val="left"/>
              <w:rPr>
                <w:rFonts w:cs="Calibri"/>
              </w:rPr>
            </w:pPr>
          </w:p>
        </w:tc>
        <w:tc>
          <w:tcPr>
            <w:tcW w:w="1276" w:type="dxa"/>
            <w:vMerge/>
            <w:shd w:val="clear" w:color="auto" w:fill="auto"/>
          </w:tcPr>
          <w:p w14:paraId="5EBFE1E2" w14:textId="77777777" w:rsidR="00790A0D" w:rsidRPr="00DD47DF" w:rsidRDefault="00790A0D" w:rsidP="006D2F5F">
            <w:pPr>
              <w:pStyle w:val="Tabulka"/>
              <w:jc w:val="left"/>
              <w:rPr>
                <w:rFonts w:cs="Calibri"/>
              </w:rPr>
            </w:pPr>
          </w:p>
        </w:tc>
        <w:tc>
          <w:tcPr>
            <w:tcW w:w="1843" w:type="dxa"/>
            <w:shd w:val="clear" w:color="auto" w:fill="auto"/>
          </w:tcPr>
          <w:p w14:paraId="02497120" w14:textId="77777777" w:rsidR="00790A0D" w:rsidRPr="00DD47DF" w:rsidRDefault="00790A0D" w:rsidP="006D2F5F">
            <w:pPr>
              <w:pStyle w:val="Tabulka"/>
              <w:jc w:val="left"/>
              <w:rPr>
                <w:rFonts w:cs="Calibri"/>
              </w:rPr>
            </w:pPr>
            <w:r w:rsidRPr="00DD47DF">
              <w:rPr>
                <w:rFonts w:cs="Calibri"/>
              </w:rPr>
              <w:t>Byl přijat rámec, který vymezuje dostupné rozpočtové prostředky na výzkum a inovace.</w:t>
            </w:r>
          </w:p>
        </w:tc>
        <w:tc>
          <w:tcPr>
            <w:tcW w:w="1134" w:type="dxa"/>
            <w:shd w:val="clear" w:color="auto" w:fill="auto"/>
          </w:tcPr>
          <w:p w14:paraId="568579D1" w14:textId="77777777" w:rsidR="00790A0D" w:rsidRPr="00DD47DF" w:rsidRDefault="00790A0D" w:rsidP="006D2F5F">
            <w:pPr>
              <w:pStyle w:val="Tabulka"/>
              <w:jc w:val="left"/>
              <w:rPr>
                <w:rFonts w:cs="Calibri"/>
              </w:rPr>
            </w:pPr>
            <w:r w:rsidRPr="00DD47DF">
              <w:rPr>
                <w:rFonts w:cs="Calibri"/>
              </w:rPr>
              <w:t>ne</w:t>
            </w:r>
          </w:p>
        </w:tc>
        <w:tc>
          <w:tcPr>
            <w:tcW w:w="2126" w:type="dxa"/>
            <w:shd w:val="clear" w:color="auto" w:fill="auto"/>
          </w:tcPr>
          <w:p w14:paraId="599F32AC" w14:textId="77777777" w:rsidR="00790A0D" w:rsidRPr="00DD47DF" w:rsidRDefault="00790A0D" w:rsidP="006D2F5F">
            <w:pPr>
              <w:pStyle w:val="Tabulka"/>
              <w:jc w:val="left"/>
              <w:rPr>
                <w:rFonts w:cs="Calibri"/>
              </w:rPr>
            </w:pPr>
          </w:p>
        </w:tc>
        <w:tc>
          <w:tcPr>
            <w:tcW w:w="4394" w:type="dxa"/>
            <w:shd w:val="clear" w:color="auto" w:fill="auto"/>
          </w:tcPr>
          <w:p w14:paraId="4B67E8F8" w14:textId="77777777" w:rsidR="00790A0D" w:rsidRPr="00DD47DF" w:rsidRDefault="00790A0D" w:rsidP="006D2F5F">
            <w:pPr>
              <w:pStyle w:val="Tabulka"/>
              <w:spacing w:before="0" w:after="0"/>
              <w:jc w:val="left"/>
            </w:pPr>
            <w:r w:rsidRPr="00DD47DF">
              <w:t xml:space="preserve">Obecný rámec pro vymezení dostupných rozpočtových zdrojů a priorit pro financování VaVaI obsahuje NP VaVaI (a její Aktualizace). Z ní vychází principy pro přípravu rozpočtu na VaVaI a následně vlastní návrh a střednědobý výhled rozpočtu na VaVaI, zpracovávaný Radou pro výzkum, vývoj a inovace. </w:t>
            </w:r>
          </w:p>
          <w:p w14:paraId="6C614EED" w14:textId="77777777" w:rsidR="00790A0D" w:rsidRPr="00DD47DF" w:rsidRDefault="00865021" w:rsidP="00865021">
            <w:pPr>
              <w:spacing w:line="280" w:lineRule="exact"/>
              <w:jc w:val="both"/>
              <w:rPr>
                <w:sz w:val="22"/>
                <w:szCs w:val="22"/>
              </w:rPr>
            </w:pPr>
            <w:r w:rsidRPr="00DD47DF">
              <w:t xml:space="preserve"> </w:t>
            </w:r>
            <w:r w:rsidRPr="00DD47DF">
              <w:rPr>
                <w:sz w:val="22"/>
                <w:szCs w:val="22"/>
              </w:rPr>
              <w:t xml:space="preserve">V průběhu roku 2015 bude na základě připomínky EK Úřadem vlády provedena revize zdrojů veřejných rozpočtů na podporu VaVaI (národních i krajských) tak, aby bylo možno diferencovat zdroje určené na implementaci RIS3 a zdroje ostatní (s termínem březen 2015 u krajských zdrojů na rok 2015, a termínem září 2015 u zdrojů národních na rok 2015 </w:t>
            </w:r>
            <w:r w:rsidRPr="00DD47DF">
              <w:rPr>
                <w:sz w:val="22"/>
                <w:szCs w:val="22"/>
              </w:rPr>
              <w:lastRenderedPageBreak/>
              <w:t>s výhledem na roky 2016-17).</w:t>
            </w:r>
          </w:p>
        </w:tc>
      </w:tr>
      <w:tr w:rsidR="00790A0D" w:rsidRPr="00DD47DF" w14:paraId="5115C133" w14:textId="77777777" w:rsidTr="006D2F5F">
        <w:tc>
          <w:tcPr>
            <w:tcW w:w="1752" w:type="dxa"/>
            <w:vMerge w:val="restart"/>
            <w:shd w:val="clear" w:color="auto" w:fill="auto"/>
          </w:tcPr>
          <w:p w14:paraId="509A2A4D" w14:textId="77777777" w:rsidR="00790A0D" w:rsidRPr="00DD47DF" w:rsidRDefault="00790A0D" w:rsidP="006D2F5F">
            <w:pPr>
              <w:pStyle w:val="Tabulka"/>
              <w:jc w:val="left"/>
              <w:rPr>
                <w:rFonts w:cs="Calibri"/>
                <w:b/>
              </w:rPr>
            </w:pPr>
            <w:r w:rsidRPr="00DD47DF">
              <w:rPr>
                <w:rFonts w:cs="Calibri"/>
                <w:b/>
              </w:rPr>
              <w:lastRenderedPageBreak/>
              <w:t>2.1: Digitální růst: Strategický rámec politiky pro digitální růst, který má podněcovat cenově dostupné, kvalitní a interoperabilních soukromé a veřejné služby v oblasti IKT a zvýšit míru jejich využívání občany(včetně zranitelných skupin), podniky a orgány veřejné správy včetně přeshraničních iniciativ</w:t>
            </w:r>
          </w:p>
        </w:tc>
        <w:tc>
          <w:tcPr>
            <w:tcW w:w="1701" w:type="dxa"/>
            <w:vMerge w:val="restart"/>
            <w:shd w:val="clear" w:color="auto" w:fill="auto"/>
          </w:tcPr>
          <w:p w14:paraId="4555B732" w14:textId="77777777" w:rsidR="00790A0D" w:rsidRPr="00DD47DF" w:rsidRDefault="00790A0D" w:rsidP="006D2F5F">
            <w:pPr>
              <w:pStyle w:val="Tabulka"/>
              <w:jc w:val="left"/>
              <w:rPr>
                <w:rFonts w:cs="Calibri"/>
              </w:rPr>
            </w:pPr>
            <w:r w:rsidRPr="00DD47DF">
              <w:rPr>
                <w:rFonts w:cs="Calibri"/>
              </w:rPr>
              <w:t>PO 4 - Rozvoj vysokorychlostních přístupových sítí k internetu a informačních a komunikačních technologií</w:t>
            </w:r>
          </w:p>
          <w:p w14:paraId="0461D03C" w14:textId="77777777" w:rsidR="00790A0D" w:rsidRPr="00DD47DF" w:rsidRDefault="00790A0D" w:rsidP="006D2F5F">
            <w:pPr>
              <w:pStyle w:val="Tabulka"/>
              <w:jc w:val="left"/>
              <w:rPr>
                <w:rFonts w:cs="Calibri"/>
              </w:rPr>
            </w:pPr>
          </w:p>
          <w:p w14:paraId="377E43D2" w14:textId="77777777" w:rsidR="00790A0D" w:rsidRPr="00DD47DF" w:rsidRDefault="00790A0D" w:rsidP="006D2F5F">
            <w:pPr>
              <w:pStyle w:val="Tabulka"/>
              <w:jc w:val="left"/>
              <w:rPr>
                <w:rFonts w:cs="Calibri"/>
              </w:rPr>
            </w:pPr>
          </w:p>
          <w:p w14:paraId="01FCA7B5" w14:textId="77777777" w:rsidR="00790A0D" w:rsidRPr="00DD47DF" w:rsidRDefault="00790A0D" w:rsidP="006D2F5F">
            <w:pPr>
              <w:pStyle w:val="Tabulka"/>
              <w:jc w:val="left"/>
              <w:rPr>
                <w:rFonts w:cs="Calibri"/>
              </w:rPr>
            </w:pPr>
          </w:p>
          <w:p w14:paraId="54BA8B1E" w14:textId="77777777" w:rsidR="00790A0D" w:rsidRPr="00DD47DF" w:rsidRDefault="00790A0D" w:rsidP="006D2F5F">
            <w:pPr>
              <w:pStyle w:val="Tabulka"/>
              <w:jc w:val="left"/>
              <w:rPr>
                <w:rFonts w:cs="Calibri"/>
              </w:rPr>
            </w:pPr>
          </w:p>
          <w:p w14:paraId="1377D8DE" w14:textId="77777777" w:rsidR="00790A0D" w:rsidRPr="00DD47DF" w:rsidRDefault="00790A0D" w:rsidP="006D2F5F">
            <w:pPr>
              <w:pStyle w:val="Tabulka"/>
              <w:jc w:val="left"/>
              <w:rPr>
                <w:rFonts w:cs="Calibri"/>
              </w:rPr>
            </w:pPr>
          </w:p>
        </w:tc>
        <w:tc>
          <w:tcPr>
            <w:tcW w:w="1276" w:type="dxa"/>
            <w:vMerge w:val="restart"/>
            <w:shd w:val="clear" w:color="auto" w:fill="auto"/>
          </w:tcPr>
          <w:p w14:paraId="77C77464" w14:textId="77777777" w:rsidR="00790A0D" w:rsidRPr="00DD47DF" w:rsidRDefault="00790A0D" w:rsidP="006D2F5F">
            <w:pPr>
              <w:pStyle w:val="Tabulka"/>
              <w:jc w:val="left"/>
              <w:rPr>
                <w:rFonts w:cs="Calibri"/>
              </w:rPr>
            </w:pPr>
            <w:r w:rsidRPr="00DD47DF">
              <w:rPr>
                <w:rFonts w:cs="Calibri"/>
              </w:rPr>
              <w:t>Částečně</w:t>
            </w:r>
          </w:p>
          <w:p w14:paraId="39C925ED" w14:textId="77777777" w:rsidR="00790A0D" w:rsidRPr="00DD47DF" w:rsidRDefault="00790A0D" w:rsidP="006D2F5F">
            <w:pPr>
              <w:pStyle w:val="Tabulka"/>
              <w:jc w:val="left"/>
              <w:rPr>
                <w:rFonts w:cs="Calibri"/>
              </w:rPr>
            </w:pPr>
          </w:p>
          <w:p w14:paraId="74C0C9D7" w14:textId="77777777" w:rsidR="00790A0D" w:rsidRPr="00DD47DF" w:rsidRDefault="00790A0D" w:rsidP="006D2F5F">
            <w:pPr>
              <w:pStyle w:val="Tabulka"/>
              <w:jc w:val="left"/>
              <w:rPr>
                <w:rFonts w:cs="Calibri"/>
              </w:rPr>
            </w:pPr>
          </w:p>
          <w:p w14:paraId="230C27A8" w14:textId="77777777" w:rsidR="00790A0D" w:rsidRPr="00DD47DF" w:rsidRDefault="00790A0D" w:rsidP="006D2F5F">
            <w:pPr>
              <w:pStyle w:val="Tabulka"/>
              <w:jc w:val="left"/>
              <w:rPr>
                <w:rFonts w:cs="Calibri"/>
              </w:rPr>
            </w:pPr>
          </w:p>
          <w:p w14:paraId="245A16E6" w14:textId="77777777" w:rsidR="00790A0D" w:rsidRPr="00DD47DF" w:rsidRDefault="00790A0D" w:rsidP="006D2F5F">
            <w:pPr>
              <w:pStyle w:val="Tabulka"/>
              <w:jc w:val="left"/>
              <w:rPr>
                <w:rFonts w:cs="Calibri"/>
              </w:rPr>
            </w:pPr>
          </w:p>
          <w:p w14:paraId="2F2D383E" w14:textId="77777777" w:rsidR="00790A0D" w:rsidRPr="00DD47DF" w:rsidRDefault="00790A0D" w:rsidP="006D2F5F">
            <w:pPr>
              <w:pStyle w:val="Tabulka"/>
              <w:jc w:val="left"/>
              <w:rPr>
                <w:rFonts w:cs="Calibri"/>
              </w:rPr>
            </w:pPr>
          </w:p>
          <w:p w14:paraId="74D36F52" w14:textId="77777777" w:rsidR="00790A0D" w:rsidRPr="00DD47DF" w:rsidRDefault="00790A0D" w:rsidP="006D2F5F">
            <w:pPr>
              <w:pStyle w:val="Tabulka"/>
              <w:jc w:val="left"/>
              <w:rPr>
                <w:rFonts w:cs="Calibri"/>
              </w:rPr>
            </w:pPr>
          </w:p>
          <w:p w14:paraId="6E62A3F5" w14:textId="77777777" w:rsidR="00790A0D" w:rsidRPr="00DD47DF" w:rsidRDefault="00790A0D" w:rsidP="006D2F5F">
            <w:pPr>
              <w:pStyle w:val="Tabulka"/>
              <w:jc w:val="left"/>
              <w:rPr>
                <w:rFonts w:cs="Calibri"/>
              </w:rPr>
            </w:pPr>
          </w:p>
          <w:p w14:paraId="5938E1EB" w14:textId="77777777" w:rsidR="00790A0D" w:rsidRPr="00DD47DF" w:rsidRDefault="00790A0D" w:rsidP="006D2F5F">
            <w:pPr>
              <w:pStyle w:val="Tabulka"/>
              <w:jc w:val="left"/>
              <w:rPr>
                <w:rFonts w:cs="Calibri"/>
              </w:rPr>
            </w:pPr>
          </w:p>
          <w:p w14:paraId="763FCE35" w14:textId="77777777" w:rsidR="00790A0D" w:rsidRPr="00DD47DF" w:rsidRDefault="00790A0D" w:rsidP="006D2F5F">
            <w:pPr>
              <w:pStyle w:val="Tabulka"/>
              <w:jc w:val="left"/>
              <w:rPr>
                <w:rFonts w:cs="Calibri"/>
              </w:rPr>
            </w:pPr>
          </w:p>
          <w:p w14:paraId="08D6BF4B" w14:textId="77777777" w:rsidR="00790A0D" w:rsidRPr="00DD47DF" w:rsidRDefault="00790A0D" w:rsidP="006D2F5F">
            <w:pPr>
              <w:pStyle w:val="Tabulka"/>
              <w:jc w:val="left"/>
              <w:rPr>
                <w:rFonts w:cs="Calibri"/>
              </w:rPr>
            </w:pPr>
          </w:p>
          <w:p w14:paraId="3175536C" w14:textId="77777777" w:rsidR="00790A0D" w:rsidRPr="00DD47DF" w:rsidRDefault="00790A0D" w:rsidP="006D2F5F">
            <w:pPr>
              <w:pStyle w:val="Tabulka"/>
              <w:jc w:val="left"/>
              <w:rPr>
                <w:rFonts w:cs="Calibri"/>
              </w:rPr>
            </w:pPr>
          </w:p>
        </w:tc>
        <w:tc>
          <w:tcPr>
            <w:tcW w:w="1843" w:type="dxa"/>
            <w:shd w:val="clear" w:color="auto" w:fill="auto"/>
          </w:tcPr>
          <w:p w14:paraId="7D0E3265" w14:textId="77777777" w:rsidR="00790A0D" w:rsidRPr="00DD47DF" w:rsidRDefault="00790A0D" w:rsidP="006D2F5F">
            <w:pPr>
              <w:pStyle w:val="Tabulka"/>
              <w:jc w:val="left"/>
              <w:rPr>
                <w:rFonts w:cs="Calibri"/>
              </w:rPr>
            </w:pPr>
            <w:r w:rsidRPr="00DD47DF">
              <w:rPr>
                <w:rFonts w:cs="Calibri"/>
              </w:rPr>
              <w:t>V rámci národní nebo regionální strategie pro inteligentní specializaci je vypracován například strategický rámec politiky pro digitální růst, který obsahuje:</w:t>
            </w:r>
          </w:p>
        </w:tc>
        <w:tc>
          <w:tcPr>
            <w:tcW w:w="1134" w:type="dxa"/>
            <w:shd w:val="clear" w:color="auto" w:fill="auto"/>
          </w:tcPr>
          <w:p w14:paraId="24B03691" w14:textId="77777777" w:rsidR="00790A0D" w:rsidRPr="00DD47DF" w:rsidRDefault="00790A0D" w:rsidP="008B1FD2">
            <w:pPr>
              <w:pStyle w:val="Tabulka"/>
              <w:jc w:val="left"/>
              <w:rPr>
                <w:rFonts w:cs="Calibri"/>
              </w:rPr>
            </w:pPr>
            <w:r w:rsidRPr="00DD47DF">
              <w:rPr>
                <w:rFonts w:cs="Calibri"/>
              </w:rPr>
              <w:t xml:space="preserve"> </w:t>
            </w:r>
            <w:r w:rsidR="008B1FD2" w:rsidRPr="00DD47DF">
              <w:rPr>
                <w:rFonts w:cs="Calibri"/>
              </w:rPr>
              <w:t>ne</w:t>
            </w:r>
          </w:p>
        </w:tc>
        <w:tc>
          <w:tcPr>
            <w:tcW w:w="2126" w:type="dxa"/>
            <w:shd w:val="clear" w:color="auto" w:fill="auto"/>
          </w:tcPr>
          <w:p w14:paraId="172A257B" w14:textId="77777777" w:rsidR="00790A0D" w:rsidRPr="00DD47DF" w:rsidRDefault="00AF6FE3" w:rsidP="006D2F5F">
            <w:pPr>
              <w:pStyle w:val="Tabulka"/>
              <w:jc w:val="left"/>
              <w:rPr>
                <w:rStyle w:val="Hypertextovodkaz"/>
                <w:rFonts w:cs="Calibri"/>
              </w:rPr>
            </w:pPr>
            <w:hyperlink r:id="rId111" w:history="1">
              <w:r w:rsidR="00790A0D" w:rsidRPr="00DD47DF">
                <w:rPr>
                  <w:rStyle w:val="Hypertextovodkaz"/>
                  <w:rFonts w:cs="Calibri"/>
                </w:rPr>
                <w:t>http://www.mpo.cz/dokument83642.html</w:t>
              </w:r>
            </w:hyperlink>
          </w:p>
          <w:p w14:paraId="46EC9A21" w14:textId="77777777" w:rsidR="00790A0D" w:rsidRPr="00DD47DF" w:rsidRDefault="00790A0D" w:rsidP="006D2F5F">
            <w:pPr>
              <w:pStyle w:val="Tabulka"/>
              <w:jc w:val="left"/>
              <w:rPr>
                <w:rStyle w:val="Hypertextovodkaz"/>
                <w:rFonts w:cs="Calibri"/>
              </w:rPr>
            </w:pPr>
          </w:p>
          <w:p w14:paraId="7DE1B189" w14:textId="77777777" w:rsidR="00790A0D" w:rsidRPr="00DD47DF" w:rsidRDefault="00AF6FE3" w:rsidP="006D2F5F">
            <w:pPr>
              <w:pStyle w:val="Tabulka"/>
              <w:jc w:val="left"/>
              <w:rPr>
                <w:rFonts w:cs="Calibri"/>
              </w:rPr>
            </w:pPr>
            <w:hyperlink r:id="rId112" w:history="1">
              <w:r w:rsidR="00790A0D" w:rsidRPr="00DD47DF">
                <w:rPr>
                  <w:rStyle w:val="Hypertextovodkaz"/>
                  <w:rFonts w:cs="Calibri"/>
                </w:rPr>
                <w:t>http://www.mpo.cz/assets/cz/e-komunikace-a-posta/Internet/2013/4/Digi_esko_v.2.0.pdf</w:t>
              </w:r>
            </w:hyperlink>
          </w:p>
          <w:p w14:paraId="5664D4E5" w14:textId="77777777" w:rsidR="00790A0D" w:rsidRPr="00DD47DF" w:rsidRDefault="00790A0D" w:rsidP="006D2F5F">
            <w:pPr>
              <w:pStyle w:val="Tabulka"/>
              <w:jc w:val="left"/>
              <w:rPr>
                <w:rFonts w:cs="Calibri"/>
              </w:rPr>
            </w:pPr>
          </w:p>
          <w:p w14:paraId="75484668" w14:textId="77777777" w:rsidR="00790A0D" w:rsidRPr="00DD47DF" w:rsidRDefault="00AF6FE3" w:rsidP="006D2F5F">
            <w:pPr>
              <w:pStyle w:val="Tabulka"/>
              <w:jc w:val="left"/>
              <w:rPr>
                <w:rStyle w:val="Hypertextovodkaz"/>
                <w:rFonts w:cs="Calibri"/>
              </w:rPr>
            </w:pPr>
            <w:hyperlink r:id="rId113" w:history="1">
              <w:r w:rsidR="00790A0D" w:rsidRPr="00DD47DF">
                <w:rPr>
                  <w:rStyle w:val="Hypertextovodkaz"/>
                  <w:rFonts w:cs="Calibri"/>
                </w:rPr>
                <w:t>http://www.mpo.cz/dokument119071.html</w:t>
              </w:r>
            </w:hyperlink>
          </w:p>
          <w:p w14:paraId="70C1EF3A" w14:textId="77777777" w:rsidR="00986263" w:rsidRPr="00DD47DF" w:rsidRDefault="00986263" w:rsidP="006D2F5F">
            <w:pPr>
              <w:pStyle w:val="Tabulka"/>
              <w:jc w:val="left"/>
              <w:rPr>
                <w:rFonts w:cs="Calibri"/>
              </w:rPr>
            </w:pPr>
          </w:p>
          <w:p w14:paraId="5B037031" w14:textId="77777777" w:rsidR="00790A0D" w:rsidRPr="00DD47DF" w:rsidRDefault="00AF6FE3" w:rsidP="006D2F5F">
            <w:pPr>
              <w:pStyle w:val="Tabulka"/>
              <w:jc w:val="left"/>
            </w:pPr>
            <w:hyperlink r:id="rId114" w:history="1">
              <w:r w:rsidR="00986263" w:rsidRPr="00DD47DF">
                <w:rPr>
                  <w:rStyle w:val="Hypertextovodkaz"/>
                </w:rPr>
                <w:t>http://www.mvcr.cz/odk2/clanek/odbor-verejne-spravy-dozoru-a-kontroly.aspx?q=Y2hudW09OQ%3d%3d</w:t>
              </w:r>
            </w:hyperlink>
          </w:p>
          <w:p w14:paraId="2DF3E5D6" w14:textId="77777777" w:rsidR="00986263" w:rsidRPr="00DD47DF" w:rsidRDefault="00986263" w:rsidP="006D2F5F">
            <w:pPr>
              <w:pStyle w:val="Tabulka"/>
              <w:jc w:val="left"/>
            </w:pPr>
          </w:p>
          <w:p w14:paraId="00C51B03" w14:textId="77777777" w:rsidR="00986263" w:rsidRPr="00DD47DF" w:rsidRDefault="00AF6FE3" w:rsidP="006D2F5F">
            <w:pPr>
              <w:pStyle w:val="Tabulka"/>
              <w:jc w:val="left"/>
              <w:rPr>
                <w:rStyle w:val="Hypertextovodkaz"/>
              </w:rPr>
            </w:pPr>
            <w:hyperlink r:id="rId115" w:history="1">
              <w:r w:rsidR="00986263" w:rsidRPr="00DD47DF">
                <w:rPr>
                  <w:rStyle w:val="Hypertextovodkaz"/>
                </w:rPr>
                <w:t>http://databaze-strategie.cz/cz/mv/strategie/strategicky-ramec-rozvoje-verejne-spravy-ceske-republiky-pro-obdobi-2014-2020</w:t>
              </w:r>
            </w:hyperlink>
          </w:p>
          <w:p w14:paraId="24A9F485" w14:textId="77777777" w:rsidR="00C529B4" w:rsidRPr="00DD47DF" w:rsidRDefault="00AF6FE3" w:rsidP="006D2F5F">
            <w:pPr>
              <w:pStyle w:val="Tabulka"/>
              <w:jc w:val="left"/>
            </w:pPr>
            <w:hyperlink r:id="rId116" w:history="1">
              <w:r w:rsidR="00C529B4" w:rsidRPr="00DD47DF">
                <w:rPr>
                  <w:rStyle w:val="Hypertextovodkaz"/>
                </w:rPr>
                <w:t>http://www.msmt.cz/uploads/OP_VVV/Narodni_RIS3_strategie_sc</w:t>
              </w:r>
              <w:r w:rsidR="00C529B4" w:rsidRPr="00DD47DF">
                <w:rPr>
                  <w:rStyle w:val="Hypertextovodkaz"/>
                </w:rPr>
                <w:lastRenderedPageBreak/>
                <w:t>hvalena_vladou_8._12._2014.pdf</w:t>
              </w:r>
            </w:hyperlink>
          </w:p>
        </w:tc>
        <w:tc>
          <w:tcPr>
            <w:tcW w:w="4394" w:type="dxa"/>
            <w:shd w:val="clear" w:color="auto" w:fill="auto"/>
          </w:tcPr>
          <w:p w14:paraId="27164F29" w14:textId="77777777" w:rsidR="00790A0D" w:rsidRPr="00DD47DF" w:rsidRDefault="00790A0D" w:rsidP="006D2F5F">
            <w:pPr>
              <w:pStyle w:val="Tabulka"/>
              <w:spacing w:before="0" w:after="0"/>
              <w:jc w:val="left"/>
              <w:rPr>
                <w:rFonts w:cs="Calibri"/>
              </w:rPr>
            </w:pPr>
            <w:r w:rsidRPr="00DD47DF">
              <w:rPr>
                <w:rFonts w:cs="Calibri"/>
              </w:rPr>
              <w:lastRenderedPageBreak/>
              <w:t xml:space="preserve">Opatření jsou obsažena v dokumentech: </w:t>
            </w:r>
            <w:r w:rsidRPr="00DD47DF">
              <w:rPr>
                <w:rFonts w:cs="Calibri"/>
              </w:rPr>
              <w:br/>
              <w:t>1. Státní politika v elektronických komunikacích - Digitální Česko</w:t>
            </w:r>
          </w:p>
          <w:p w14:paraId="1DE7A9C2" w14:textId="77777777" w:rsidR="00790A0D" w:rsidRPr="00DD47DF" w:rsidRDefault="00790A0D" w:rsidP="006D2F5F">
            <w:pPr>
              <w:pStyle w:val="Tabulka"/>
              <w:spacing w:before="0" w:after="0"/>
              <w:jc w:val="left"/>
              <w:rPr>
                <w:rFonts w:cs="Calibri"/>
              </w:rPr>
            </w:pPr>
            <w:r w:rsidRPr="00DD47DF">
              <w:rPr>
                <w:rFonts w:cs="Calibri"/>
              </w:rPr>
              <w:t>2."Digitální Česko 2.0 - Cesta k digitální ekonomice"</w:t>
            </w:r>
          </w:p>
          <w:p w14:paraId="5B6828BE" w14:textId="77777777" w:rsidR="00790A0D" w:rsidRPr="00DD47DF" w:rsidRDefault="00790A0D" w:rsidP="006D2F5F">
            <w:pPr>
              <w:pStyle w:val="Tabulka"/>
              <w:spacing w:before="0" w:after="0"/>
              <w:jc w:val="left"/>
              <w:rPr>
                <w:rFonts w:cs="Calibri"/>
              </w:rPr>
            </w:pPr>
            <w:r w:rsidRPr="00DD47DF">
              <w:rPr>
                <w:rFonts w:cs="Calibri"/>
              </w:rPr>
              <w:t>3. Koncepce podpory malých a středních podnikatelů na období let 2014 – 2020</w:t>
            </w:r>
          </w:p>
          <w:p w14:paraId="45EFD821" w14:textId="77777777" w:rsidR="00790A0D" w:rsidRPr="00DD47DF" w:rsidRDefault="00790A0D" w:rsidP="006D2F5F">
            <w:pPr>
              <w:pStyle w:val="Tabulka"/>
              <w:spacing w:before="0" w:after="0"/>
              <w:jc w:val="left"/>
            </w:pPr>
            <w:r w:rsidRPr="00DD47DF">
              <w:t>4. Strategický rámec rozvoje veřejné správy České republiky pro období 2014-2020</w:t>
            </w:r>
            <w:r w:rsidR="00C529B4" w:rsidRPr="00DD47DF">
              <w:t xml:space="preserve"> a z něj vycházející Implementační plán č. 3.</w:t>
            </w:r>
          </w:p>
          <w:p w14:paraId="1D4336B8" w14:textId="77777777" w:rsidR="00790A0D" w:rsidRPr="00DD47DF" w:rsidRDefault="00790A0D" w:rsidP="006D2F5F">
            <w:pPr>
              <w:pStyle w:val="Tabulka"/>
              <w:jc w:val="left"/>
              <w:rPr>
                <w:rFonts w:cs="Calibri"/>
              </w:rPr>
            </w:pPr>
            <w:r w:rsidRPr="00DD47DF">
              <w:rPr>
                <w:rFonts w:cs="Calibri"/>
              </w:rPr>
              <w:t>Průběžně se vyhodnocuje implementace programu ICT a strategické služby (program podpory OPPI).</w:t>
            </w:r>
          </w:p>
          <w:p w14:paraId="3696E452" w14:textId="77777777" w:rsidR="00790A0D" w:rsidRPr="00DD47DF" w:rsidRDefault="00790A0D" w:rsidP="006D2F5F">
            <w:pPr>
              <w:pStyle w:val="Tabulka"/>
              <w:jc w:val="left"/>
              <w:rPr>
                <w:rFonts w:cs="Calibri"/>
              </w:rPr>
            </w:pPr>
            <w:r w:rsidRPr="00DD47DF">
              <w:rPr>
                <w:rFonts w:cs="Calibri"/>
              </w:rPr>
              <w:t>Z pohledu intervencí OP PIK je strategický rámec vytvořen.</w:t>
            </w:r>
          </w:p>
          <w:p w14:paraId="55C1EF76" w14:textId="77777777" w:rsidR="00790A0D" w:rsidRPr="00DD47DF" w:rsidRDefault="00790A0D" w:rsidP="006D2F5F">
            <w:pPr>
              <w:pStyle w:val="Tabulka"/>
              <w:jc w:val="left"/>
              <w:rPr>
                <w:rFonts w:cs="Calibri"/>
              </w:rPr>
            </w:pPr>
            <w:r w:rsidRPr="00DD47DF">
              <w:rPr>
                <w:rFonts w:cs="Calibri"/>
              </w:rPr>
              <w:t>Strategický rámec bude dotvořen také Národní strategií inteligentní specializace (RIS3) (blíže viz podmínka 1.1).</w:t>
            </w:r>
          </w:p>
          <w:p w14:paraId="0C0C5B43" w14:textId="77777777" w:rsidR="00790A0D" w:rsidRPr="00DD47DF" w:rsidRDefault="00790A0D" w:rsidP="006D2F5F">
            <w:pPr>
              <w:pStyle w:val="Tabulka"/>
              <w:jc w:val="left"/>
              <w:rPr>
                <w:rFonts w:cs="Calibri"/>
              </w:rPr>
            </w:pPr>
            <w:r w:rsidRPr="00DD47DF">
              <w:rPr>
                <w:rFonts w:cs="Calibri"/>
              </w:rPr>
              <w:t>Byl zpracován akční plán ke splnění podmínky</w:t>
            </w:r>
            <w:r w:rsidR="009617DC" w:rsidRPr="00DD47DF">
              <w:rPr>
                <w:rFonts w:cs="Calibri"/>
              </w:rPr>
              <w:t xml:space="preserve"> (Příloha II)</w:t>
            </w:r>
            <w:r w:rsidRPr="00DD47DF">
              <w:rPr>
                <w:rFonts w:cs="Calibri"/>
              </w:rPr>
              <w:t>.</w:t>
            </w:r>
          </w:p>
        </w:tc>
      </w:tr>
      <w:tr w:rsidR="00790A0D" w:rsidRPr="00DD47DF" w14:paraId="18C95A7F" w14:textId="77777777" w:rsidTr="006D2F5F">
        <w:tc>
          <w:tcPr>
            <w:tcW w:w="1752" w:type="dxa"/>
            <w:vMerge/>
            <w:shd w:val="clear" w:color="auto" w:fill="auto"/>
          </w:tcPr>
          <w:p w14:paraId="4AA1B3A5" w14:textId="77777777" w:rsidR="00790A0D" w:rsidRPr="00DD47DF" w:rsidRDefault="00790A0D" w:rsidP="006D2F5F">
            <w:pPr>
              <w:pStyle w:val="Tabulka"/>
              <w:rPr>
                <w:rFonts w:cs="Calibri"/>
                <w:b/>
              </w:rPr>
            </w:pPr>
          </w:p>
        </w:tc>
        <w:tc>
          <w:tcPr>
            <w:tcW w:w="1701" w:type="dxa"/>
            <w:vMerge/>
            <w:shd w:val="clear" w:color="auto" w:fill="auto"/>
          </w:tcPr>
          <w:p w14:paraId="38758CEB" w14:textId="77777777" w:rsidR="00790A0D" w:rsidRPr="00DD47DF" w:rsidRDefault="00790A0D" w:rsidP="006D2F5F">
            <w:pPr>
              <w:pStyle w:val="Tabulka"/>
              <w:rPr>
                <w:rFonts w:cs="Calibri"/>
              </w:rPr>
            </w:pPr>
          </w:p>
        </w:tc>
        <w:tc>
          <w:tcPr>
            <w:tcW w:w="1276" w:type="dxa"/>
            <w:vMerge/>
            <w:shd w:val="clear" w:color="auto" w:fill="auto"/>
          </w:tcPr>
          <w:p w14:paraId="10ABF442" w14:textId="77777777" w:rsidR="00790A0D" w:rsidRPr="00DD47DF" w:rsidRDefault="00790A0D" w:rsidP="006D2F5F">
            <w:pPr>
              <w:pStyle w:val="Tabulka"/>
              <w:rPr>
                <w:rFonts w:cs="Calibri"/>
              </w:rPr>
            </w:pPr>
          </w:p>
        </w:tc>
        <w:tc>
          <w:tcPr>
            <w:tcW w:w="1843" w:type="dxa"/>
            <w:shd w:val="clear" w:color="auto" w:fill="auto"/>
          </w:tcPr>
          <w:p w14:paraId="2FC63622" w14:textId="77777777" w:rsidR="00790A0D" w:rsidRPr="00DD47DF" w:rsidRDefault="00790A0D" w:rsidP="006D2F5F">
            <w:pPr>
              <w:pStyle w:val="Tabulka"/>
              <w:jc w:val="left"/>
              <w:rPr>
                <w:rFonts w:cs="Calibri"/>
              </w:rPr>
            </w:pPr>
            <w:r w:rsidRPr="00DD47DF">
              <w:rPr>
                <w:rFonts w:cs="Calibri"/>
              </w:rPr>
              <w:t>• sestavování rozpočtu a stanovování pořadí důležitosti opatření prostřednictvím SWOT nebo podobné analýzy provedené v souladu se srovnávacím přehledem Digitální agendy pro Evropu,</w:t>
            </w:r>
          </w:p>
        </w:tc>
        <w:tc>
          <w:tcPr>
            <w:tcW w:w="1134" w:type="dxa"/>
            <w:shd w:val="clear" w:color="auto" w:fill="auto"/>
          </w:tcPr>
          <w:p w14:paraId="62178BFE" w14:textId="77777777" w:rsidR="00790A0D" w:rsidRPr="00DD47DF" w:rsidRDefault="00790A0D" w:rsidP="006D2F5F">
            <w:pPr>
              <w:pStyle w:val="Tabulka"/>
              <w:jc w:val="left"/>
              <w:rPr>
                <w:rFonts w:cs="Calibri"/>
              </w:rPr>
            </w:pPr>
            <w:r w:rsidRPr="00DD47DF">
              <w:rPr>
                <w:rFonts w:cs="Calibri"/>
              </w:rPr>
              <w:t xml:space="preserve"> ano</w:t>
            </w:r>
          </w:p>
        </w:tc>
        <w:tc>
          <w:tcPr>
            <w:tcW w:w="2126" w:type="dxa"/>
            <w:shd w:val="clear" w:color="auto" w:fill="auto"/>
          </w:tcPr>
          <w:p w14:paraId="3C6280B7" w14:textId="77777777" w:rsidR="00790A0D" w:rsidRPr="00DD47DF" w:rsidRDefault="00AF6FE3" w:rsidP="006D2F5F">
            <w:pPr>
              <w:pStyle w:val="Tabulka"/>
              <w:jc w:val="left"/>
              <w:rPr>
                <w:rFonts w:cs="Calibri"/>
              </w:rPr>
            </w:pPr>
            <w:hyperlink r:id="rId117" w:history="1">
              <w:r w:rsidR="00790A0D" w:rsidRPr="00DD47DF">
                <w:rPr>
                  <w:rStyle w:val="Hypertextovodkaz"/>
                  <w:rFonts w:cs="Calibri"/>
                </w:rPr>
                <w:t>http://www.mpo.cz/assets/cz/e-komunikace-a-posta/Internet/2013/4/Digi_esko_v.2.0.pdf</w:t>
              </w:r>
            </w:hyperlink>
          </w:p>
          <w:p w14:paraId="29F0C679" w14:textId="77777777" w:rsidR="00790A0D" w:rsidRPr="00DD47DF" w:rsidRDefault="00790A0D" w:rsidP="006D2F5F">
            <w:pPr>
              <w:pStyle w:val="Tabulka"/>
              <w:jc w:val="left"/>
              <w:rPr>
                <w:rFonts w:cs="Calibri"/>
              </w:rPr>
            </w:pPr>
          </w:p>
          <w:p w14:paraId="14FAC935" w14:textId="77777777" w:rsidR="00790A0D" w:rsidRPr="00DD47DF" w:rsidRDefault="00AF6FE3" w:rsidP="006D2F5F">
            <w:pPr>
              <w:pStyle w:val="Tabulka"/>
              <w:jc w:val="left"/>
              <w:rPr>
                <w:rFonts w:cs="Calibri"/>
              </w:rPr>
            </w:pPr>
            <w:hyperlink r:id="rId118" w:history="1">
              <w:r w:rsidR="00790A0D" w:rsidRPr="00DD47DF">
                <w:rPr>
                  <w:rStyle w:val="Hypertextovodkaz"/>
                  <w:rFonts w:cs="Calibri"/>
                </w:rPr>
                <w:t>http://www.mpo.cz/dokument119071.html</w:t>
              </w:r>
            </w:hyperlink>
          </w:p>
          <w:p w14:paraId="7405A109" w14:textId="77777777" w:rsidR="00790A0D" w:rsidRPr="00DD47DF" w:rsidRDefault="00790A0D" w:rsidP="006D2F5F">
            <w:pPr>
              <w:pStyle w:val="Tabulka"/>
              <w:jc w:val="left"/>
              <w:rPr>
                <w:rFonts w:cs="Calibri"/>
              </w:rPr>
            </w:pPr>
          </w:p>
        </w:tc>
        <w:tc>
          <w:tcPr>
            <w:tcW w:w="4394" w:type="dxa"/>
            <w:shd w:val="clear" w:color="auto" w:fill="auto"/>
          </w:tcPr>
          <w:p w14:paraId="16FFCB9C" w14:textId="77777777" w:rsidR="00790A0D" w:rsidRPr="00DD47DF" w:rsidRDefault="00790A0D" w:rsidP="006D2F5F">
            <w:pPr>
              <w:pStyle w:val="Tabulka"/>
              <w:jc w:val="left"/>
              <w:rPr>
                <w:rFonts w:cs="Calibri"/>
              </w:rPr>
            </w:pPr>
            <w:r w:rsidRPr="00DD47DF">
              <w:rPr>
                <w:rFonts w:cs="Calibri"/>
              </w:rPr>
              <w:t>Digitální Česko 2.0 obsahuje hlavní cíle vlády do r. 2020, vč. shrnutí analýz provedených před zpracováním strategie na základě údajů od ČTÚ a ČSÚ. Na základě těchto analýz je Digitální Česko 2 postaveno na 3 pilířích: podpoře rozvoje vysokorychlostních přístupových sítí k internetu, zvyšování dostupnosti a rozvoj digitálních služeb a posilování digitální gramotnosti a elektronických dovedností uživatelů sítí a služeb. Tyto 3 pilíře jsou stanoveny nadčasově, plně odpovídají smyslu a účelu Digitální agendy pro Evropu a dále jsou rozpracovávány navrženými opatřeními. Proto jsou dále průběžně sledovány stěžejní hospodářské a ekonomické aspekty prostřednictvím pravidelných zpráv ČSÚ viz např. nejnovější:</w:t>
            </w:r>
          </w:p>
          <w:p w14:paraId="6E32E487" w14:textId="77777777" w:rsidR="00790A0D" w:rsidRPr="00DD47DF" w:rsidRDefault="00790A0D" w:rsidP="006D2F5F">
            <w:pPr>
              <w:pStyle w:val="Tabulka"/>
              <w:jc w:val="left"/>
              <w:rPr>
                <w:rFonts w:cs="Calibri"/>
              </w:rPr>
            </w:pPr>
            <w:r w:rsidRPr="00DD47DF">
              <w:rPr>
                <w:rFonts w:cs="Calibri"/>
              </w:rPr>
              <w:t xml:space="preserve">Informační a komunikační technologie v podnikatelském sektoru za rok 2013, Informační ekonomika v číslech 2013, Informační společnost v číslech 2013. </w:t>
            </w:r>
          </w:p>
          <w:p w14:paraId="31760C79" w14:textId="77777777" w:rsidR="00790A0D" w:rsidRPr="00DD47DF" w:rsidRDefault="00790A0D" w:rsidP="006D2F5F">
            <w:pPr>
              <w:pStyle w:val="Tabulka"/>
              <w:jc w:val="left"/>
              <w:rPr>
                <w:rFonts w:cs="Calibri"/>
              </w:rPr>
            </w:pPr>
            <w:r w:rsidRPr="00DD47DF">
              <w:rPr>
                <w:rFonts w:cs="Calibri"/>
              </w:rPr>
              <w:t>Koncepce podpory malých a středních podnikatelů 2014 – 2020 obsahuje analýzu sektoru MSP v oblasti ICT.</w:t>
            </w:r>
          </w:p>
        </w:tc>
      </w:tr>
      <w:tr w:rsidR="00790A0D" w:rsidRPr="00DD47DF" w14:paraId="05E76FB9" w14:textId="77777777" w:rsidTr="006D2F5F">
        <w:tc>
          <w:tcPr>
            <w:tcW w:w="1752" w:type="dxa"/>
            <w:vMerge/>
            <w:shd w:val="clear" w:color="auto" w:fill="auto"/>
          </w:tcPr>
          <w:p w14:paraId="7FA17A1F" w14:textId="77777777" w:rsidR="00790A0D" w:rsidRPr="00DD47DF" w:rsidRDefault="00790A0D" w:rsidP="006D2F5F">
            <w:pPr>
              <w:pStyle w:val="Tabulka"/>
              <w:jc w:val="left"/>
              <w:rPr>
                <w:rFonts w:cs="Calibri"/>
                <w:b/>
              </w:rPr>
            </w:pPr>
          </w:p>
        </w:tc>
        <w:tc>
          <w:tcPr>
            <w:tcW w:w="1701" w:type="dxa"/>
            <w:vMerge/>
            <w:shd w:val="clear" w:color="auto" w:fill="auto"/>
          </w:tcPr>
          <w:p w14:paraId="70D6FC1B" w14:textId="77777777" w:rsidR="00790A0D" w:rsidRPr="00DD47DF" w:rsidRDefault="00790A0D" w:rsidP="006D2F5F">
            <w:pPr>
              <w:pStyle w:val="Tabulka"/>
              <w:jc w:val="left"/>
              <w:rPr>
                <w:rFonts w:cs="Calibri"/>
              </w:rPr>
            </w:pPr>
          </w:p>
        </w:tc>
        <w:tc>
          <w:tcPr>
            <w:tcW w:w="1276" w:type="dxa"/>
            <w:vMerge/>
            <w:shd w:val="clear" w:color="auto" w:fill="auto"/>
          </w:tcPr>
          <w:p w14:paraId="029299F7" w14:textId="77777777" w:rsidR="00790A0D" w:rsidRPr="00DD47DF" w:rsidRDefault="00790A0D" w:rsidP="006D2F5F">
            <w:pPr>
              <w:pStyle w:val="Tabulka"/>
              <w:jc w:val="left"/>
              <w:rPr>
                <w:rFonts w:cs="Calibri"/>
              </w:rPr>
            </w:pPr>
          </w:p>
        </w:tc>
        <w:tc>
          <w:tcPr>
            <w:tcW w:w="1843" w:type="dxa"/>
            <w:shd w:val="clear" w:color="auto" w:fill="auto"/>
          </w:tcPr>
          <w:p w14:paraId="4D293979" w14:textId="77777777" w:rsidR="00790A0D" w:rsidRPr="00DD47DF" w:rsidRDefault="00790A0D" w:rsidP="006D2F5F">
            <w:pPr>
              <w:pStyle w:val="Tabulka"/>
              <w:jc w:val="left"/>
              <w:rPr>
                <w:rFonts w:cs="Calibri"/>
              </w:rPr>
            </w:pPr>
            <w:r w:rsidRPr="00DD47DF">
              <w:rPr>
                <w:rFonts w:cs="Calibri"/>
              </w:rPr>
              <w:t xml:space="preserve">• měla být provedena analýza vyváženosti podpory poptávky a nabídky </w:t>
            </w:r>
            <w:r w:rsidRPr="00DD47DF">
              <w:rPr>
                <w:rFonts w:cs="Calibri"/>
              </w:rPr>
              <w:lastRenderedPageBreak/>
              <w:t>informačních a komunikačních technologií (IKT),</w:t>
            </w:r>
          </w:p>
        </w:tc>
        <w:tc>
          <w:tcPr>
            <w:tcW w:w="1134" w:type="dxa"/>
            <w:shd w:val="clear" w:color="auto" w:fill="auto"/>
          </w:tcPr>
          <w:p w14:paraId="418EBF43" w14:textId="77777777" w:rsidR="00790A0D" w:rsidRPr="00DD47DF" w:rsidRDefault="00790A0D" w:rsidP="006D2F5F">
            <w:pPr>
              <w:pStyle w:val="Tabulka"/>
              <w:jc w:val="left"/>
              <w:rPr>
                <w:rFonts w:cs="Calibri"/>
              </w:rPr>
            </w:pPr>
            <w:r w:rsidRPr="00DD47DF">
              <w:rPr>
                <w:rFonts w:cs="Calibri"/>
              </w:rPr>
              <w:lastRenderedPageBreak/>
              <w:t xml:space="preserve"> ano</w:t>
            </w:r>
          </w:p>
        </w:tc>
        <w:tc>
          <w:tcPr>
            <w:tcW w:w="2126" w:type="dxa"/>
            <w:shd w:val="clear" w:color="auto" w:fill="auto"/>
          </w:tcPr>
          <w:p w14:paraId="1C4C31D4" w14:textId="77777777" w:rsidR="00790A0D" w:rsidRPr="00DD47DF" w:rsidRDefault="00AF6FE3" w:rsidP="006D2F5F">
            <w:pPr>
              <w:pStyle w:val="Tabulka"/>
              <w:jc w:val="left"/>
              <w:rPr>
                <w:rStyle w:val="Hypertextovodkaz"/>
                <w:rFonts w:cs="Calibri"/>
              </w:rPr>
            </w:pPr>
            <w:hyperlink r:id="rId119" w:history="1">
              <w:r w:rsidR="00790A0D" w:rsidRPr="00DD47DF">
                <w:rPr>
                  <w:rStyle w:val="Hypertextovodkaz"/>
                  <w:rFonts w:cs="Calibri"/>
                </w:rPr>
                <w:t>http://www.mpo.cz/dokument83642.html</w:t>
              </w:r>
            </w:hyperlink>
          </w:p>
          <w:p w14:paraId="3220463E" w14:textId="77777777" w:rsidR="00790A0D" w:rsidRPr="00DD47DF" w:rsidRDefault="00790A0D" w:rsidP="006D2F5F">
            <w:pPr>
              <w:pStyle w:val="Tabulka"/>
              <w:jc w:val="left"/>
              <w:rPr>
                <w:rStyle w:val="Hypertextovodkaz"/>
                <w:rFonts w:cs="Calibri"/>
              </w:rPr>
            </w:pPr>
          </w:p>
          <w:p w14:paraId="1B338328" w14:textId="77777777" w:rsidR="00790A0D" w:rsidRPr="00DD47DF" w:rsidRDefault="00AF6FE3" w:rsidP="006D2F5F">
            <w:pPr>
              <w:pStyle w:val="Tabulka"/>
              <w:jc w:val="left"/>
              <w:rPr>
                <w:rFonts w:cs="Calibri"/>
              </w:rPr>
            </w:pPr>
            <w:hyperlink r:id="rId120" w:history="1">
              <w:r w:rsidR="00790A0D" w:rsidRPr="00DD47DF">
                <w:rPr>
                  <w:rStyle w:val="Hypertextovodkaz"/>
                  <w:rFonts w:cs="Calibri"/>
                </w:rPr>
                <w:t>http://www.mpo.cz/assets/cz/e-komunikace-</w:t>
              </w:r>
              <w:r w:rsidR="00790A0D" w:rsidRPr="00DD47DF">
                <w:rPr>
                  <w:rStyle w:val="Hypertextovodkaz"/>
                  <w:rFonts w:cs="Calibri"/>
                </w:rPr>
                <w:lastRenderedPageBreak/>
                <w:t>a-posta/Internet/2013/4/Digi_esko_v.2.0.pdf</w:t>
              </w:r>
            </w:hyperlink>
          </w:p>
          <w:p w14:paraId="223B45B6" w14:textId="77777777" w:rsidR="00790A0D" w:rsidRPr="00DD47DF" w:rsidRDefault="00790A0D" w:rsidP="006D2F5F">
            <w:pPr>
              <w:pStyle w:val="Tabulka"/>
              <w:jc w:val="left"/>
              <w:rPr>
                <w:rFonts w:cs="Calibri"/>
              </w:rPr>
            </w:pPr>
          </w:p>
          <w:p w14:paraId="56EE2916" w14:textId="77777777" w:rsidR="00790A0D" w:rsidRPr="00DD47DF" w:rsidRDefault="00AF6FE3" w:rsidP="006D2F5F">
            <w:pPr>
              <w:pStyle w:val="Tabulka"/>
              <w:jc w:val="left"/>
              <w:rPr>
                <w:rFonts w:cs="Calibri"/>
              </w:rPr>
            </w:pPr>
            <w:hyperlink r:id="rId121" w:history="1">
              <w:r w:rsidR="00790A0D" w:rsidRPr="00DD47DF">
                <w:rPr>
                  <w:rStyle w:val="Hypertextovodkaz"/>
                  <w:rFonts w:cs="Calibri"/>
                </w:rPr>
                <w:t>http://www.mpo.cz/dokument119071.html</w:t>
              </w:r>
            </w:hyperlink>
          </w:p>
        </w:tc>
        <w:tc>
          <w:tcPr>
            <w:tcW w:w="4394" w:type="dxa"/>
            <w:shd w:val="clear" w:color="auto" w:fill="auto"/>
          </w:tcPr>
          <w:p w14:paraId="09AB2642" w14:textId="77777777" w:rsidR="00790A0D" w:rsidRPr="00DD47DF" w:rsidRDefault="00790A0D" w:rsidP="006D2F5F">
            <w:pPr>
              <w:pStyle w:val="Tabulka"/>
              <w:jc w:val="left"/>
              <w:rPr>
                <w:rFonts w:cs="Calibri"/>
              </w:rPr>
            </w:pPr>
            <w:r w:rsidRPr="00DD47DF">
              <w:rPr>
                <w:rFonts w:cs="Calibri"/>
              </w:rPr>
              <w:lastRenderedPageBreak/>
              <w:t xml:space="preserve">Stěžejním cílem Strategie Digitální Česko je redukovat „digitální propast“ v oblasti přístupu k vysokorychlostnímu internetu mezi venkovskými sídly a městy. Digitální Česko 2 obsahuje vyhodnocení stávající nabídky </w:t>
            </w:r>
            <w:r w:rsidRPr="00DD47DF">
              <w:rPr>
                <w:rFonts w:cs="Calibri"/>
              </w:rPr>
              <w:lastRenderedPageBreak/>
              <w:t>dostupnosti vysokorychlostního přístupu k internetu a nutnosti její podpory. Digitální Česko 2 obsahuje výběr socioekonomických a jiných analýz zejména ze zpráv ČSÚ. Výsledkem těchto analýz bylo stanovení hlavních cílů vlády, které lze jednoduše vyjádřit třemi výše zmíněnými klíčovými pilíři. Koncepce podpory malých a středních podnikatelů na období let 2014 – 2020 obsahuje analýzu nezbytnosti podpory ICT pro růst MSP.</w:t>
            </w:r>
          </w:p>
        </w:tc>
      </w:tr>
      <w:tr w:rsidR="00790A0D" w:rsidRPr="00DD47DF" w14:paraId="1BE4B1D4" w14:textId="77777777" w:rsidTr="006D2F5F">
        <w:tc>
          <w:tcPr>
            <w:tcW w:w="1752" w:type="dxa"/>
            <w:vMerge/>
            <w:shd w:val="clear" w:color="auto" w:fill="auto"/>
          </w:tcPr>
          <w:p w14:paraId="1AB5B319" w14:textId="77777777" w:rsidR="00790A0D" w:rsidRPr="00DD47DF" w:rsidRDefault="00790A0D" w:rsidP="006D2F5F">
            <w:pPr>
              <w:pStyle w:val="Tabulka"/>
              <w:jc w:val="left"/>
              <w:rPr>
                <w:rFonts w:cs="Calibri"/>
                <w:b/>
              </w:rPr>
            </w:pPr>
          </w:p>
        </w:tc>
        <w:tc>
          <w:tcPr>
            <w:tcW w:w="1701" w:type="dxa"/>
            <w:vMerge/>
            <w:shd w:val="clear" w:color="auto" w:fill="auto"/>
          </w:tcPr>
          <w:p w14:paraId="47A483F9" w14:textId="77777777" w:rsidR="00790A0D" w:rsidRPr="00DD47DF" w:rsidRDefault="00790A0D" w:rsidP="006D2F5F">
            <w:pPr>
              <w:pStyle w:val="Tabulka"/>
              <w:jc w:val="left"/>
              <w:rPr>
                <w:rFonts w:cs="Calibri"/>
              </w:rPr>
            </w:pPr>
          </w:p>
        </w:tc>
        <w:tc>
          <w:tcPr>
            <w:tcW w:w="1276" w:type="dxa"/>
            <w:vMerge/>
            <w:shd w:val="clear" w:color="auto" w:fill="auto"/>
          </w:tcPr>
          <w:p w14:paraId="0D67C2A6" w14:textId="77777777" w:rsidR="00790A0D" w:rsidRPr="00DD47DF" w:rsidRDefault="00790A0D" w:rsidP="006D2F5F">
            <w:pPr>
              <w:pStyle w:val="Tabulka"/>
              <w:jc w:val="left"/>
              <w:rPr>
                <w:rFonts w:cs="Calibri"/>
              </w:rPr>
            </w:pPr>
          </w:p>
        </w:tc>
        <w:tc>
          <w:tcPr>
            <w:tcW w:w="1843" w:type="dxa"/>
            <w:shd w:val="clear" w:color="auto" w:fill="auto"/>
          </w:tcPr>
          <w:p w14:paraId="60A30FF4" w14:textId="77777777" w:rsidR="00790A0D" w:rsidRPr="00DD47DF" w:rsidRDefault="00790A0D" w:rsidP="006D2F5F">
            <w:pPr>
              <w:pStyle w:val="Tabulka"/>
              <w:jc w:val="left"/>
              <w:rPr>
                <w:rFonts w:cs="Calibri"/>
              </w:rPr>
            </w:pPr>
            <w:r w:rsidRPr="00DD47DF">
              <w:rPr>
                <w:rFonts w:cs="Calibri"/>
              </w:rPr>
              <w:t>• ukazatele umožňující měření pokroku zásahů v oblastech, jako jsou počítačová gramotnost, digitální začlenění, digitální přístupnost a pokrok v elektronickém zdravotnictví v mezích článku 168 SFEU, jež jsou v souladu se stávajícími příslušnými unijními, vnitrostátními nebo regionálními strategiemi pro jednotlivá odvětví,</w:t>
            </w:r>
          </w:p>
        </w:tc>
        <w:tc>
          <w:tcPr>
            <w:tcW w:w="1134" w:type="dxa"/>
            <w:shd w:val="clear" w:color="auto" w:fill="auto"/>
          </w:tcPr>
          <w:p w14:paraId="6AA7DF93" w14:textId="77777777" w:rsidR="00790A0D" w:rsidRPr="00DD47DF" w:rsidRDefault="008B1FD2" w:rsidP="006D2F5F">
            <w:pPr>
              <w:pStyle w:val="Tabulka"/>
              <w:jc w:val="left"/>
              <w:rPr>
                <w:rFonts w:cs="Calibri"/>
              </w:rPr>
            </w:pPr>
            <w:r w:rsidRPr="00DD47DF">
              <w:rPr>
                <w:rFonts w:cs="Calibri"/>
              </w:rPr>
              <w:t>ne</w:t>
            </w:r>
          </w:p>
        </w:tc>
        <w:tc>
          <w:tcPr>
            <w:tcW w:w="2126" w:type="dxa"/>
            <w:shd w:val="clear" w:color="auto" w:fill="auto"/>
          </w:tcPr>
          <w:p w14:paraId="453905BC" w14:textId="77777777" w:rsidR="00790A0D" w:rsidRPr="00DD47DF" w:rsidRDefault="00AF6FE3" w:rsidP="006D2F5F">
            <w:pPr>
              <w:pStyle w:val="Tabulka"/>
              <w:jc w:val="left"/>
              <w:rPr>
                <w:rStyle w:val="Hypertextovodkaz"/>
                <w:rFonts w:cs="Calibri"/>
              </w:rPr>
            </w:pPr>
            <w:hyperlink r:id="rId122" w:history="1">
              <w:r w:rsidR="00790A0D" w:rsidRPr="00DD47DF">
                <w:rPr>
                  <w:rStyle w:val="Hypertextovodkaz"/>
                  <w:rFonts w:cs="Calibri"/>
                </w:rPr>
                <w:t>http://www.mpo.cz/assets/cz/e-komunikace-a-posta/Internet/2013/4/Digi_esko_v.2.0.pdf</w:t>
              </w:r>
            </w:hyperlink>
          </w:p>
          <w:p w14:paraId="379DD663" w14:textId="77777777" w:rsidR="000F5C52" w:rsidRPr="00DD47DF" w:rsidRDefault="000F5C52" w:rsidP="006D2F5F">
            <w:pPr>
              <w:pStyle w:val="Tabulka"/>
              <w:jc w:val="left"/>
              <w:rPr>
                <w:rStyle w:val="Hypertextovodkaz"/>
                <w:rFonts w:cs="Calibri"/>
              </w:rPr>
            </w:pPr>
          </w:p>
          <w:p w14:paraId="3D366CAE" w14:textId="77777777" w:rsidR="000F5C52" w:rsidRPr="00DD47DF" w:rsidRDefault="00AF6FE3" w:rsidP="006D2F5F">
            <w:pPr>
              <w:pStyle w:val="Tabulka"/>
              <w:jc w:val="left"/>
            </w:pPr>
            <w:hyperlink r:id="rId123" w:history="1">
              <w:r w:rsidR="000F5C52" w:rsidRPr="00DD47DF">
                <w:rPr>
                  <w:rStyle w:val="Hypertextovodkaz"/>
                </w:rPr>
                <w:t>http://www.mvcr.cz/odk2/clanek/odbor-verejne-spravy-dozoru-a-kontroly.aspx?q=Y2hudW09OQ%3d%3d</w:t>
              </w:r>
            </w:hyperlink>
          </w:p>
          <w:p w14:paraId="6BF42B72" w14:textId="77777777" w:rsidR="000F5C52" w:rsidRPr="00DD47DF" w:rsidRDefault="000F5C52" w:rsidP="006D2F5F">
            <w:pPr>
              <w:pStyle w:val="Tabulka"/>
              <w:jc w:val="left"/>
            </w:pPr>
          </w:p>
          <w:p w14:paraId="1133A542" w14:textId="77777777" w:rsidR="000F5C52" w:rsidRPr="00DD47DF" w:rsidRDefault="00AF6FE3" w:rsidP="006D2F5F">
            <w:pPr>
              <w:pStyle w:val="Tabulka"/>
              <w:jc w:val="left"/>
              <w:rPr>
                <w:rFonts w:cs="Calibri"/>
              </w:rPr>
            </w:pPr>
            <w:hyperlink r:id="rId124" w:history="1">
              <w:r w:rsidR="000F5C52" w:rsidRPr="00DD47DF">
                <w:rPr>
                  <w:rStyle w:val="Hypertextovodkaz"/>
                </w:rPr>
                <w:t>http://databaze-strategie.cz/cz/mv/strategie/strategicky-ramec-rozvoje-verejne-spravy-ceske-republiky-pro-obdobi-2014-2020</w:t>
              </w:r>
            </w:hyperlink>
          </w:p>
          <w:p w14:paraId="05579DBC" w14:textId="77777777" w:rsidR="00790A0D" w:rsidRPr="00DD47DF" w:rsidRDefault="00790A0D" w:rsidP="006D2F5F">
            <w:pPr>
              <w:pStyle w:val="Tabulka"/>
              <w:jc w:val="left"/>
              <w:rPr>
                <w:rFonts w:cs="Calibri"/>
              </w:rPr>
            </w:pPr>
          </w:p>
        </w:tc>
        <w:tc>
          <w:tcPr>
            <w:tcW w:w="4394" w:type="dxa"/>
            <w:shd w:val="clear" w:color="auto" w:fill="auto"/>
          </w:tcPr>
          <w:p w14:paraId="0D4AF716" w14:textId="77777777" w:rsidR="00790A0D" w:rsidRPr="00DD47DF" w:rsidRDefault="00EE4A3B" w:rsidP="006D2F5F">
            <w:pPr>
              <w:pStyle w:val="Tabulka"/>
              <w:spacing w:before="0" w:after="0"/>
              <w:jc w:val="left"/>
              <w:rPr>
                <w:rFonts w:cs="Calibri"/>
              </w:rPr>
            </w:pPr>
            <w:r w:rsidRPr="00DD47DF">
              <w:rPr>
                <w:rFonts w:cs="Calibri"/>
              </w:rPr>
              <w:t>Kritérium je pro OP PIK nerelevantní (není uplatněna IP 2c).</w:t>
            </w:r>
            <w:r w:rsidR="00790A0D" w:rsidRPr="00DD47DF">
              <w:rPr>
                <w:rFonts w:cs="Calibri"/>
              </w:rPr>
              <w:t xml:space="preserve">Oblast je součástí Digitálního Česka 2.0, kapitola 5.6. Digitální gramotnost, elektronické dovednosti (e-skills). </w:t>
            </w:r>
          </w:p>
          <w:p w14:paraId="0FF5CCE7" w14:textId="77777777" w:rsidR="00790A0D" w:rsidRPr="00DD47DF" w:rsidRDefault="00790A0D" w:rsidP="006D2F5F">
            <w:pPr>
              <w:pStyle w:val="Tabulka"/>
              <w:jc w:val="left"/>
            </w:pPr>
            <w:r w:rsidRPr="00DD47DF">
              <w:t xml:space="preserve">Oblast je naplňována vytvořením a realizací </w:t>
            </w:r>
            <w:r w:rsidR="00260EA3" w:rsidRPr="00DD47DF">
              <w:rPr>
                <w:rFonts w:cs="Calibri"/>
              </w:rPr>
              <w:t>„Strategie digitální gramotnosti ČR na období 2015 – 2020“</w:t>
            </w:r>
            <w:r w:rsidRPr="00DD47DF">
              <w:t xml:space="preserve"> v gesci MPSV </w:t>
            </w:r>
            <w:r w:rsidR="00A8674B" w:rsidRPr="00DD47DF">
              <w:t>(spolugestor</w:t>
            </w:r>
            <w:r w:rsidRPr="00DD47DF">
              <w:t xml:space="preserve"> MŠMT</w:t>
            </w:r>
            <w:r w:rsidR="00A8674B" w:rsidRPr="00DD47DF">
              <w:t>) , která bude navazovat na Strategii digitálního vzdělávání (gesce MŠMT).</w:t>
            </w:r>
            <w:r w:rsidRPr="00DD47DF">
              <w:t xml:space="preserve"> </w:t>
            </w:r>
            <w:r w:rsidR="009617DC" w:rsidRPr="00DD47DF">
              <w:t>S</w:t>
            </w:r>
            <w:r w:rsidRPr="00DD47DF">
              <w:t>chválení je plánováno do konce 2 Q. 2015. Součástí této strategie budou ukazatele umožňující měření pokroku v oblasti počítačové gramotnosti a digitálního začlenění.</w:t>
            </w:r>
          </w:p>
          <w:p w14:paraId="63C27F73" w14:textId="77777777" w:rsidR="00790A0D" w:rsidRPr="00DD47DF" w:rsidRDefault="00790A0D" w:rsidP="006D2F5F">
            <w:pPr>
              <w:pStyle w:val="Tabulka"/>
              <w:jc w:val="left"/>
            </w:pPr>
            <w:r w:rsidRPr="00DD47DF">
              <w:t>Rozvoj digitální gramotnosti občanů je také řešen v </w:t>
            </w:r>
            <w:r w:rsidR="00260EA3" w:rsidRPr="00DD47DF">
              <w:t xml:space="preserve">Národní </w:t>
            </w:r>
            <w:r w:rsidR="009D57C1" w:rsidRPr="00DD47DF">
              <w:t>RIS3</w:t>
            </w:r>
            <w:r w:rsidR="00260EA3" w:rsidRPr="00DD47DF">
              <w:t xml:space="preserve"> strategii</w:t>
            </w:r>
            <w:r w:rsidR="00260EA3" w:rsidRPr="00DD47DF">
              <w:rPr>
                <w:rFonts w:ascii="Tahoma" w:hAnsi="Tahoma" w:cs="Tahoma"/>
                <w:color w:val="303030"/>
              </w:rPr>
              <w:t xml:space="preserve"> (</w:t>
            </w:r>
            <w:r w:rsidR="00260EA3" w:rsidRPr="00DD47DF">
              <w:rPr>
                <w:color w:val="303030"/>
              </w:rPr>
              <w:t>usnesení vlády č. 1028/2014) , klíčová oblast změn  E</w:t>
            </w:r>
            <w:r w:rsidRPr="00DD47DF">
              <w:t>.</w:t>
            </w:r>
            <w:r w:rsidR="00260EA3" w:rsidRPr="00DD47DF" w:rsidDel="00260EA3">
              <w:t xml:space="preserve"> </w:t>
            </w:r>
            <w:bookmarkStart w:id="137" w:name="_Toc391886103"/>
            <w:r w:rsidRPr="00DD47DF">
              <w:t>Bude naplňováno prostřednictvím Strategického rámce rozvoje veřejné správy České republiky pro období 2014-2020, konkrétní opatření přijata v Implementačním plánu</w:t>
            </w:r>
            <w:r w:rsidR="00260EA3" w:rsidRPr="00DD47DF">
              <w:t xml:space="preserve"> č. 3</w:t>
            </w:r>
            <w:r w:rsidRPr="00DD47DF">
              <w:t xml:space="preserve"> k tomuto Strategickému rámci.</w:t>
            </w:r>
            <w:bookmarkEnd w:id="137"/>
          </w:p>
          <w:p w14:paraId="37A04E32" w14:textId="77777777" w:rsidR="009617DC" w:rsidRPr="00DD47DF" w:rsidRDefault="009617DC" w:rsidP="00A8674B">
            <w:pPr>
              <w:pStyle w:val="Tabulka"/>
              <w:jc w:val="left"/>
            </w:pPr>
            <w:r w:rsidRPr="00DD47DF">
              <w:lastRenderedPageBreak/>
              <w:t xml:space="preserve">Viz Akční plán </w:t>
            </w:r>
            <w:r w:rsidR="00A8674B" w:rsidRPr="00DD47DF">
              <w:t>(</w:t>
            </w:r>
            <w:r w:rsidRPr="00DD47DF">
              <w:t>Příloha II).</w:t>
            </w:r>
          </w:p>
        </w:tc>
      </w:tr>
      <w:tr w:rsidR="00790A0D" w:rsidRPr="00DD47DF" w14:paraId="7BB46F13" w14:textId="77777777" w:rsidTr="006D2F5F">
        <w:tc>
          <w:tcPr>
            <w:tcW w:w="1752" w:type="dxa"/>
            <w:vMerge/>
            <w:shd w:val="clear" w:color="auto" w:fill="auto"/>
          </w:tcPr>
          <w:p w14:paraId="2F86C771" w14:textId="77777777" w:rsidR="00790A0D" w:rsidRPr="00DD47DF" w:rsidRDefault="00790A0D" w:rsidP="006D2F5F">
            <w:pPr>
              <w:pStyle w:val="Tabulka"/>
              <w:jc w:val="left"/>
              <w:rPr>
                <w:rFonts w:cs="Calibri"/>
                <w:b/>
              </w:rPr>
            </w:pPr>
          </w:p>
        </w:tc>
        <w:tc>
          <w:tcPr>
            <w:tcW w:w="1701" w:type="dxa"/>
            <w:vMerge/>
            <w:shd w:val="clear" w:color="auto" w:fill="auto"/>
          </w:tcPr>
          <w:p w14:paraId="609E0115" w14:textId="77777777" w:rsidR="00790A0D" w:rsidRPr="00DD47DF" w:rsidRDefault="00790A0D" w:rsidP="006D2F5F">
            <w:pPr>
              <w:pStyle w:val="Tabulka"/>
              <w:jc w:val="left"/>
              <w:rPr>
                <w:rFonts w:cs="Calibri"/>
              </w:rPr>
            </w:pPr>
          </w:p>
        </w:tc>
        <w:tc>
          <w:tcPr>
            <w:tcW w:w="1276" w:type="dxa"/>
            <w:vMerge/>
            <w:shd w:val="clear" w:color="auto" w:fill="auto"/>
          </w:tcPr>
          <w:p w14:paraId="289C63F6" w14:textId="77777777" w:rsidR="00790A0D" w:rsidRPr="00DD47DF" w:rsidRDefault="00790A0D" w:rsidP="006D2F5F">
            <w:pPr>
              <w:pStyle w:val="Tabulka"/>
              <w:jc w:val="left"/>
              <w:rPr>
                <w:rFonts w:cs="Calibri"/>
              </w:rPr>
            </w:pPr>
          </w:p>
        </w:tc>
        <w:tc>
          <w:tcPr>
            <w:tcW w:w="1843" w:type="dxa"/>
            <w:shd w:val="clear" w:color="auto" w:fill="auto"/>
          </w:tcPr>
          <w:p w14:paraId="12B3AC56" w14:textId="77777777" w:rsidR="00790A0D" w:rsidRPr="00DD47DF" w:rsidRDefault="00790A0D" w:rsidP="006D2F5F">
            <w:pPr>
              <w:pStyle w:val="Tabulka"/>
              <w:jc w:val="left"/>
              <w:rPr>
                <w:rFonts w:cs="Calibri"/>
              </w:rPr>
            </w:pPr>
            <w:r w:rsidRPr="00DD47DF">
              <w:rPr>
                <w:rFonts w:cs="Calibri"/>
              </w:rPr>
              <w:t>• posouzení potřeb zvýšit budování kapacit v oblasti IKT.</w:t>
            </w:r>
          </w:p>
        </w:tc>
        <w:tc>
          <w:tcPr>
            <w:tcW w:w="1134" w:type="dxa"/>
            <w:shd w:val="clear" w:color="auto" w:fill="auto"/>
          </w:tcPr>
          <w:p w14:paraId="11E71C29" w14:textId="77777777" w:rsidR="00790A0D" w:rsidRPr="00DD47DF" w:rsidRDefault="00790A0D" w:rsidP="006D2F5F">
            <w:pPr>
              <w:pStyle w:val="Tabulka"/>
              <w:jc w:val="left"/>
              <w:rPr>
                <w:rFonts w:cs="Calibri"/>
              </w:rPr>
            </w:pPr>
            <w:r w:rsidRPr="00DD47DF">
              <w:rPr>
                <w:rFonts w:cs="Calibri"/>
              </w:rPr>
              <w:t xml:space="preserve"> ano</w:t>
            </w:r>
          </w:p>
        </w:tc>
        <w:tc>
          <w:tcPr>
            <w:tcW w:w="2126" w:type="dxa"/>
            <w:shd w:val="clear" w:color="auto" w:fill="auto"/>
          </w:tcPr>
          <w:p w14:paraId="6A301E38" w14:textId="77777777" w:rsidR="00790A0D" w:rsidRPr="00DD47DF" w:rsidRDefault="00AF6FE3" w:rsidP="006D2F5F">
            <w:pPr>
              <w:pStyle w:val="Tabulka"/>
              <w:jc w:val="left"/>
              <w:rPr>
                <w:rFonts w:cs="Calibri"/>
              </w:rPr>
            </w:pPr>
            <w:hyperlink r:id="rId125" w:history="1">
              <w:r w:rsidR="00790A0D" w:rsidRPr="00DD47DF">
                <w:rPr>
                  <w:rStyle w:val="Hypertextovodkaz"/>
                  <w:rFonts w:cs="Calibri"/>
                </w:rPr>
                <w:t>http://www.mpo.cz/assets/cz/e-komunikace-a-posta/Internet/2013/4/Digi_esko_v.2.0.pdf</w:t>
              </w:r>
            </w:hyperlink>
          </w:p>
          <w:p w14:paraId="53043591" w14:textId="77777777" w:rsidR="00790A0D" w:rsidRPr="00DD47DF" w:rsidRDefault="00790A0D" w:rsidP="006D2F5F">
            <w:pPr>
              <w:pStyle w:val="Tabulka"/>
              <w:jc w:val="left"/>
              <w:rPr>
                <w:rFonts w:cs="Calibri"/>
              </w:rPr>
            </w:pPr>
          </w:p>
          <w:p w14:paraId="6387D2BE" w14:textId="77777777" w:rsidR="00790A0D" w:rsidRPr="00DD47DF" w:rsidRDefault="00AF6FE3" w:rsidP="006D2F5F">
            <w:pPr>
              <w:pStyle w:val="Tabulka"/>
              <w:jc w:val="left"/>
              <w:rPr>
                <w:rFonts w:cs="Calibri"/>
              </w:rPr>
            </w:pPr>
            <w:hyperlink r:id="rId126" w:history="1">
              <w:r w:rsidR="00790A0D" w:rsidRPr="00DD47DF">
                <w:rPr>
                  <w:rStyle w:val="Hypertextovodkaz"/>
                  <w:rFonts w:cs="Calibri"/>
                </w:rPr>
                <w:t>http://www.mpo.cz/dokument119071.html</w:t>
              </w:r>
            </w:hyperlink>
          </w:p>
          <w:p w14:paraId="6CAC9F68" w14:textId="77777777" w:rsidR="00790A0D" w:rsidRPr="00DD47DF" w:rsidRDefault="00790A0D" w:rsidP="006D2F5F">
            <w:pPr>
              <w:pStyle w:val="Tabulka"/>
              <w:jc w:val="left"/>
              <w:rPr>
                <w:rFonts w:cs="Calibri"/>
              </w:rPr>
            </w:pPr>
          </w:p>
          <w:p w14:paraId="356C5790" w14:textId="77777777" w:rsidR="00790A0D" w:rsidRPr="00DD47DF" w:rsidRDefault="00AF6FE3" w:rsidP="006D2F5F">
            <w:pPr>
              <w:pStyle w:val="Tabulka"/>
              <w:jc w:val="left"/>
              <w:rPr>
                <w:rFonts w:cs="Calibri"/>
              </w:rPr>
            </w:pPr>
            <w:hyperlink r:id="rId127" w:history="1">
              <w:r w:rsidR="00790A0D" w:rsidRPr="00DD47DF">
                <w:rPr>
                  <w:rStyle w:val="Hypertextovodkaz"/>
                  <w:rFonts w:cs="Calibri"/>
                </w:rPr>
                <w:t>http://www.czso.cz/csu/redakce.nsf/i/informacni_ekonomika</w:t>
              </w:r>
            </w:hyperlink>
          </w:p>
        </w:tc>
        <w:tc>
          <w:tcPr>
            <w:tcW w:w="4394" w:type="dxa"/>
            <w:shd w:val="clear" w:color="auto" w:fill="auto"/>
          </w:tcPr>
          <w:p w14:paraId="1867EFAE" w14:textId="77777777" w:rsidR="00790A0D" w:rsidRPr="00DD47DF" w:rsidRDefault="00790A0D" w:rsidP="006D2F5F">
            <w:pPr>
              <w:pStyle w:val="Tabulka"/>
              <w:jc w:val="left"/>
              <w:rPr>
                <w:rFonts w:cs="Calibri"/>
              </w:rPr>
            </w:pPr>
            <w:r w:rsidRPr="00DD47DF">
              <w:rPr>
                <w:rFonts w:cs="Calibri"/>
              </w:rPr>
              <w:t xml:space="preserve">Oblast je součástí Digitálního Česka 2.0, které upozorňuje na problematické oblasti, zejména s ohledem na regulační rámec služeb a sítí elektronických komunikací. </w:t>
            </w:r>
          </w:p>
          <w:p w14:paraId="66629ACF" w14:textId="77777777" w:rsidR="00790A0D" w:rsidRPr="00DD47DF" w:rsidRDefault="00790A0D" w:rsidP="006D2F5F">
            <w:pPr>
              <w:pStyle w:val="Tabulka"/>
              <w:jc w:val="left"/>
              <w:rPr>
                <w:rFonts w:cs="Calibri"/>
              </w:rPr>
            </w:pPr>
            <w:r w:rsidRPr="00DD47DF">
              <w:rPr>
                <w:rFonts w:cs="Calibri"/>
              </w:rPr>
              <w:t>Opatření na podporu budování komunikační infrastruktury a dosažení účinné konkurence je třeba doplnit o iniciativy na straně podpory poptávky, které zvýší motivovanost spotřebitelů a podnikatelů využívat komunikační služby, vytvářet nové obchodní modely a začleňovat je do každodenního života. Aktivní roli musí hrát především významné podnikatelské subjekty a stát.</w:t>
            </w:r>
          </w:p>
          <w:p w14:paraId="6FD9E4AB" w14:textId="77777777" w:rsidR="00790A0D" w:rsidRPr="00DD47DF" w:rsidRDefault="00790A0D" w:rsidP="006D2F5F">
            <w:pPr>
              <w:pStyle w:val="Tabulka"/>
              <w:jc w:val="left"/>
              <w:rPr>
                <w:rFonts w:cs="Calibri"/>
              </w:rPr>
            </w:pPr>
            <w:r w:rsidRPr="00DD47DF">
              <w:rPr>
                <w:rFonts w:cs="Calibri"/>
              </w:rPr>
              <w:t>Koncepce podpory malých a středních podnikatelů na období let 2014 – 2020 (kapitola 4.9).</w:t>
            </w:r>
          </w:p>
          <w:p w14:paraId="15265C6D" w14:textId="77777777" w:rsidR="00790A0D" w:rsidRPr="00DD47DF" w:rsidRDefault="00790A0D" w:rsidP="006D2F5F">
            <w:pPr>
              <w:pStyle w:val="Tabulka"/>
              <w:jc w:val="left"/>
              <w:rPr>
                <w:rFonts w:cs="Calibri"/>
              </w:rPr>
            </w:pPr>
            <w:r w:rsidRPr="00DD47DF">
              <w:rPr>
                <w:rFonts w:cs="Calibri"/>
              </w:rPr>
              <w:t>Stěžejní jsou rovněž každoroční údaje od ČSÚ internetová ekonomika v číslech a Informace o vývoji trhu elektronických komunikací (zpracovává ČTÚ).</w:t>
            </w:r>
          </w:p>
        </w:tc>
      </w:tr>
      <w:tr w:rsidR="00790A0D" w:rsidRPr="00DD47DF" w14:paraId="5EF152A3" w14:textId="77777777" w:rsidTr="006D2F5F">
        <w:tc>
          <w:tcPr>
            <w:tcW w:w="1752" w:type="dxa"/>
            <w:vMerge w:val="restart"/>
            <w:shd w:val="clear" w:color="auto" w:fill="auto"/>
          </w:tcPr>
          <w:p w14:paraId="541635EB" w14:textId="77777777" w:rsidR="00790A0D" w:rsidRPr="00DD47DF" w:rsidRDefault="00790A0D" w:rsidP="006D2F5F">
            <w:pPr>
              <w:pStyle w:val="Tabulka"/>
              <w:jc w:val="left"/>
              <w:rPr>
                <w:rFonts w:cs="Calibri"/>
                <w:b/>
              </w:rPr>
            </w:pPr>
            <w:r w:rsidRPr="00DD47DF">
              <w:rPr>
                <w:rFonts w:cs="Calibri"/>
                <w:b/>
              </w:rPr>
              <w:t xml:space="preserve">2.2. Infrastruktura přístupových sítí nové generace: Existence celostátních nebo regionálních plánů přístupových sítí nové generace, </w:t>
            </w:r>
            <w:r w:rsidRPr="00DD47DF">
              <w:rPr>
                <w:rFonts w:cs="Calibri"/>
                <w:b/>
              </w:rPr>
              <w:lastRenderedPageBreak/>
              <w:t>které zohledňují regionální opatření k dosažení cílů Unie v oblasti vysokorychlostního přístupu k internetu se zaměřením na oblasti, kde trh není schopen poskytovat otevřenou infrastrukturu za dostupnou cenu a v kvalitě v souladu s pravidly Unie pro hospodářskou soutěž a státní podpory, a poskytují dostupné služby zranitelným skupinám.</w:t>
            </w:r>
          </w:p>
        </w:tc>
        <w:tc>
          <w:tcPr>
            <w:tcW w:w="1701" w:type="dxa"/>
            <w:vMerge w:val="restart"/>
            <w:shd w:val="clear" w:color="auto" w:fill="auto"/>
          </w:tcPr>
          <w:p w14:paraId="731F68B0" w14:textId="77777777" w:rsidR="00790A0D" w:rsidRPr="00DD47DF" w:rsidRDefault="00790A0D" w:rsidP="006D2F5F">
            <w:pPr>
              <w:pStyle w:val="Tabulka"/>
              <w:jc w:val="left"/>
              <w:rPr>
                <w:rFonts w:cs="Calibri"/>
              </w:rPr>
            </w:pPr>
            <w:r w:rsidRPr="00DD47DF">
              <w:rPr>
                <w:rFonts w:cs="Calibri"/>
              </w:rPr>
              <w:lastRenderedPageBreak/>
              <w:t>PO 4 - Rozvoj vysokorychlostních přístupových sítí k internetu a informačních a komunikačních technologií</w:t>
            </w:r>
          </w:p>
          <w:p w14:paraId="17000C7E" w14:textId="77777777" w:rsidR="00790A0D" w:rsidRPr="00DD47DF" w:rsidRDefault="00790A0D" w:rsidP="006D2F5F">
            <w:pPr>
              <w:pStyle w:val="Tabulka"/>
              <w:jc w:val="left"/>
              <w:rPr>
                <w:rFonts w:cs="Calibri"/>
              </w:rPr>
            </w:pPr>
          </w:p>
          <w:p w14:paraId="77EC0E9E" w14:textId="77777777" w:rsidR="00790A0D" w:rsidRPr="00DD47DF" w:rsidRDefault="00790A0D" w:rsidP="006D2F5F">
            <w:pPr>
              <w:pStyle w:val="Tabulka"/>
              <w:jc w:val="left"/>
              <w:rPr>
                <w:rFonts w:cs="Calibri"/>
              </w:rPr>
            </w:pPr>
          </w:p>
          <w:p w14:paraId="35F9C33A" w14:textId="77777777" w:rsidR="00790A0D" w:rsidRPr="00DD47DF" w:rsidRDefault="00790A0D" w:rsidP="006D2F5F">
            <w:pPr>
              <w:pStyle w:val="Tabulka"/>
              <w:jc w:val="left"/>
              <w:rPr>
                <w:rFonts w:cs="Calibri"/>
              </w:rPr>
            </w:pPr>
          </w:p>
          <w:p w14:paraId="49C35D6A" w14:textId="77777777" w:rsidR="00790A0D" w:rsidRPr="00DD47DF" w:rsidRDefault="00790A0D" w:rsidP="006D2F5F">
            <w:pPr>
              <w:pStyle w:val="Tabulka"/>
              <w:jc w:val="left"/>
              <w:rPr>
                <w:rFonts w:cs="Calibri"/>
              </w:rPr>
            </w:pPr>
          </w:p>
        </w:tc>
        <w:tc>
          <w:tcPr>
            <w:tcW w:w="1276" w:type="dxa"/>
            <w:vMerge w:val="restart"/>
            <w:shd w:val="clear" w:color="auto" w:fill="auto"/>
          </w:tcPr>
          <w:p w14:paraId="66E38113" w14:textId="77777777" w:rsidR="00790A0D" w:rsidRPr="00DD47DF" w:rsidRDefault="00793FDC" w:rsidP="006D2F5F">
            <w:pPr>
              <w:pStyle w:val="Tabulka"/>
              <w:jc w:val="left"/>
              <w:rPr>
                <w:rFonts w:cs="Calibri"/>
              </w:rPr>
            </w:pPr>
            <w:r w:rsidRPr="00DD47DF">
              <w:rPr>
                <w:rFonts w:cs="Calibri"/>
              </w:rPr>
              <w:lastRenderedPageBreak/>
              <w:t>ne</w:t>
            </w:r>
          </w:p>
          <w:p w14:paraId="40DBA060" w14:textId="77777777" w:rsidR="00790A0D" w:rsidRPr="00DD47DF" w:rsidRDefault="00790A0D" w:rsidP="006D2F5F">
            <w:pPr>
              <w:pStyle w:val="Tabulka"/>
              <w:jc w:val="left"/>
              <w:rPr>
                <w:rFonts w:cs="Calibri"/>
              </w:rPr>
            </w:pPr>
          </w:p>
          <w:p w14:paraId="44A460FC" w14:textId="77777777" w:rsidR="00790A0D" w:rsidRPr="00DD47DF" w:rsidRDefault="00790A0D" w:rsidP="006D2F5F">
            <w:pPr>
              <w:pStyle w:val="Tabulka"/>
              <w:jc w:val="left"/>
              <w:rPr>
                <w:rFonts w:cs="Calibri"/>
              </w:rPr>
            </w:pPr>
          </w:p>
          <w:p w14:paraId="712982C7" w14:textId="77777777" w:rsidR="00790A0D" w:rsidRPr="00DD47DF" w:rsidRDefault="00790A0D" w:rsidP="006D2F5F">
            <w:pPr>
              <w:pStyle w:val="Tabulka"/>
              <w:jc w:val="left"/>
              <w:rPr>
                <w:rFonts w:cs="Calibri"/>
              </w:rPr>
            </w:pPr>
          </w:p>
          <w:p w14:paraId="608B0753" w14:textId="77777777" w:rsidR="00790A0D" w:rsidRPr="00DD47DF" w:rsidRDefault="00790A0D" w:rsidP="006D2F5F">
            <w:pPr>
              <w:pStyle w:val="Tabulka"/>
              <w:jc w:val="left"/>
              <w:rPr>
                <w:rFonts w:cs="Calibri"/>
              </w:rPr>
            </w:pPr>
          </w:p>
          <w:p w14:paraId="50A4DEE2" w14:textId="77777777" w:rsidR="00790A0D" w:rsidRPr="00DD47DF" w:rsidRDefault="00790A0D" w:rsidP="006D2F5F">
            <w:pPr>
              <w:pStyle w:val="Tabulka"/>
              <w:jc w:val="left"/>
              <w:rPr>
                <w:rFonts w:cs="Calibri"/>
              </w:rPr>
            </w:pPr>
          </w:p>
          <w:p w14:paraId="600754DF" w14:textId="77777777" w:rsidR="00790A0D" w:rsidRPr="00DD47DF" w:rsidRDefault="00790A0D" w:rsidP="006D2F5F">
            <w:pPr>
              <w:pStyle w:val="Tabulka"/>
              <w:jc w:val="left"/>
              <w:rPr>
                <w:rFonts w:cs="Calibri"/>
              </w:rPr>
            </w:pPr>
          </w:p>
          <w:p w14:paraId="144FE7E0" w14:textId="77777777" w:rsidR="00790A0D" w:rsidRPr="00DD47DF" w:rsidRDefault="00790A0D" w:rsidP="006D2F5F">
            <w:pPr>
              <w:pStyle w:val="Tabulka"/>
              <w:jc w:val="left"/>
              <w:rPr>
                <w:rFonts w:cs="Calibri"/>
              </w:rPr>
            </w:pPr>
          </w:p>
          <w:p w14:paraId="587F2F53" w14:textId="77777777" w:rsidR="00790A0D" w:rsidRPr="00DD47DF" w:rsidRDefault="00790A0D" w:rsidP="006D2F5F">
            <w:pPr>
              <w:pStyle w:val="Tabulka"/>
              <w:jc w:val="left"/>
              <w:rPr>
                <w:rFonts w:cs="Calibri"/>
              </w:rPr>
            </w:pPr>
          </w:p>
          <w:p w14:paraId="224770C6" w14:textId="77777777" w:rsidR="00790A0D" w:rsidRPr="00DD47DF" w:rsidRDefault="00790A0D" w:rsidP="006D2F5F">
            <w:pPr>
              <w:pStyle w:val="Tabulka"/>
              <w:jc w:val="left"/>
              <w:rPr>
                <w:rFonts w:cs="Calibri"/>
              </w:rPr>
            </w:pPr>
          </w:p>
        </w:tc>
        <w:tc>
          <w:tcPr>
            <w:tcW w:w="1843" w:type="dxa"/>
            <w:shd w:val="clear" w:color="auto" w:fill="auto"/>
          </w:tcPr>
          <w:p w14:paraId="29BE2BCE" w14:textId="77777777" w:rsidR="00790A0D" w:rsidRPr="00DD47DF" w:rsidRDefault="00790A0D" w:rsidP="006D2F5F">
            <w:pPr>
              <w:pStyle w:val="Tabulka"/>
              <w:jc w:val="left"/>
              <w:rPr>
                <w:rFonts w:cs="Calibri"/>
              </w:rPr>
            </w:pPr>
            <w:r w:rsidRPr="00DD47DF">
              <w:rPr>
                <w:rFonts w:cs="Calibri"/>
              </w:rPr>
              <w:lastRenderedPageBreak/>
              <w:t>Je vypracován celostátní nebo regionální plán sítí nové generace (NGN), který obsahuje:</w:t>
            </w:r>
          </w:p>
        </w:tc>
        <w:tc>
          <w:tcPr>
            <w:tcW w:w="1134" w:type="dxa"/>
            <w:shd w:val="clear" w:color="auto" w:fill="auto"/>
          </w:tcPr>
          <w:p w14:paraId="7FA3496F" w14:textId="77777777" w:rsidR="00790A0D" w:rsidRPr="00DD47DF" w:rsidRDefault="008B1FD2" w:rsidP="006D2F5F">
            <w:pPr>
              <w:pStyle w:val="Tabulka"/>
              <w:jc w:val="left"/>
              <w:rPr>
                <w:rFonts w:cs="Calibri"/>
              </w:rPr>
            </w:pPr>
            <w:r w:rsidRPr="00DD47DF">
              <w:rPr>
                <w:rFonts w:cs="Calibri"/>
              </w:rPr>
              <w:t>ne</w:t>
            </w:r>
          </w:p>
        </w:tc>
        <w:tc>
          <w:tcPr>
            <w:tcW w:w="2126" w:type="dxa"/>
            <w:shd w:val="clear" w:color="auto" w:fill="auto"/>
          </w:tcPr>
          <w:p w14:paraId="36453218" w14:textId="77777777" w:rsidR="00790A0D" w:rsidRPr="00DD47DF" w:rsidRDefault="00AF6FE3" w:rsidP="006D2F5F">
            <w:pPr>
              <w:pStyle w:val="Tabulka"/>
              <w:jc w:val="left"/>
              <w:rPr>
                <w:rStyle w:val="Hypertextovodkaz"/>
                <w:rFonts w:cs="Calibri"/>
              </w:rPr>
            </w:pPr>
            <w:hyperlink r:id="rId128" w:history="1">
              <w:r w:rsidR="00790A0D" w:rsidRPr="00DD47DF">
                <w:rPr>
                  <w:rStyle w:val="Hypertextovodkaz"/>
                  <w:rFonts w:cs="Calibri"/>
                </w:rPr>
                <w:t>http://www.mpo.cz/dokument83642.html</w:t>
              </w:r>
            </w:hyperlink>
          </w:p>
          <w:p w14:paraId="179F857C" w14:textId="77777777" w:rsidR="00790A0D" w:rsidRPr="00DD47DF" w:rsidRDefault="00790A0D" w:rsidP="006D2F5F">
            <w:pPr>
              <w:pStyle w:val="Tabulka"/>
              <w:jc w:val="left"/>
              <w:rPr>
                <w:rFonts w:cs="Calibri"/>
              </w:rPr>
            </w:pPr>
          </w:p>
          <w:p w14:paraId="5DD09374" w14:textId="77777777" w:rsidR="00790A0D" w:rsidRPr="00DD47DF" w:rsidRDefault="00AF6FE3" w:rsidP="006D2F5F">
            <w:pPr>
              <w:pStyle w:val="Tabulka"/>
              <w:jc w:val="left"/>
              <w:rPr>
                <w:rFonts w:cs="Calibri"/>
              </w:rPr>
            </w:pPr>
            <w:hyperlink r:id="rId129" w:history="1">
              <w:r w:rsidR="00790A0D" w:rsidRPr="00DD47DF">
                <w:rPr>
                  <w:rStyle w:val="Hypertextovodkaz"/>
                  <w:rFonts w:cs="Calibri"/>
                </w:rPr>
                <w:t>http://www.mpo.cz/assets/cz/e-komunikace-a-posta/Internet/2013/4/Digi_esko_v.2.0.pdf</w:t>
              </w:r>
            </w:hyperlink>
          </w:p>
          <w:p w14:paraId="25B5A5D4" w14:textId="77777777" w:rsidR="00790A0D" w:rsidRPr="00DD47DF" w:rsidRDefault="00790A0D" w:rsidP="006D2F5F">
            <w:pPr>
              <w:pStyle w:val="Tabulka"/>
              <w:jc w:val="left"/>
              <w:rPr>
                <w:rFonts w:cs="Calibri"/>
              </w:rPr>
            </w:pPr>
          </w:p>
          <w:p w14:paraId="44A783F1" w14:textId="77777777" w:rsidR="00790A0D" w:rsidRPr="00DD47DF" w:rsidRDefault="00AF6FE3" w:rsidP="006D2F5F">
            <w:pPr>
              <w:pStyle w:val="Tabulka"/>
              <w:jc w:val="left"/>
              <w:rPr>
                <w:rFonts w:cs="Calibri"/>
              </w:rPr>
            </w:pPr>
            <w:hyperlink r:id="rId130" w:history="1">
              <w:r w:rsidR="00790A0D" w:rsidRPr="00DD47DF">
                <w:rPr>
                  <w:rStyle w:val="Hypertextovodkaz"/>
                  <w:rFonts w:cs="Calibri"/>
                </w:rPr>
                <w:t>http://www.mpo.cz/dokument119071.html</w:t>
              </w:r>
            </w:hyperlink>
          </w:p>
        </w:tc>
        <w:tc>
          <w:tcPr>
            <w:tcW w:w="4394" w:type="dxa"/>
            <w:shd w:val="clear" w:color="auto" w:fill="auto"/>
          </w:tcPr>
          <w:p w14:paraId="697D8ACB" w14:textId="77777777" w:rsidR="00790A0D" w:rsidRPr="00DD47DF" w:rsidRDefault="00790A0D" w:rsidP="006D2F5F">
            <w:pPr>
              <w:pStyle w:val="Tabulka"/>
              <w:jc w:val="left"/>
              <w:rPr>
                <w:rFonts w:cs="Calibri"/>
              </w:rPr>
            </w:pPr>
            <w:r w:rsidRPr="00DD47DF">
              <w:rPr>
                <w:rFonts w:cs="Calibri"/>
              </w:rPr>
              <w:lastRenderedPageBreak/>
              <w:t xml:space="preserve">Opatření jsou obsažena ve vládou schváleném dokumentu "Státní politika v elektronických komunikacích - Digitální Česko" a dokumentu "Digitální Česko 2.0 - Cesta k digitální ekonomice", který je schválen vládou a dále v Koncepci podpory malých a středních podnikatelů na období let 2014 – 2020. Jak vyplývá z Digitálního Česka 2, pro většinu lokalit ČR se považuje za vhodnou a dlouhodobě perspektivní infrastruktura </w:t>
            </w:r>
            <w:r w:rsidRPr="00DD47DF">
              <w:rPr>
                <w:rFonts w:cs="Calibri"/>
              </w:rPr>
              <w:lastRenderedPageBreak/>
              <w:t>umožňující vysokorychlostní přístup k internetu, která je založena na kabelové technologii s optickými vlákny.</w:t>
            </w:r>
          </w:p>
          <w:p w14:paraId="10426A36" w14:textId="77777777" w:rsidR="00790A0D" w:rsidRPr="00DD47DF" w:rsidRDefault="00790A0D" w:rsidP="006D2F5F">
            <w:pPr>
              <w:pStyle w:val="Tabulka"/>
              <w:jc w:val="left"/>
              <w:rPr>
                <w:rFonts w:cs="Calibri"/>
              </w:rPr>
            </w:pPr>
            <w:r w:rsidRPr="00DD47DF">
              <w:rPr>
                <w:rFonts w:cs="Calibri"/>
              </w:rPr>
              <w:t>Bude zpracován Národní plán rozvoje sítí nové generace, který bude založen na zmíněném Digitálním Česku v. 2.0 a na vyhodnocení mapování infrastruktury pro poskytování vysokorychlostního přístupu k internetu v ČR. Byl zpracován akční plán ke splnění podmínky.</w:t>
            </w:r>
          </w:p>
        </w:tc>
      </w:tr>
      <w:tr w:rsidR="00790A0D" w:rsidRPr="00DD47DF" w14:paraId="2E66D179" w14:textId="77777777" w:rsidTr="006D2F5F">
        <w:tc>
          <w:tcPr>
            <w:tcW w:w="1752" w:type="dxa"/>
            <w:vMerge/>
            <w:shd w:val="clear" w:color="auto" w:fill="auto"/>
          </w:tcPr>
          <w:p w14:paraId="6AFC19D1" w14:textId="77777777" w:rsidR="00790A0D" w:rsidRPr="00DD47DF" w:rsidRDefault="00790A0D" w:rsidP="006D2F5F">
            <w:pPr>
              <w:pStyle w:val="Tabulka"/>
              <w:rPr>
                <w:rFonts w:cs="Calibri"/>
                <w:b/>
              </w:rPr>
            </w:pPr>
          </w:p>
        </w:tc>
        <w:tc>
          <w:tcPr>
            <w:tcW w:w="1701" w:type="dxa"/>
            <w:vMerge/>
            <w:shd w:val="clear" w:color="auto" w:fill="auto"/>
          </w:tcPr>
          <w:p w14:paraId="647768A0" w14:textId="77777777" w:rsidR="00790A0D" w:rsidRPr="00DD47DF" w:rsidRDefault="00790A0D" w:rsidP="006D2F5F">
            <w:pPr>
              <w:pStyle w:val="Tabulka"/>
              <w:rPr>
                <w:rFonts w:cs="Calibri"/>
              </w:rPr>
            </w:pPr>
          </w:p>
        </w:tc>
        <w:tc>
          <w:tcPr>
            <w:tcW w:w="1276" w:type="dxa"/>
            <w:vMerge/>
            <w:shd w:val="clear" w:color="auto" w:fill="auto"/>
          </w:tcPr>
          <w:p w14:paraId="53F5AC26" w14:textId="77777777" w:rsidR="00790A0D" w:rsidRPr="00DD47DF" w:rsidRDefault="00790A0D" w:rsidP="006D2F5F">
            <w:pPr>
              <w:pStyle w:val="Tabulka"/>
              <w:rPr>
                <w:rFonts w:cs="Calibri"/>
              </w:rPr>
            </w:pPr>
          </w:p>
        </w:tc>
        <w:tc>
          <w:tcPr>
            <w:tcW w:w="1843" w:type="dxa"/>
            <w:shd w:val="clear" w:color="auto" w:fill="auto"/>
          </w:tcPr>
          <w:p w14:paraId="12DA0879" w14:textId="77777777" w:rsidR="00790A0D" w:rsidRPr="00DD47DF" w:rsidRDefault="00790A0D" w:rsidP="006D2F5F">
            <w:pPr>
              <w:pStyle w:val="Tabulka"/>
              <w:jc w:val="left"/>
              <w:rPr>
                <w:rFonts w:cs="Calibri"/>
              </w:rPr>
            </w:pPr>
            <w:r w:rsidRPr="00DD47DF">
              <w:rPr>
                <w:rFonts w:cs="Calibri"/>
              </w:rPr>
              <w:t>• plán investic do infrastruktury vycházející z ekonomické analýzy a zohledňující stávající soukromou a veřejnou infrastrukturu a plánované investice,</w:t>
            </w:r>
          </w:p>
        </w:tc>
        <w:tc>
          <w:tcPr>
            <w:tcW w:w="1134" w:type="dxa"/>
            <w:shd w:val="clear" w:color="auto" w:fill="auto"/>
          </w:tcPr>
          <w:p w14:paraId="5183B531" w14:textId="77777777" w:rsidR="00790A0D" w:rsidRPr="00DD47DF" w:rsidRDefault="008B1FD2" w:rsidP="006D2F5F">
            <w:pPr>
              <w:pStyle w:val="Tabulka"/>
              <w:jc w:val="left"/>
              <w:rPr>
                <w:rFonts w:cs="Calibri"/>
              </w:rPr>
            </w:pPr>
            <w:r w:rsidRPr="00DD47DF">
              <w:rPr>
                <w:rFonts w:cs="Calibri"/>
              </w:rPr>
              <w:t>ne</w:t>
            </w:r>
          </w:p>
        </w:tc>
        <w:tc>
          <w:tcPr>
            <w:tcW w:w="2126" w:type="dxa"/>
            <w:shd w:val="clear" w:color="auto" w:fill="auto"/>
          </w:tcPr>
          <w:p w14:paraId="44CAEB39" w14:textId="77777777" w:rsidR="00790A0D" w:rsidRPr="00DD47DF" w:rsidRDefault="00AF6FE3" w:rsidP="006D2F5F">
            <w:pPr>
              <w:pStyle w:val="Tabulka"/>
              <w:jc w:val="left"/>
              <w:rPr>
                <w:rFonts w:cs="Calibri"/>
              </w:rPr>
            </w:pPr>
            <w:hyperlink r:id="rId131" w:history="1">
              <w:r w:rsidR="00790A0D" w:rsidRPr="00DD47DF">
                <w:rPr>
                  <w:rStyle w:val="Hypertextovodkaz"/>
                  <w:rFonts w:cs="Calibri"/>
                </w:rPr>
                <w:t>http://www.mpo.cz/assets/cz/e-komunikace-a-posta/Internet/2013/4/Digi_esko_v.2.0.pdf</w:t>
              </w:r>
            </w:hyperlink>
          </w:p>
          <w:p w14:paraId="37AEBC0E" w14:textId="77777777" w:rsidR="00790A0D" w:rsidRPr="00DD47DF" w:rsidRDefault="00790A0D" w:rsidP="006D2F5F">
            <w:pPr>
              <w:pStyle w:val="Tabulka"/>
              <w:jc w:val="left"/>
              <w:rPr>
                <w:rFonts w:cs="Calibri"/>
              </w:rPr>
            </w:pPr>
          </w:p>
          <w:p w14:paraId="45713077" w14:textId="77777777" w:rsidR="00790A0D" w:rsidRPr="00DD47DF" w:rsidRDefault="00790A0D" w:rsidP="006D2F5F">
            <w:pPr>
              <w:pStyle w:val="Tabulka"/>
              <w:jc w:val="left"/>
              <w:rPr>
                <w:rFonts w:cs="Calibri"/>
              </w:rPr>
            </w:pPr>
          </w:p>
        </w:tc>
        <w:tc>
          <w:tcPr>
            <w:tcW w:w="4394" w:type="dxa"/>
            <w:shd w:val="clear" w:color="auto" w:fill="auto"/>
          </w:tcPr>
          <w:p w14:paraId="225D14BB" w14:textId="77777777" w:rsidR="00790A0D" w:rsidRPr="00DD47DF" w:rsidRDefault="00790A0D" w:rsidP="006D2F5F">
            <w:pPr>
              <w:pStyle w:val="Tabulka"/>
              <w:jc w:val="left"/>
              <w:rPr>
                <w:rFonts w:cs="Calibri"/>
              </w:rPr>
            </w:pPr>
            <w:r w:rsidRPr="00DD47DF">
              <w:rPr>
                <w:rFonts w:cs="Calibri"/>
              </w:rPr>
              <w:t>Digitální Česko 2.0 je postaveno na 3 pilířích (prioritách), jednou z nich je podpora rozvoje vysokorychlostních přístupových sítí k internetu.</w:t>
            </w:r>
          </w:p>
          <w:p w14:paraId="67F1190E" w14:textId="77777777" w:rsidR="00790A0D" w:rsidRPr="00DD47DF" w:rsidRDefault="00790A0D" w:rsidP="006D2F5F">
            <w:pPr>
              <w:pStyle w:val="Tabulka"/>
              <w:jc w:val="left"/>
              <w:rPr>
                <w:rFonts w:cs="Calibri"/>
              </w:rPr>
            </w:pPr>
            <w:r w:rsidRPr="00DD47DF">
              <w:rPr>
                <w:rFonts w:cs="Calibri"/>
              </w:rPr>
              <w:t>Bude zpracován Národní plán rozvoje sítí nové generace, který bude založen na zmíněném Digitálním Česku v. 2.0 a na vyhodnocení mapování infrastruktury pro poskytování vysokorychlostního přístupu k internetu v ČR. Byl zpracován akční plán ke splnění podmínky.</w:t>
            </w:r>
          </w:p>
          <w:p w14:paraId="275B2719" w14:textId="77777777" w:rsidR="00790A0D" w:rsidRPr="00DD47DF" w:rsidRDefault="00790A0D" w:rsidP="006D2F5F">
            <w:pPr>
              <w:pStyle w:val="Tabulka"/>
              <w:jc w:val="left"/>
              <w:rPr>
                <w:rFonts w:cs="Calibri"/>
              </w:rPr>
            </w:pPr>
            <w:r w:rsidRPr="00DD47DF">
              <w:rPr>
                <w:rFonts w:cs="Calibri"/>
              </w:rPr>
              <w:t>Dne 1. 7. 2014 zveřejnil ČTÚ výsledky</w:t>
            </w:r>
            <w:r w:rsidR="0055104A" w:rsidRPr="00DD47DF">
              <w:rPr>
                <w:rFonts w:cs="Calibri"/>
              </w:rPr>
              <w:t xml:space="preserve"> </w:t>
            </w:r>
            <w:r w:rsidRPr="00DD47DF">
              <w:rPr>
                <w:rFonts w:cs="Calibri"/>
              </w:rPr>
              <w:t>mapování existence relevantní infrastruktury pro stanovení podmínek programu na podporu projektů zaměřených na budování přístupových sítí nové generace.</w:t>
            </w:r>
          </w:p>
          <w:p w14:paraId="6EF7AAF8" w14:textId="77777777" w:rsidR="00790A0D" w:rsidRPr="00DD47DF" w:rsidRDefault="00790A0D" w:rsidP="006D2F5F">
            <w:pPr>
              <w:pStyle w:val="Tabulka"/>
              <w:jc w:val="left"/>
              <w:rPr>
                <w:rFonts w:cs="Calibri"/>
              </w:rPr>
            </w:pPr>
            <w:r w:rsidRPr="00DD47DF">
              <w:rPr>
                <w:rFonts w:cs="Calibri"/>
              </w:rPr>
              <w:t>http://www.ctu.cz/ctu-online/pruzkum-nga.html</w:t>
            </w:r>
          </w:p>
        </w:tc>
      </w:tr>
      <w:tr w:rsidR="00790A0D" w:rsidRPr="00DD47DF" w14:paraId="076F3011" w14:textId="77777777" w:rsidTr="006D2F5F">
        <w:tc>
          <w:tcPr>
            <w:tcW w:w="1752" w:type="dxa"/>
            <w:vMerge/>
            <w:shd w:val="clear" w:color="auto" w:fill="auto"/>
          </w:tcPr>
          <w:p w14:paraId="397EDFA8" w14:textId="77777777" w:rsidR="00790A0D" w:rsidRPr="00DD47DF" w:rsidRDefault="00790A0D" w:rsidP="006D2F5F">
            <w:pPr>
              <w:pStyle w:val="Tabulka"/>
              <w:rPr>
                <w:rFonts w:cs="Calibri"/>
                <w:b/>
              </w:rPr>
            </w:pPr>
          </w:p>
        </w:tc>
        <w:tc>
          <w:tcPr>
            <w:tcW w:w="1701" w:type="dxa"/>
            <w:vMerge/>
            <w:shd w:val="clear" w:color="auto" w:fill="auto"/>
          </w:tcPr>
          <w:p w14:paraId="5356FB8F" w14:textId="77777777" w:rsidR="00790A0D" w:rsidRPr="00DD47DF" w:rsidRDefault="00790A0D" w:rsidP="006D2F5F">
            <w:pPr>
              <w:pStyle w:val="Tabulka"/>
              <w:rPr>
                <w:rFonts w:cs="Calibri"/>
              </w:rPr>
            </w:pPr>
          </w:p>
        </w:tc>
        <w:tc>
          <w:tcPr>
            <w:tcW w:w="1276" w:type="dxa"/>
            <w:vMerge/>
            <w:shd w:val="clear" w:color="auto" w:fill="auto"/>
          </w:tcPr>
          <w:p w14:paraId="4AFD7A62" w14:textId="77777777" w:rsidR="00790A0D" w:rsidRPr="00DD47DF" w:rsidRDefault="00790A0D" w:rsidP="006D2F5F">
            <w:pPr>
              <w:pStyle w:val="Tabulka"/>
              <w:rPr>
                <w:rFonts w:cs="Calibri"/>
              </w:rPr>
            </w:pPr>
          </w:p>
        </w:tc>
        <w:tc>
          <w:tcPr>
            <w:tcW w:w="1843" w:type="dxa"/>
            <w:shd w:val="clear" w:color="auto" w:fill="auto"/>
          </w:tcPr>
          <w:p w14:paraId="794CEED8" w14:textId="77777777" w:rsidR="00790A0D" w:rsidRPr="00DD47DF" w:rsidRDefault="00790A0D" w:rsidP="006D2F5F">
            <w:pPr>
              <w:pStyle w:val="Tabulka"/>
              <w:jc w:val="left"/>
              <w:rPr>
                <w:rFonts w:cs="Calibri"/>
              </w:rPr>
            </w:pPr>
            <w:r w:rsidRPr="00DD47DF">
              <w:rPr>
                <w:rFonts w:cs="Calibri"/>
              </w:rPr>
              <w:t xml:space="preserve">• modely udržitelných investic, které posilují hospodářskou soutěž a zajišťují </w:t>
            </w:r>
            <w:r w:rsidRPr="00DD47DF">
              <w:rPr>
                <w:rFonts w:cs="Calibri"/>
              </w:rPr>
              <w:lastRenderedPageBreak/>
              <w:t>přístup k otevřeným, cenově dostupným, kvalitním a progresivním infrastrukturám a službám,</w:t>
            </w:r>
          </w:p>
        </w:tc>
        <w:tc>
          <w:tcPr>
            <w:tcW w:w="1134" w:type="dxa"/>
            <w:shd w:val="clear" w:color="auto" w:fill="auto"/>
          </w:tcPr>
          <w:p w14:paraId="1773CE3B" w14:textId="77777777" w:rsidR="00790A0D" w:rsidRPr="00DD47DF" w:rsidRDefault="008B1FD2" w:rsidP="006D2F5F">
            <w:pPr>
              <w:pStyle w:val="Tabulka"/>
              <w:jc w:val="left"/>
              <w:rPr>
                <w:rFonts w:cs="Calibri"/>
              </w:rPr>
            </w:pPr>
            <w:r w:rsidRPr="00DD47DF">
              <w:rPr>
                <w:rFonts w:cs="Calibri"/>
              </w:rPr>
              <w:lastRenderedPageBreak/>
              <w:t>ne</w:t>
            </w:r>
          </w:p>
        </w:tc>
        <w:tc>
          <w:tcPr>
            <w:tcW w:w="2126" w:type="dxa"/>
            <w:shd w:val="clear" w:color="auto" w:fill="auto"/>
          </w:tcPr>
          <w:p w14:paraId="50BB675A" w14:textId="77777777" w:rsidR="00790A0D" w:rsidRPr="00DD47DF" w:rsidRDefault="00AF6FE3" w:rsidP="006D2F5F">
            <w:pPr>
              <w:pStyle w:val="Tabulka"/>
              <w:jc w:val="left"/>
              <w:rPr>
                <w:rFonts w:cs="Calibri"/>
              </w:rPr>
            </w:pPr>
            <w:hyperlink r:id="rId132" w:history="1">
              <w:r w:rsidR="00790A0D" w:rsidRPr="00DD47DF">
                <w:rPr>
                  <w:rStyle w:val="Hypertextovodkaz"/>
                  <w:rFonts w:cs="Calibri"/>
                </w:rPr>
                <w:t>http://www.mpo.cz/assets/cz/e-komunikace-a-posta/Internet/2013/4/Digi_esko_v.2.0.pdf</w:t>
              </w:r>
            </w:hyperlink>
          </w:p>
          <w:p w14:paraId="4078D132" w14:textId="77777777" w:rsidR="00790A0D" w:rsidRPr="00DD47DF" w:rsidRDefault="00790A0D" w:rsidP="006D2F5F">
            <w:pPr>
              <w:pStyle w:val="Tabulka"/>
              <w:jc w:val="left"/>
              <w:rPr>
                <w:rFonts w:cs="Calibri"/>
              </w:rPr>
            </w:pPr>
          </w:p>
          <w:p w14:paraId="75FE3B69" w14:textId="77777777" w:rsidR="00790A0D" w:rsidRPr="00DD47DF" w:rsidRDefault="00790A0D" w:rsidP="006D2F5F">
            <w:pPr>
              <w:pStyle w:val="Tabulka"/>
              <w:jc w:val="left"/>
              <w:rPr>
                <w:rFonts w:cs="Calibri"/>
              </w:rPr>
            </w:pPr>
          </w:p>
        </w:tc>
        <w:tc>
          <w:tcPr>
            <w:tcW w:w="4394" w:type="dxa"/>
            <w:shd w:val="clear" w:color="auto" w:fill="auto"/>
          </w:tcPr>
          <w:p w14:paraId="353A1997" w14:textId="77777777" w:rsidR="00790A0D" w:rsidRPr="00DD47DF" w:rsidRDefault="00790A0D" w:rsidP="006D2F5F">
            <w:pPr>
              <w:pStyle w:val="Tabulka"/>
              <w:jc w:val="left"/>
              <w:rPr>
                <w:rFonts w:cs="Calibri"/>
              </w:rPr>
            </w:pPr>
            <w:r w:rsidRPr="00DD47DF">
              <w:rPr>
                <w:rFonts w:cs="Calibri"/>
              </w:rPr>
              <w:lastRenderedPageBreak/>
              <w:t>Digitální Česko 2.0 vyhodnocuje z hlediska vysokorychlostního přístupu k internetu jako problematické oblasti zejména malé obce a lokality s nízkou koncentrací obyvatel, tj. oblasti, ve kterých selhávají tržní mechanizmy.</w:t>
            </w:r>
          </w:p>
          <w:p w14:paraId="10F485CF" w14:textId="77777777" w:rsidR="00790A0D" w:rsidRPr="00DD47DF" w:rsidRDefault="00790A0D" w:rsidP="006D2F5F">
            <w:pPr>
              <w:pStyle w:val="Tabulka"/>
              <w:jc w:val="left"/>
              <w:rPr>
                <w:rFonts w:cs="Calibri"/>
              </w:rPr>
            </w:pPr>
            <w:r w:rsidRPr="00DD47DF">
              <w:rPr>
                <w:rFonts w:cs="Calibri"/>
              </w:rPr>
              <w:t xml:space="preserve">Bude zpracován Národní plán rozvoje sítí nové </w:t>
            </w:r>
            <w:r w:rsidRPr="00DD47DF">
              <w:rPr>
                <w:rFonts w:cs="Calibri"/>
              </w:rPr>
              <w:lastRenderedPageBreak/>
              <w:t>generace, který bude založen na zmíněném Digitálním Česku v. 2.0 a na vyhodnocení mapování infrastruktury pro poskytování vysokorychlostního přístupu k internetu v ČR. Byl zpracován akční plán ke splnění podmínky.</w:t>
            </w:r>
          </w:p>
          <w:p w14:paraId="0FBE0269" w14:textId="77777777" w:rsidR="00790A0D" w:rsidRPr="00DD47DF" w:rsidRDefault="00790A0D" w:rsidP="006D2F5F">
            <w:pPr>
              <w:pStyle w:val="Tabulka"/>
              <w:jc w:val="left"/>
              <w:rPr>
                <w:rFonts w:cs="Calibri"/>
              </w:rPr>
            </w:pPr>
            <w:r w:rsidRPr="00DD47DF">
              <w:rPr>
                <w:rFonts w:cs="Calibri"/>
              </w:rPr>
              <w:t>Lze se domnívat, že v podmínkách ČR bude stanoven jako výchozí nejvhodnější investiční model „Private design, build and operate“ (viz Guide to Broadband investments).</w:t>
            </w:r>
          </w:p>
        </w:tc>
      </w:tr>
      <w:tr w:rsidR="00790A0D" w:rsidRPr="00DD47DF" w14:paraId="7324DF76" w14:textId="77777777" w:rsidTr="006D2F5F">
        <w:tc>
          <w:tcPr>
            <w:tcW w:w="1752" w:type="dxa"/>
            <w:vMerge/>
            <w:shd w:val="clear" w:color="auto" w:fill="auto"/>
          </w:tcPr>
          <w:p w14:paraId="4F93BF50" w14:textId="77777777" w:rsidR="00790A0D" w:rsidRPr="00DD47DF" w:rsidRDefault="00790A0D" w:rsidP="006D2F5F">
            <w:pPr>
              <w:pStyle w:val="Tabulka"/>
              <w:jc w:val="left"/>
              <w:rPr>
                <w:rFonts w:cs="Calibri"/>
                <w:b/>
              </w:rPr>
            </w:pPr>
          </w:p>
        </w:tc>
        <w:tc>
          <w:tcPr>
            <w:tcW w:w="1701" w:type="dxa"/>
            <w:vMerge/>
            <w:shd w:val="clear" w:color="auto" w:fill="auto"/>
          </w:tcPr>
          <w:p w14:paraId="721F304F" w14:textId="77777777" w:rsidR="00790A0D" w:rsidRPr="00DD47DF" w:rsidRDefault="00790A0D" w:rsidP="006D2F5F">
            <w:pPr>
              <w:pStyle w:val="Tabulka"/>
              <w:jc w:val="left"/>
              <w:rPr>
                <w:rFonts w:cs="Calibri"/>
              </w:rPr>
            </w:pPr>
          </w:p>
        </w:tc>
        <w:tc>
          <w:tcPr>
            <w:tcW w:w="1276" w:type="dxa"/>
            <w:vMerge/>
            <w:shd w:val="clear" w:color="auto" w:fill="auto"/>
          </w:tcPr>
          <w:p w14:paraId="318D3525" w14:textId="77777777" w:rsidR="00790A0D" w:rsidRPr="00DD47DF" w:rsidRDefault="00790A0D" w:rsidP="006D2F5F">
            <w:pPr>
              <w:pStyle w:val="Tabulka"/>
              <w:jc w:val="left"/>
              <w:rPr>
                <w:rFonts w:cs="Calibri"/>
              </w:rPr>
            </w:pPr>
          </w:p>
        </w:tc>
        <w:tc>
          <w:tcPr>
            <w:tcW w:w="1843" w:type="dxa"/>
            <w:shd w:val="clear" w:color="auto" w:fill="auto"/>
          </w:tcPr>
          <w:p w14:paraId="113C9C65" w14:textId="77777777" w:rsidR="00790A0D" w:rsidRPr="00DD47DF" w:rsidRDefault="00790A0D" w:rsidP="006D2F5F">
            <w:pPr>
              <w:pStyle w:val="Tabulka"/>
              <w:jc w:val="left"/>
              <w:rPr>
                <w:rFonts w:cs="Calibri"/>
              </w:rPr>
            </w:pPr>
            <w:r w:rsidRPr="00DD47DF">
              <w:rPr>
                <w:rFonts w:cs="Calibri"/>
              </w:rPr>
              <w:t>• opatření k podnícení soukromých investic.</w:t>
            </w:r>
          </w:p>
        </w:tc>
        <w:tc>
          <w:tcPr>
            <w:tcW w:w="1134" w:type="dxa"/>
            <w:shd w:val="clear" w:color="auto" w:fill="auto"/>
          </w:tcPr>
          <w:p w14:paraId="5D487AE6" w14:textId="77777777" w:rsidR="00790A0D" w:rsidRPr="00DD47DF" w:rsidRDefault="008B1FD2" w:rsidP="006D2F5F">
            <w:pPr>
              <w:pStyle w:val="Tabulka"/>
              <w:jc w:val="left"/>
              <w:rPr>
                <w:rFonts w:cs="Calibri"/>
              </w:rPr>
            </w:pPr>
            <w:r w:rsidRPr="00DD47DF">
              <w:rPr>
                <w:rFonts w:cs="Calibri"/>
              </w:rPr>
              <w:t>ne</w:t>
            </w:r>
          </w:p>
        </w:tc>
        <w:tc>
          <w:tcPr>
            <w:tcW w:w="2126" w:type="dxa"/>
            <w:shd w:val="clear" w:color="auto" w:fill="auto"/>
          </w:tcPr>
          <w:p w14:paraId="409FA9D6" w14:textId="77777777" w:rsidR="00790A0D" w:rsidRPr="00DD47DF" w:rsidRDefault="00AF6FE3" w:rsidP="006D2F5F">
            <w:pPr>
              <w:pStyle w:val="Tabulka"/>
              <w:jc w:val="left"/>
              <w:rPr>
                <w:rFonts w:cs="Calibri"/>
              </w:rPr>
            </w:pPr>
            <w:hyperlink r:id="rId133" w:history="1">
              <w:r w:rsidR="00790A0D" w:rsidRPr="00DD47DF">
                <w:rPr>
                  <w:rStyle w:val="Hypertextovodkaz"/>
                  <w:rFonts w:cs="Calibri"/>
                </w:rPr>
                <w:t>http://www.mpo.cz/dokument83642.html</w:t>
              </w:r>
            </w:hyperlink>
          </w:p>
          <w:p w14:paraId="4843603E" w14:textId="77777777" w:rsidR="00790A0D" w:rsidRPr="00DD47DF" w:rsidRDefault="00AF6FE3" w:rsidP="006D2F5F">
            <w:pPr>
              <w:pStyle w:val="Tabulka"/>
              <w:jc w:val="left"/>
              <w:rPr>
                <w:rFonts w:cs="Calibri"/>
              </w:rPr>
            </w:pPr>
            <w:hyperlink r:id="rId134" w:history="1">
              <w:r w:rsidR="00790A0D" w:rsidRPr="00DD47DF">
                <w:rPr>
                  <w:rStyle w:val="Hypertextovodkaz"/>
                  <w:rFonts w:cs="Calibri"/>
                </w:rPr>
                <w:t>http://www.mpo.cz/assets/cz/e-komunikace-a-posta/Internet/2013/4/Digi_esko_v.2.0.pdf</w:t>
              </w:r>
            </w:hyperlink>
          </w:p>
        </w:tc>
        <w:tc>
          <w:tcPr>
            <w:tcW w:w="4394" w:type="dxa"/>
            <w:shd w:val="clear" w:color="auto" w:fill="auto"/>
          </w:tcPr>
          <w:p w14:paraId="5BCFFAC5" w14:textId="77777777" w:rsidR="00790A0D" w:rsidRPr="00DD47DF" w:rsidRDefault="00790A0D" w:rsidP="006D2F5F">
            <w:pPr>
              <w:pStyle w:val="Tabulka"/>
              <w:jc w:val="left"/>
              <w:rPr>
                <w:rFonts w:cs="Calibri"/>
              </w:rPr>
            </w:pPr>
            <w:r w:rsidRPr="00DD47DF">
              <w:rPr>
                <w:rFonts w:cs="Calibri"/>
              </w:rPr>
              <w:t>Opatření jsou obsažena ve vládou schváleném dokumentu "Státní politika v elektronických komunikacích - Digitální Česko".</w:t>
            </w:r>
            <w:r w:rsidRPr="00DD47DF">
              <w:rPr>
                <w:rFonts w:cs="Calibri"/>
              </w:rPr>
              <w:br/>
              <w:t xml:space="preserve">Aktualizovaná Státní politika Digitální Česko 2.0 obsahuje některé nástroje a kroky pro ulehčení soukromých investic do infrastruktury. </w:t>
            </w:r>
          </w:p>
          <w:p w14:paraId="54D44602" w14:textId="77777777" w:rsidR="00790A0D" w:rsidRPr="00DD47DF" w:rsidRDefault="00790A0D" w:rsidP="006D2F5F">
            <w:pPr>
              <w:pStyle w:val="Tabulka"/>
              <w:jc w:val="left"/>
              <w:rPr>
                <w:rFonts w:cs="Calibri"/>
              </w:rPr>
            </w:pPr>
            <w:r w:rsidRPr="00DD47DF">
              <w:rPr>
                <w:rFonts w:cs="Calibri"/>
              </w:rPr>
              <w:t>Bude zpracován Národní plán rozvoje sítí nové generace, který bude založen na zmíněném Digitálním Česku v. 2.0 a na vyhodnocení mapování infrastruktury pro poskytování vysokorychlostního přístupu k internetu v ČR. Byl zpracován akční plán ke splnění podmínky.</w:t>
            </w:r>
          </w:p>
          <w:p w14:paraId="6E8EB0E3" w14:textId="77777777" w:rsidR="00790A0D" w:rsidRPr="00DD47DF" w:rsidRDefault="00790A0D" w:rsidP="006D2F5F">
            <w:pPr>
              <w:pStyle w:val="Tabulka"/>
              <w:jc w:val="left"/>
              <w:rPr>
                <w:rFonts w:cs="Calibri"/>
              </w:rPr>
            </w:pPr>
            <w:r w:rsidRPr="00DD47DF">
              <w:rPr>
                <w:rFonts w:cs="Calibri"/>
              </w:rPr>
              <w:t>Klíčovým aspektem v této oblasti je dokončení legislativního procesu na evropské úrovni směrnice 2014/61/EU o opatřeních ke snížení nákladů na budování vysokorychlostních sítí elektronických komunikací. V současnosti probíhá příprava transpozice této směrnice do českého právního řádu. Lze se domnívat, že implementace této směrnice překoná některá navržená opatření v Digitálním Česku 1 a 2.</w:t>
            </w:r>
          </w:p>
        </w:tc>
      </w:tr>
      <w:tr w:rsidR="00790A0D" w:rsidRPr="00DD47DF" w14:paraId="5FF2C61F" w14:textId="77777777" w:rsidTr="006D2F5F">
        <w:tc>
          <w:tcPr>
            <w:tcW w:w="1752" w:type="dxa"/>
            <w:vMerge w:val="restart"/>
            <w:shd w:val="clear" w:color="auto" w:fill="auto"/>
          </w:tcPr>
          <w:p w14:paraId="689D9A64" w14:textId="77777777" w:rsidR="00790A0D" w:rsidRPr="00DD47DF" w:rsidRDefault="00790A0D" w:rsidP="006D2F5F">
            <w:pPr>
              <w:pStyle w:val="Tabulka"/>
              <w:jc w:val="left"/>
              <w:rPr>
                <w:rFonts w:cs="Calibri"/>
                <w:b/>
              </w:rPr>
            </w:pPr>
            <w:r w:rsidRPr="00DD47DF">
              <w:rPr>
                <w:rFonts w:cs="Calibri"/>
                <w:b/>
              </w:rPr>
              <w:t xml:space="preserve">3.1. Byla </w:t>
            </w:r>
            <w:r w:rsidRPr="00DD47DF">
              <w:rPr>
                <w:rFonts w:cs="Calibri"/>
                <w:b/>
              </w:rPr>
              <w:lastRenderedPageBreak/>
              <w:t>provedena zvláštní opatření, o něž se opírá podpora podnikání, zohledňující „Small Business Act“ (SBA).</w:t>
            </w:r>
          </w:p>
        </w:tc>
        <w:tc>
          <w:tcPr>
            <w:tcW w:w="1701" w:type="dxa"/>
            <w:vMerge w:val="restart"/>
            <w:shd w:val="clear" w:color="auto" w:fill="auto"/>
          </w:tcPr>
          <w:p w14:paraId="0138D728" w14:textId="77777777" w:rsidR="00790A0D" w:rsidRPr="00DD47DF" w:rsidRDefault="00790A0D" w:rsidP="006D2F5F">
            <w:pPr>
              <w:pStyle w:val="Tabulka"/>
              <w:jc w:val="left"/>
              <w:rPr>
                <w:rFonts w:cs="Calibri"/>
              </w:rPr>
            </w:pPr>
            <w:r w:rsidRPr="00DD47DF">
              <w:rPr>
                <w:rFonts w:cs="Calibri"/>
              </w:rPr>
              <w:lastRenderedPageBreak/>
              <w:t xml:space="preserve">PO 2 - Rozvoj </w:t>
            </w:r>
            <w:r w:rsidRPr="00DD47DF">
              <w:rPr>
                <w:rFonts w:cs="Calibri"/>
              </w:rPr>
              <w:lastRenderedPageBreak/>
              <w:t>podnikání a konkurenceschopnosti malých a středních podniků</w:t>
            </w:r>
          </w:p>
        </w:tc>
        <w:tc>
          <w:tcPr>
            <w:tcW w:w="1276" w:type="dxa"/>
            <w:vMerge w:val="restart"/>
            <w:shd w:val="clear" w:color="auto" w:fill="auto"/>
          </w:tcPr>
          <w:p w14:paraId="7CA2D16D" w14:textId="77777777" w:rsidR="00790A0D" w:rsidRPr="00DD47DF" w:rsidRDefault="00790A0D" w:rsidP="006D2F5F">
            <w:pPr>
              <w:pStyle w:val="Tabulka"/>
              <w:jc w:val="left"/>
              <w:rPr>
                <w:rFonts w:cs="Calibri"/>
              </w:rPr>
            </w:pPr>
            <w:r w:rsidRPr="00DD47DF">
              <w:rPr>
                <w:rFonts w:cs="Calibri"/>
              </w:rPr>
              <w:lastRenderedPageBreak/>
              <w:t>Částečně</w:t>
            </w:r>
          </w:p>
          <w:p w14:paraId="0D492FC6" w14:textId="77777777" w:rsidR="00790A0D" w:rsidRPr="00DD47DF" w:rsidRDefault="00790A0D" w:rsidP="006D2F5F">
            <w:pPr>
              <w:pStyle w:val="Tabulka"/>
              <w:jc w:val="left"/>
              <w:rPr>
                <w:rFonts w:cs="Calibri"/>
              </w:rPr>
            </w:pPr>
          </w:p>
          <w:p w14:paraId="4BBA709B" w14:textId="77777777" w:rsidR="00790A0D" w:rsidRPr="00DD47DF" w:rsidRDefault="00790A0D" w:rsidP="006D2F5F">
            <w:pPr>
              <w:pStyle w:val="Tabulka"/>
              <w:jc w:val="left"/>
              <w:rPr>
                <w:rFonts w:cs="Calibri"/>
              </w:rPr>
            </w:pPr>
          </w:p>
        </w:tc>
        <w:tc>
          <w:tcPr>
            <w:tcW w:w="1843" w:type="dxa"/>
            <w:shd w:val="clear" w:color="auto" w:fill="auto"/>
          </w:tcPr>
          <w:p w14:paraId="4A7ED48E" w14:textId="77777777" w:rsidR="00790A0D" w:rsidRPr="00DD47DF" w:rsidRDefault="00790A0D" w:rsidP="006D2F5F">
            <w:pPr>
              <w:pStyle w:val="Tabulka"/>
              <w:jc w:val="left"/>
              <w:rPr>
                <w:rFonts w:cs="Calibri"/>
              </w:rPr>
            </w:pPr>
            <w:r w:rsidRPr="00DD47DF">
              <w:rPr>
                <w:rFonts w:cs="Calibri"/>
              </w:rPr>
              <w:lastRenderedPageBreak/>
              <w:t xml:space="preserve">Zvláštními </w:t>
            </w:r>
            <w:r w:rsidRPr="00DD47DF">
              <w:rPr>
                <w:rFonts w:cs="Calibri"/>
              </w:rPr>
              <w:lastRenderedPageBreak/>
              <w:t>opatřeními jsou:</w:t>
            </w:r>
          </w:p>
        </w:tc>
        <w:tc>
          <w:tcPr>
            <w:tcW w:w="1134" w:type="dxa"/>
            <w:shd w:val="clear" w:color="auto" w:fill="auto"/>
          </w:tcPr>
          <w:p w14:paraId="7EAD3B27" w14:textId="77777777" w:rsidR="00790A0D" w:rsidRPr="00DD47DF" w:rsidRDefault="008B1FD2" w:rsidP="006D2F5F">
            <w:pPr>
              <w:pStyle w:val="Tabulka"/>
              <w:jc w:val="left"/>
              <w:rPr>
                <w:rFonts w:cs="Calibri"/>
              </w:rPr>
            </w:pPr>
            <w:r w:rsidRPr="00DD47DF">
              <w:rPr>
                <w:rFonts w:cs="Calibri"/>
              </w:rPr>
              <w:lastRenderedPageBreak/>
              <w:t>ne</w:t>
            </w:r>
          </w:p>
        </w:tc>
        <w:tc>
          <w:tcPr>
            <w:tcW w:w="2126" w:type="dxa"/>
            <w:shd w:val="clear" w:color="auto" w:fill="auto"/>
          </w:tcPr>
          <w:p w14:paraId="56C332C4" w14:textId="77777777" w:rsidR="00790A0D" w:rsidRPr="00DD47DF" w:rsidRDefault="00790A0D" w:rsidP="006D2F5F">
            <w:pPr>
              <w:pStyle w:val="Tabulka"/>
              <w:jc w:val="left"/>
              <w:rPr>
                <w:rFonts w:cs="Calibri"/>
              </w:rPr>
            </w:pPr>
          </w:p>
        </w:tc>
        <w:tc>
          <w:tcPr>
            <w:tcW w:w="4394" w:type="dxa"/>
            <w:shd w:val="clear" w:color="auto" w:fill="auto"/>
          </w:tcPr>
          <w:p w14:paraId="197F5CC0" w14:textId="77777777" w:rsidR="00790A0D" w:rsidRPr="00DD47DF" w:rsidRDefault="00790A0D" w:rsidP="006D2F5F">
            <w:pPr>
              <w:pStyle w:val="Tabulka"/>
              <w:jc w:val="left"/>
              <w:rPr>
                <w:rFonts w:cs="Calibri"/>
              </w:rPr>
            </w:pPr>
            <w:r w:rsidRPr="00DD47DF">
              <w:rPr>
                <w:rFonts w:cs="Calibri"/>
              </w:rPr>
              <w:t xml:space="preserve">Vládou byla schválena Strategie mezinárodní </w:t>
            </w:r>
            <w:r w:rsidRPr="00DD47DF">
              <w:rPr>
                <w:rFonts w:cs="Calibri"/>
              </w:rPr>
              <w:lastRenderedPageBreak/>
              <w:t>konkurenceschopnosti (SMK) v r. 2011.</w:t>
            </w:r>
          </w:p>
          <w:p w14:paraId="4615F988" w14:textId="77777777" w:rsidR="00790A0D" w:rsidRPr="00DD47DF" w:rsidRDefault="00AF6FE3" w:rsidP="006D2F5F">
            <w:pPr>
              <w:pStyle w:val="Tabulka"/>
              <w:jc w:val="left"/>
              <w:rPr>
                <w:rFonts w:cs="Calibri"/>
              </w:rPr>
            </w:pPr>
            <w:hyperlink r:id="rId135" w:history="1">
              <w:r w:rsidR="00790A0D" w:rsidRPr="00DD47DF">
                <w:rPr>
                  <w:rStyle w:val="Hypertextovodkaz"/>
                  <w:rFonts w:cs="Calibri"/>
                </w:rPr>
                <w:t>http://www.vlada.cz/assets/media-centrum/aktualne/Strategie-mezinarodni-konkurenceschopnosti-Ceske-republiky.pdf</w:t>
              </w:r>
            </w:hyperlink>
          </w:p>
          <w:p w14:paraId="5412B0B2" w14:textId="77777777" w:rsidR="00790A0D" w:rsidRPr="00DD47DF" w:rsidRDefault="00790A0D" w:rsidP="006D2F5F">
            <w:pPr>
              <w:pStyle w:val="Tabulka"/>
              <w:jc w:val="left"/>
              <w:rPr>
                <w:rFonts w:cs="Calibri"/>
              </w:rPr>
            </w:pPr>
            <w:r w:rsidRPr="00DD47DF">
              <w:rPr>
                <w:rFonts w:cs="Calibri"/>
              </w:rPr>
              <w:t xml:space="preserve">SMK implementaci opatření vedoucích k naplnění Small Business Act uvádí v projektovém záměru 36. </w:t>
            </w:r>
          </w:p>
          <w:p w14:paraId="6C1171C8" w14:textId="77777777" w:rsidR="00790A0D" w:rsidRPr="00DD47DF" w:rsidRDefault="00790A0D" w:rsidP="006D2F5F">
            <w:pPr>
              <w:pStyle w:val="Tabulka"/>
              <w:jc w:val="left"/>
              <w:rPr>
                <w:rFonts w:cs="Calibri"/>
              </w:rPr>
            </w:pPr>
            <w:r w:rsidRPr="00DD47DF">
              <w:rPr>
                <w:rFonts w:cs="Calibri"/>
              </w:rPr>
              <w:t>Opatření jsou též součástí Národního programu reforem (2014), kap. 4.2 (NPR neřeší přímo otázku implementace SBA).</w:t>
            </w:r>
          </w:p>
          <w:p w14:paraId="7446ECAE" w14:textId="77777777" w:rsidR="00790A0D" w:rsidRPr="00DD47DF" w:rsidRDefault="00AF6FE3" w:rsidP="006D2F5F">
            <w:pPr>
              <w:pStyle w:val="Tabulka"/>
              <w:jc w:val="left"/>
              <w:rPr>
                <w:rFonts w:cs="Calibri"/>
              </w:rPr>
            </w:pPr>
            <w:hyperlink r:id="rId136" w:history="1">
              <w:r w:rsidR="00790A0D" w:rsidRPr="00DD47DF">
                <w:rPr>
                  <w:rStyle w:val="Hypertextovodkaz"/>
                  <w:rFonts w:cs="Calibri"/>
                </w:rPr>
                <w:t>http://www.vlada.cz/assets/evropske-zalezitosti/aktualne/NPR-2014.pdf</w:t>
              </w:r>
            </w:hyperlink>
          </w:p>
        </w:tc>
      </w:tr>
      <w:tr w:rsidR="00790A0D" w:rsidRPr="00DD47DF" w14:paraId="3BE6B4C2" w14:textId="77777777" w:rsidTr="006D2F5F">
        <w:tc>
          <w:tcPr>
            <w:tcW w:w="1752" w:type="dxa"/>
            <w:vMerge/>
            <w:shd w:val="clear" w:color="auto" w:fill="auto"/>
          </w:tcPr>
          <w:p w14:paraId="7FA7774A" w14:textId="77777777" w:rsidR="00790A0D" w:rsidRPr="00DD47DF" w:rsidRDefault="00790A0D" w:rsidP="006D2F5F">
            <w:pPr>
              <w:pStyle w:val="Tabulka"/>
              <w:jc w:val="left"/>
              <w:rPr>
                <w:rFonts w:cs="Calibri"/>
                <w:b/>
              </w:rPr>
            </w:pPr>
          </w:p>
        </w:tc>
        <w:tc>
          <w:tcPr>
            <w:tcW w:w="1701" w:type="dxa"/>
            <w:vMerge/>
            <w:shd w:val="clear" w:color="auto" w:fill="auto"/>
          </w:tcPr>
          <w:p w14:paraId="56983E87" w14:textId="77777777" w:rsidR="00790A0D" w:rsidRPr="00DD47DF" w:rsidRDefault="00790A0D" w:rsidP="006D2F5F">
            <w:pPr>
              <w:pStyle w:val="Tabulka"/>
              <w:jc w:val="left"/>
              <w:rPr>
                <w:rFonts w:cs="Calibri"/>
              </w:rPr>
            </w:pPr>
          </w:p>
        </w:tc>
        <w:tc>
          <w:tcPr>
            <w:tcW w:w="1276" w:type="dxa"/>
            <w:vMerge/>
            <w:shd w:val="clear" w:color="auto" w:fill="auto"/>
          </w:tcPr>
          <w:p w14:paraId="29A3A992" w14:textId="77777777" w:rsidR="00790A0D" w:rsidRPr="00DD47DF" w:rsidRDefault="00790A0D" w:rsidP="006D2F5F">
            <w:pPr>
              <w:pStyle w:val="Tabulka"/>
              <w:jc w:val="left"/>
              <w:rPr>
                <w:rFonts w:cs="Calibri"/>
              </w:rPr>
            </w:pPr>
          </w:p>
        </w:tc>
        <w:tc>
          <w:tcPr>
            <w:tcW w:w="1843" w:type="dxa"/>
            <w:shd w:val="clear" w:color="auto" w:fill="auto"/>
          </w:tcPr>
          <w:p w14:paraId="06AD086E" w14:textId="77777777" w:rsidR="00790A0D" w:rsidRPr="00DD47DF" w:rsidRDefault="00790A0D" w:rsidP="006D2F5F">
            <w:pPr>
              <w:pStyle w:val="Tabulka"/>
              <w:jc w:val="left"/>
              <w:rPr>
                <w:rFonts w:cs="Calibri"/>
              </w:rPr>
            </w:pPr>
            <w:r w:rsidRPr="00DD47DF">
              <w:rPr>
                <w:rFonts w:cs="Calibri"/>
              </w:rPr>
              <w:t>• opatření zavedená s cílem zkrátit dobu potřebnou k založení firmy a snížit příslušné náklady, která zohledňují cíle SBA;</w:t>
            </w:r>
          </w:p>
        </w:tc>
        <w:tc>
          <w:tcPr>
            <w:tcW w:w="1134" w:type="dxa"/>
            <w:shd w:val="clear" w:color="auto" w:fill="auto"/>
          </w:tcPr>
          <w:p w14:paraId="372914E4" w14:textId="77777777" w:rsidR="00790A0D" w:rsidRPr="00DD47DF" w:rsidRDefault="008B1FD2" w:rsidP="006D2F5F">
            <w:pPr>
              <w:pStyle w:val="Tabulka"/>
              <w:jc w:val="left"/>
              <w:rPr>
                <w:rFonts w:cs="Calibri"/>
              </w:rPr>
            </w:pPr>
            <w:r w:rsidRPr="00DD47DF">
              <w:rPr>
                <w:rFonts w:cs="Calibri"/>
              </w:rPr>
              <w:t>ne</w:t>
            </w:r>
          </w:p>
          <w:p w14:paraId="3E1339C2" w14:textId="77777777" w:rsidR="00790A0D" w:rsidRPr="00DD47DF" w:rsidRDefault="00790A0D" w:rsidP="006D2F5F">
            <w:pPr>
              <w:pStyle w:val="Tabulka"/>
              <w:jc w:val="left"/>
              <w:rPr>
                <w:rFonts w:cs="Calibri"/>
              </w:rPr>
            </w:pPr>
          </w:p>
        </w:tc>
        <w:tc>
          <w:tcPr>
            <w:tcW w:w="2126" w:type="dxa"/>
            <w:shd w:val="clear" w:color="auto" w:fill="auto"/>
          </w:tcPr>
          <w:p w14:paraId="029B9388" w14:textId="77777777" w:rsidR="00790A0D" w:rsidRPr="00DD47DF" w:rsidRDefault="00790A0D" w:rsidP="006D2F5F">
            <w:pPr>
              <w:pStyle w:val="Tabulka"/>
              <w:jc w:val="left"/>
              <w:rPr>
                <w:rFonts w:cs="Calibri"/>
              </w:rPr>
            </w:pPr>
            <w:r w:rsidRPr="00DD47DF">
              <w:rPr>
                <w:rFonts w:cs="Calibri"/>
              </w:rPr>
              <w:t>Živnostenský zákon:</w:t>
            </w:r>
          </w:p>
          <w:p w14:paraId="257789E5" w14:textId="77777777" w:rsidR="00790A0D" w:rsidRPr="00DD47DF" w:rsidRDefault="00AF6FE3" w:rsidP="006D2F5F">
            <w:pPr>
              <w:pStyle w:val="Tabulka"/>
              <w:jc w:val="left"/>
              <w:rPr>
                <w:rFonts w:cs="Calibri"/>
              </w:rPr>
            </w:pPr>
            <w:hyperlink r:id="rId137" w:history="1">
              <w:r w:rsidR="00790A0D" w:rsidRPr="00DD47DF">
                <w:rPr>
                  <w:rStyle w:val="Hypertextovodkaz"/>
                  <w:rFonts w:cs="Calibri"/>
                </w:rPr>
                <w:t>http://www.mpo.cz/dokument144140.html</w:t>
              </w:r>
            </w:hyperlink>
          </w:p>
          <w:p w14:paraId="75F1E697" w14:textId="77777777" w:rsidR="00790A0D" w:rsidRPr="00DD47DF" w:rsidRDefault="00790A0D" w:rsidP="006D2F5F">
            <w:pPr>
              <w:pStyle w:val="Tabulka"/>
              <w:jc w:val="left"/>
              <w:rPr>
                <w:rFonts w:cs="Calibri"/>
              </w:rPr>
            </w:pPr>
            <w:r w:rsidRPr="00DD47DF">
              <w:rPr>
                <w:rFonts w:cs="Calibri"/>
              </w:rPr>
              <w:t>Zákon č.304/2013 Sb., o veřejných rejstřících právnických a fyzických osob platný od 30.9.2013, účinný od 1.1.2014.</w:t>
            </w:r>
          </w:p>
          <w:p w14:paraId="5C281BE0" w14:textId="77777777" w:rsidR="00790A0D" w:rsidRPr="00DD47DF" w:rsidRDefault="00AF6FE3" w:rsidP="006D2F5F">
            <w:pPr>
              <w:pStyle w:val="Tabulka"/>
              <w:jc w:val="left"/>
              <w:rPr>
                <w:rFonts w:cs="Calibri"/>
              </w:rPr>
            </w:pPr>
            <w:hyperlink r:id="rId138" w:history="1">
              <w:r w:rsidR="00790A0D" w:rsidRPr="00DD47DF">
                <w:rPr>
                  <w:rStyle w:val="Hypertextovodkaz"/>
                  <w:rFonts w:cs="Calibri"/>
                </w:rPr>
                <w:t>http://www.sbirka.cz/POSL4TYD/NOVE/13-304.htm</w:t>
              </w:r>
            </w:hyperlink>
            <w:r w:rsidR="00790A0D" w:rsidRPr="00DD47DF">
              <w:rPr>
                <w:rFonts w:cs="Calibri"/>
              </w:rPr>
              <w:t>)</w:t>
            </w:r>
          </w:p>
        </w:tc>
        <w:tc>
          <w:tcPr>
            <w:tcW w:w="4394" w:type="dxa"/>
            <w:shd w:val="clear" w:color="auto" w:fill="auto"/>
          </w:tcPr>
          <w:p w14:paraId="09C2454F" w14:textId="77777777" w:rsidR="00790A0D" w:rsidRPr="00DD47DF" w:rsidRDefault="00790A0D" w:rsidP="006D2F5F">
            <w:pPr>
              <w:pStyle w:val="Tabulka"/>
              <w:jc w:val="left"/>
              <w:rPr>
                <w:rFonts w:cs="Calibri"/>
              </w:rPr>
            </w:pPr>
            <w:r w:rsidRPr="00DD47DF">
              <w:rPr>
                <w:rFonts w:cs="Calibri"/>
              </w:rPr>
              <w:t xml:space="preserve">Pro oblast živnostenského podnikání (gesce MPO) zákonem č. 130/2008 Sb. došlo ke snížení nákladů na vstup do živnostenského podnikání a zkrátila se doba pro vydání dokladu o vzniku práva podnikat (z 15 na 5 pracovních dní). Oprávnění lze získat při splnění podmínek dle zákona i ve velmi krátké době (několik desítek minut, resp. na počkání). Vstupní náklady činí 1000 Kč. </w:t>
            </w:r>
          </w:p>
          <w:p w14:paraId="7CE98E82" w14:textId="77777777" w:rsidR="00790A0D" w:rsidRPr="00DD47DF" w:rsidRDefault="00790A0D" w:rsidP="006D2F5F">
            <w:pPr>
              <w:pStyle w:val="Tabulka"/>
              <w:jc w:val="left"/>
              <w:rPr>
                <w:rFonts w:cs="Calibri"/>
              </w:rPr>
            </w:pPr>
            <w:r w:rsidRPr="00DD47DF">
              <w:rPr>
                <w:rFonts w:cs="Calibri"/>
              </w:rPr>
              <w:t>Zákon č. 304/2013 Sb., stanovuje povinnost soudu zapsat společnost do 5 pracovních dní. Současně umožňuje, aby zápis provedl notář. Bude-li mít k dispozici všechny dokumenty, zápis provede během 1 dne.</w:t>
            </w:r>
          </w:p>
          <w:p w14:paraId="270D14E1" w14:textId="77777777" w:rsidR="00790A0D" w:rsidRPr="00DD47DF" w:rsidRDefault="00790A0D" w:rsidP="004229B0">
            <w:pPr>
              <w:pStyle w:val="Tabulka"/>
              <w:jc w:val="left"/>
              <w:rPr>
                <w:rFonts w:cs="Calibri"/>
              </w:rPr>
            </w:pPr>
            <w:r w:rsidRPr="00DD47DF">
              <w:rPr>
                <w:rFonts w:cs="Calibri"/>
              </w:rPr>
              <w:t>M</w:t>
            </w:r>
            <w:r w:rsidR="00AA6B7B" w:rsidRPr="00DD47DF">
              <w:rPr>
                <w:rFonts w:cs="Calibri"/>
              </w:rPr>
              <w:t>Sp</w:t>
            </w:r>
            <w:r w:rsidRPr="00DD47DF">
              <w:rPr>
                <w:rFonts w:cs="Calibri"/>
              </w:rPr>
              <w:t xml:space="preserve"> připravuje v souladu se zpracovaným akčním plánem legislativní řešení, které </w:t>
            </w:r>
            <w:r w:rsidR="005D3071" w:rsidRPr="00DD47DF">
              <w:rPr>
                <w:rFonts w:cs="Calibri"/>
              </w:rPr>
              <w:t xml:space="preserve">při splnění podmínek umožní založení s.r.o. za nižší náklady, které budou tvořeny pouze odměnou notáře. </w:t>
            </w:r>
            <w:r w:rsidR="00AA6B7B" w:rsidRPr="00DD47DF">
              <w:rPr>
                <w:rFonts w:cs="Calibri"/>
              </w:rPr>
              <w:t xml:space="preserve">Návrh zákona </w:t>
            </w:r>
            <w:r w:rsidR="004229B0" w:rsidRPr="00DD47DF">
              <w:rPr>
                <w:rFonts w:cs="Calibri"/>
              </w:rPr>
              <w:t xml:space="preserve">byl </w:t>
            </w:r>
            <w:r w:rsidR="00AA6B7B" w:rsidRPr="00DD47DF">
              <w:rPr>
                <w:rFonts w:cs="Calibri"/>
              </w:rPr>
              <w:t xml:space="preserve">vládě </w:t>
            </w:r>
            <w:r w:rsidR="00AA6B7B" w:rsidRPr="00DD47DF">
              <w:rPr>
                <w:rFonts w:cs="Calibri"/>
              </w:rPr>
              <w:lastRenderedPageBreak/>
              <w:t>předložen v prosinci 2014, účinnost se předpokládá v 2. polovině r. 2015.</w:t>
            </w:r>
            <w:r w:rsidRPr="00DD47DF">
              <w:rPr>
                <w:rFonts w:cs="Calibri"/>
              </w:rPr>
              <w:t>Viz Příloha č.II</w:t>
            </w:r>
            <w:r w:rsidR="00FD5951" w:rsidRPr="00DD47DF">
              <w:rPr>
                <w:rFonts w:cs="Calibri"/>
              </w:rPr>
              <w:t xml:space="preserve"> a Akční plán v gesci MSp</w:t>
            </w:r>
            <w:r w:rsidRPr="00DD47DF">
              <w:rPr>
                <w:rFonts w:cs="Calibri"/>
              </w:rPr>
              <w:t>.</w:t>
            </w:r>
          </w:p>
        </w:tc>
      </w:tr>
      <w:tr w:rsidR="00790A0D" w:rsidRPr="00DD47DF" w14:paraId="151217DA" w14:textId="77777777" w:rsidTr="006D2F5F">
        <w:tc>
          <w:tcPr>
            <w:tcW w:w="1752" w:type="dxa"/>
            <w:vMerge/>
            <w:shd w:val="clear" w:color="auto" w:fill="auto"/>
          </w:tcPr>
          <w:p w14:paraId="1CB15916" w14:textId="77777777" w:rsidR="00790A0D" w:rsidRPr="00DD47DF" w:rsidRDefault="00790A0D" w:rsidP="006D2F5F">
            <w:pPr>
              <w:pStyle w:val="Tabulka"/>
              <w:jc w:val="left"/>
              <w:rPr>
                <w:rFonts w:cs="Calibri"/>
                <w:b/>
              </w:rPr>
            </w:pPr>
          </w:p>
        </w:tc>
        <w:tc>
          <w:tcPr>
            <w:tcW w:w="1701" w:type="dxa"/>
            <w:vMerge/>
            <w:shd w:val="clear" w:color="auto" w:fill="auto"/>
          </w:tcPr>
          <w:p w14:paraId="5AB355F7" w14:textId="77777777" w:rsidR="00790A0D" w:rsidRPr="00DD47DF" w:rsidRDefault="00790A0D" w:rsidP="006D2F5F">
            <w:pPr>
              <w:pStyle w:val="Tabulka"/>
              <w:jc w:val="left"/>
              <w:rPr>
                <w:rFonts w:cs="Calibri"/>
              </w:rPr>
            </w:pPr>
          </w:p>
        </w:tc>
        <w:tc>
          <w:tcPr>
            <w:tcW w:w="1276" w:type="dxa"/>
            <w:vMerge/>
            <w:shd w:val="clear" w:color="auto" w:fill="auto"/>
          </w:tcPr>
          <w:p w14:paraId="2CF5CEAE" w14:textId="77777777" w:rsidR="00790A0D" w:rsidRPr="00DD47DF" w:rsidRDefault="00790A0D" w:rsidP="006D2F5F">
            <w:pPr>
              <w:pStyle w:val="Tabulka"/>
              <w:jc w:val="left"/>
              <w:rPr>
                <w:rFonts w:cs="Calibri"/>
              </w:rPr>
            </w:pPr>
          </w:p>
        </w:tc>
        <w:tc>
          <w:tcPr>
            <w:tcW w:w="1843" w:type="dxa"/>
            <w:shd w:val="clear" w:color="auto" w:fill="auto"/>
          </w:tcPr>
          <w:p w14:paraId="6D06BCE7" w14:textId="77777777" w:rsidR="00790A0D" w:rsidRPr="00DD47DF" w:rsidRDefault="00790A0D" w:rsidP="006D2F5F">
            <w:pPr>
              <w:pStyle w:val="Tabulka"/>
              <w:jc w:val="left"/>
              <w:rPr>
                <w:rFonts w:cs="Calibri"/>
              </w:rPr>
            </w:pPr>
            <w:r w:rsidRPr="00DD47DF">
              <w:rPr>
                <w:rFonts w:cs="Calibri"/>
              </w:rPr>
              <w:t>• opatření zavedená s cílem zkrátit dobu potřebnou k získání licencí a povolení k zahájení a provádění konkrétní činnosti podniku, která zohledňují cíle SBA;</w:t>
            </w:r>
          </w:p>
        </w:tc>
        <w:tc>
          <w:tcPr>
            <w:tcW w:w="1134" w:type="dxa"/>
            <w:shd w:val="clear" w:color="auto" w:fill="auto"/>
          </w:tcPr>
          <w:p w14:paraId="3689E600"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6349600B" w14:textId="77777777" w:rsidR="00790A0D" w:rsidRPr="00DD47DF" w:rsidRDefault="00790A0D" w:rsidP="006D2F5F">
            <w:pPr>
              <w:pStyle w:val="Tabulka"/>
              <w:jc w:val="left"/>
              <w:rPr>
                <w:rFonts w:cs="Calibri"/>
              </w:rPr>
            </w:pPr>
            <w:r w:rsidRPr="00DD47DF">
              <w:rPr>
                <w:rFonts w:cs="Calibri"/>
              </w:rPr>
              <w:t>Živnostenský zákon:</w:t>
            </w:r>
          </w:p>
          <w:p w14:paraId="10F6823B" w14:textId="77777777" w:rsidR="00790A0D" w:rsidRPr="00DD47DF" w:rsidRDefault="00AF6FE3" w:rsidP="006D2F5F">
            <w:pPr>
              <w:pStyle w:val="Tabulka"/>
              <w:jc w:val="left"/>
              <w:rPr>
                <w:rFonts w:cs="Calibri"/>
              </w:rPr>
            </w:pPr>
            <w:hyperlink r:id="rId139" w:history="1">
              <w:r w:rsidR="00790A0D" w:rsidRPr="00DD47DF">
                <w:rPr>
                  <w:rStyle w:val="Hypertextovodkaz"/>
                  <w:rFonts w:cs="Calibri"/>
                </w:rPr>
                <w:t>http://www.mpo.cz/dokument144140.html</w:t>
              </w:r>
            </w:hyperlink>
          </w:p>
        </w:tc>
        <w:tc>
          <w:tcPr>
            <w:tcW w:w="4394" w:type="dxa"/>
            <w:shd w:val="clear" w:color="auto" w:fill="auto"/>
          </w:tcPr>
          <w:p w14:paraId="5BEECB0D" w14:textId="77777777" w:rsidR="00790A0D" w:rsidRPr="00DD47DF" w:rsidRDefault="00790A0D" w:rsidP="006D2F5F">
            <w:pPr>
              <w:pStyle w:val="Tabulka"/>
              <w:jc w:val="left"/>
              <w:rPr>
                <w:rFonts w:cs="Calibri"/>
              </w:rPr>
            </w:pPr>
            <w:r w:rsidRPr="00DD47DF">
              <w:rPr>
                <w:rFonts w:cs="Calibri"/>
              </w:rPr>
              <w:t>V oblasti živnostenského podnikání (gesce MPO) při splnění podmínek zákona může podnikatel od okamžiku ohlášení živnosti již podnikat. Pouze u koncesovaných živností je doba pro vznik oprávnění podnikat delší (cca 1 měsíc od podání žádosti). Zákonem č. 130/2008 Sb. došlo ke snížení nákladů na vstup do živnostenského podnikání a zkrátila se doba pro vydání dokladu o vzniku práva podnikat (z 15 dní na 5 pracovních dní).</w:t>
            </w:r>
          </w:p>
          <w:p w14:paraId="72F0A5B5" w14:textId="77777777" w:rsidR="00790A0D" w:rsidRPr="00DD47DF" w:rsidRDefault="00790A0D" w:rsidP="006D2F5F">
            <w:pPr>
              <w:pStyle w:val="Tabulka"/>
              <w:jc w:val="left"/>
              <w:rPr>
                <w:rFonts w:cs="Calibri"/>
              </w:rPr>
            </w:pPr>
            <w:r w:rsidRPr="00DD47DF">
              <w:rPr>
                <w:rFonts w:cs="Calibri"/>
              </w:rPr>
              <w:t>Podrobněji – viz Příloha č. II.</w:t>
            </w:r>
          </w:p>
        </w:tc>
      </w:tr>
      <w:tr w:rsidR="00790A0D" w:rsidRPr="00DD47DF" w14:paraId="5AA75410" w14:textId="77777777" w:rsidTr="006D2F5F">
        <w:tc>
          <w:tcPr>
            <w:tcW w:w="1752" w:type="dxa"/>
            <w:vMerge/>
            <w:shd w:val="clear" w:color="auto" w:fill="auto"/>
          </w:tcPr>
          <w:p w14:paraId="7229CCDA" w14:textId="77777777" w:rsidR="00790A0D" w:rsidRPr="00DD47DF" w:rsidRDefault="00790A0D" w:rsidP="006D2F5F">
            <w:pPr>
              <w:pStyle w:val="Tabulka"/>
              <w:jc w:val="left"/>
              <w:rPr>
                <w:rFonts w:cs="Calibri"/>
                <w:b/>
              </w:rPr>
            </w:pPr>
          </w:p>
        </w:tc>
        <w:tc>
          <w:tcPr>
            <w:tcW w:w="1701" w:type="dxa"/>
            <w:vMerge/>
            <w:shd w:val="clear" w:color="auto" w:fill="auto"/>
          </w:tcPr>
          <w:p w14:paraId="48A4AC0C" w14:textId="77777777" w:rsidR="00790A0D" w:rsidRPr="00DD47DF" w:rsidRDefault="00790A0D" w:rsidP="006D2F5F">
            <w:pPr>
              <w:pStyle w:val="Tabulka"/>
              <w:jc w:val="left"/>
              <w:rPr>
                <w:rFonts w:cs="Calibri"/>
              </w:rPr>
            </w:pPr>
          </w:p>
        </w:tc>
        <w:tc>
          <w:tcPr>
            <w:tcW w:w="1276" w:type="dxa"/>
            <w:vMerge/>
            <w:shd w:val="clear" w:color="auto" w:fill="auto"/>
          </w:tcPr>
          <w:p w14:paraId="70693514" w14:textId="77777777" w:rsidR="00790A0D" w:rsidRPr="00DD47DF" w:rsidRDefault="00790A0D" w:rsidP="006D2F5F">
            <w:pPr>
              <w:pStyle w:val="Tabulka"/>
              <w:jc w:val="left"/>
              <w:rPr>
                <w:rFonts w:cs="Calibri"/>
              </w:rPr>
            </w:pPr>
          </w:p>
        </w:tc>
        <w:tc>
          <w:tcPr>
            <w:tcW w:w="1843" w:type="dxa"/>
            <w:shd w:val="clear" w:color="auto" w:fill="auto"/>
          </w:tcPr>
          <w:p w14:paraId="0F262F9D" w14:textId="77777777" w:rsidR="00790A0D" w:rsidRPr="00DD47DF" w:rsidRDefault="00790A0D" w:rsidP="006D2F5F">
            <w:pPr>
              <w:pStyle w:val="Tabulka"/>
              <w:jc w:val="left"/>
              <w:rPr>
                <w:rFonts w:cs="Calibri"/>
              </w:rPr>
            </w:pPr>
            <w:r w:rsidRPr="00DD47DF">
              <w:rPr>
                <w:rFonts w:cs="Calibri"/>
              </w:rPr>
              <w:t>• mechanismus zavedený s cílem monitorovat provádění kroků spjatých s SBA, které byly podniknuty a posuzovat dopady právních předpisů na malé a střední podniky</w:t>
            </w:r>
          </w:p>
        </w:tc>
        <w:tc>
          <w:tcPr>
            <w:tcW w:w="1134" w:type="dxa"/>
            <w:shd w:val="clear" w:color="auto" w:fill="auto"/>
          </w:tcPr>
          <w:p w14:paraId="46FD4A83"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7E20716E" w14:textId="77777777" w:rsidR="00790A0D" w:rsidRPr="00DD47DF" w:rsidRDefault="00790A0D" w:rsidP="006D2F5F">
            <w:pPr>
              <w:pStyle w:val="Tabulka"/>
              <w:jc w:val="left"/>
              <w:rPr>
                <w:rFonts w:cs="Calibri"/>
              </w:rPr>
            </w:pPr>
            <w:r w:rsidRPr="00DD47DF">
              <w:rPr>
                <w:rFonts w:cs="Calibri"/>
              </w:rPr>
              <w:t>Proces RIA:</w:t>
            </w:r>
          </w:p>
          <w:p w14:paraId="3DAC941A" w14:textId="77777777" w:rsidR="00790A0D" w:rsidRPr="00DD47DF" w:rsidRDefault="00AF6FE3" w:rsidP="006D2F5F">
            <w:pPr>
              <w:pStyle w:val="Tabulka"/>
              <w:jc w:val="left"/>
              <w:rPr>
                <w:rFonts w:cs="Calibri"/>
              </w:rPr>
            </w:pPr>
            <w:hyperlink r:id="rId140" w:history="1">
              <w:r w:rsidR="00790A0D" w:rsidRPr="00DD47DF">
                <w:rPr>
                  <w:rStyle w:val="Hypertextovodkaz"/>
                  <w:rFonts w:cs="Calibri"/>
                </w:rPr>
                <w:t>http://www.vlada.cz/assets/ppov/lrv/ria/metodiky/Uplne-zneni-Obecnych-zasad-_ucinnost-od-1-2--2014_.pdf</w:t>
              </w:r>
            </w:hyperlink>
          </w:p>
        </w:tc>
        <w:tc>
          <w:tcPr>
            <w:tcW w:w="4394" w:type="dxa"/>
            <w:shd w:val="clear" w:color="auto" w:fill="auto"/>
          </w:tcPr>
          <w:p w14:paraId="20BA8F20" w14:textId="77777777" w:rsidR="00790A0D" w:rsidRPr="00DD47DF" w:rsidRDefault="00790A0D" w:rsidP="006D2F5F">
            <w:pPr>
              <w:pStyle w:val="Tabulka"/>
              <w:jc w:val="left"/>
              <w:rPr>
                <w:rFonts w:cs="Calibri"/>
              </w:rPr>
            </w:pPr>
            <w:r w:rsidRPr="00DD47DF">
              <w:rPr>
                <w:rFonts w:cs="Calibri"/>
              </w:rPr>
              <w:t>Monitoring implementace SBA bude zajištěn ve formě vypracovávání a hodnocení zpráv o implementaci opatření obsažených v SBA v působnosti jednotlivých resortů, v rámci aktivit národního zmocněnce pro MSP.</w:t>
            </w:r>
          </w:p>
          <w:p w14:paraId="301184C2" w14:textId="77777777" w:rsidR="00790A0D" w:rsidRPr="00DD47DF" w:rsidRDefault="00790A0D" w:rsidP="006D2F5F">
            <w:pPr>
              <w:pStyle w:val="Tabulka"/>
              <w:jc w:val="left"/>
              <w:rPr>
                <w:rFonts w:cs="Calibri"/>
              </w:rPr>
            </w:pPr>
            <w:r w:rsidRPr="00DD47DF">
              <w:rPr>
                <w:rFonts w:cs="Calibri"/>
              </w:rPr>
              <w:t xml:space="preserve">Hodnocení dopadů na podnikatelské prostředí ve vazbě na velikost podnikatelů je obsaženou v hodnocení dopadů regulace (RIA) a je součástí legislativního procesu. </w:t>
            </w:r>
          </w:p>
          <w:p w14:paraId="2B1EE0EB" w14:textId="77777777" w:rsidR="00790A0D" w:rsidRPr="00DD47DF" w:rsidRDefault="00790A0D" w:rsidP="006D2F5F">
            <w:pPr>
              <w:pStyle w:val="Tabulka"/>
              <w:jc w:val="left"/>
              <w:rPr>
                <w:rFonts w:cs="Calibri"/>
              </w:rPr>
            </w:pPr>
            <w:r w:rsidRPr="00DD47DF">
              <w:rPr>
                <w:rFonts w:cs="Calibri"/>
              </w:rPr>
              <w:t>Podrobněji – viz Příloha č.II.</w:t>
            </w:r>
          </w:p>
        </w:tc>
      </w:tr>
      <w:tr w:rsidR="00790A0D" w:rsidRPr="00DD47DF" w14:paraId="2B415B03" w14:textId="77777777" w:rsidTr="006D2F5F">
        <w:tc>
          <w:tcPr>
            <w:tcW w:w="1752" w:type="dxa"/>
            <w:vMerge w:val="restart"/>
            <w:shd w:val="clear" w:color="auto" w:fill="auto"/>
          </w:tcPr>
          <w:p w14:paraId="6050C898" w14:textId="77777777" w:rsidR="00790A0D" w:rsidRPr="00DD47DF" w:rsidRDefault="00790A0D" w:rsidP="006D2F5F">
            <w:pPr>
              <w:pStyle w:val="Tabulka"/>
              <w:jc w:val="left"/>
              <w:rPr>
                <w:rFonts w:cs="Calibri"/>
                <w:b/>
              </w:rPr>
            </w:pPr>
            <w:r w:rsidRPr="00DD47DF">
              <w:rPr>
                <w:rFonts w:cs="Calibri"/>
                <w:b/>
              </w:rPr>
              <w:t xml:space="preserve">4.1. Byla provedena opatření na podporu nákladově efektivního </w:t>
            </w:r>
            <w:r w:rsidRPr="00DD47DF">
              <w:rPr>
                <w:rFonts w:cs="Calibri"/>
                <w:b/>
              </w:rPr>
              <w:lastRenderedPageBreak/>
              <w:t>zvyšování energetické účinnosti u koncového uživatele a nákladově efektivních investic do energetické účinnosti při výstavbě a renovaci budov.</w:t>
            </w:r>
          </w:p>
        </w:tc>
        <w:tc>
          <w:tcPr>
            <w:tcW w:w="1701" w:type="dxa"/>
            <w:vMerge w:val="restart"/>
            <w:shd w:val="clear" w:color="auto" w:fill="auto"/>
          </w:tcPr>
          <w:p w14:paraId="162C66CF" w14:textId="77777777" w:rsidR="00790A0D" w:rsidRPr="00DD47DF" w:rsidRDefault="00790A0D" w:rsidP="006D2F5F">
            <w:pPr>
              <w:pStyle w:val="Tabulka"/>
              <w:jc w:val="left"/>
              <w:rPr>
                <w:rFonts w:cs="Calibri"/>
              </w:rPr>
            </w:pPr>
            <w:r w:rsidRPr="00DD47DF">
              <w:rPr>
                <w:rFonts w:cs="Calibri"/>
              </w:rPr>
              <w:lastRenderedPageBreak/>
              <w:t xml:space="preserve">PO 3 - Účinné nakládání energií, rozvoj energetické infrastruktury a obnovitelných </w:t>
            </w:r>
            <w:r w:rsidRPr="00DD47DF">
              <w:rPr>
                <w:rFonts w:cs="Calibri"/>
              </w:rPr>
              <w:lastRenderedPageBreak/>
              <w:t>zdrojů energie, podpora zavádění nových technologií v oblasti nakládání energií a druhotných surovin</w:t>
            </w:r>
          </w:p>
        </w:tc>
        <w:tc>
          <w:tcPr>
            <w:tcW w:w="1276" w:type="dxa"/>
            <w:vMerge w:val="restart"/>
            <w:shd w:val="clear" w:color="auto" w:fill="auto"/>
          </w:tcPr>
          <w:p w14:paraId="4070C2C7" w14:textId="77777777" w:rsidR="00790A0D" w:rsidRPr="00DD47DF" w:rsidRDefault="00793FDC" w:rsidP="006D2F5F">
            <w:pPr>
              <w:pStyle w:val="Tabulka"/>
              <w:jc w:val="left"/>
              <w:rPr>
                <w:rFonts w:cs="Calibri"/>
              </w:rPr>
            </w:pPr>
            <w:r w:rsidRPr="00DD47DF">
              <w:rPr>
                <w:rFonts w:cs="Calibri"/>
              </w:rPr>
              <w:lastRenderedPageBreak/>
              <w:t>ne</w:t>
            </w:r>
          </w:p>
          <w:p w14:paraId="40ED333F" w14:textId="77777777" w:rsidR="00790A0D" w:rsidRPr="00DD47DF" w:rsidRDefault="00790A0D" w:rsidP="006D2F5F">
            <w:pPr>
              <w:pStyle w:val="Tabulka"/>
              <w:jc w:val="left"/>
              <w:rPr>
                <w:rFonts w:cs="Calibri"/>
              </w:rPr>
            </w:pPr>
          </w:p>
          <w:p w14:paraId="66D3C164" w14:textId="77777777" w:rsidR="00790A0D" w:rsidRPr="00DD47DF" w:rsidRDefault="00790A0D" w:rsidP="006D2F5F">
            <w:pPr>
              <w:pStyle w:val="Tabulka"/>
              <w:jc w:val="left"/>
              <w:rPr>
                <w:rFonts w:cs="Calibri"/>
              </w:rPr>
            </w:pPr>
          </w:p>
          <w:p w14:paraId="64AEFA6F" w14:textId="77777777" w:rsidR="00790A0D" w:rsidRPr="00DD47DF" w:rsidRDefault="00790A0D" w:rsidP="006D2F5F">
            <w:pPr>
              <w:pStyle w:val="Tabulka"/>
              <w:jc w:val="left"/>
              <w:rPr>
                <w:rFonts w:cs="Calibri"/>
              </w:rPr>
            </w:pPr>
          </w:p>
          <w:p w14:paraId="27CA5DC0" w14:textId="77777777" w:rsidR="00790A0D" w:rsidRPr="00DD47DF" w:rsidRDefault="00790A0D" w:rsidP="006D2F5F">
            <w:pPr>
              <w:pStyle w:val="Tabulka"/>
              <w:jc w:val="left"/>
              <w:rPr>
                <w:rFonts w:cs="Calibri"/>
              </w:rPr>
            </w:pPr>
          </w:p>
          <w:p w14:paraId="197B5808" w14:textId="77777777" w:rsidR="00790A0D" w:rsidRPr="00DD47DF" w:rsidRDefault="00790A0D" w:rsidP="006D2F5F">
            <w:pPr>
              <w:pStyle w:val="Tabulka"/>
              <w:jc w:val="left"/>
              <w:rPr>
                <w:rFonts w:cs="Calibri"/>
              </w:rPr>
            </w:pPr>
          </w:p>
          <w:p w14:paraId="2BECF71C" w14:textId="77777777" w:rsidR="00790A0D" w:rsidRPr="00DD47DF" w:rsidRDefault="00790A0D" w:rsidP="006D2F5F">
            <w:pPr>
              <w:pStyle w:val="Tabulka"/>
              <w:jc w:val="left"/>
              <w:rPr>
                <w:rFonts w:cs="Calibri"/>
              </w:rPr>
            </w:pPr>
          </w:p>
          <w:p w14:paraId="3CD0BC99" w14:textId="77777777" w:rsidR="00790A0D" w:rsidRPr="00DD47DF" w:rsidRDefault="00790A0D" w:rsidP="006D2F5F">
            <w:pPr>
              <w:pStyle w:val="Tabulka"/>
              <w:jc w:val="left"/>
              <w:rPr>
                <w:rFonts w:cs="Calibri"/>
              </w:rPr>
            </w:pPr>
          </w:p>
          <w:p w14:paraId="2EE001BD" w14:textId="77777777" w:rsidR="00790A0D" w:rsidRPr="00DD47DF" w:rsidRDefault="00790A0D" w:rsidP="006D2F5F">
            <w:pPr>
              <w:pStyle w:val="Tabulka"/>
              <w:jc w:val="left"/>
              <w:rPr>
                <w:rFonts w:cs="Calibri"/>
              </w:rPr>
            </w:pPr>
          </w:p>
          <w:p w14:paraId="62AF866D" w14:textId="77777777" w:rsidR="00790A0D" w:rsidRPr="00DD47DF" w:rsidRDefault="00790A0D" w:rsidP="006D2F5F">
            <w:pPr>
              <w:pStyle w:val="Tabulka"/>
              <w:jc w:val="left"/>
              <w:rPr>
                <w:rFonts w:cs="Calibri"/>
              </w:rPr>
            </w:pPr>
          </w:p>
          <w:p w14:paraId="02C4EA7A" w14:textId="77777777" w:rsidR="00790A0D" w:rsidRPr="00DD47DF" w:rsidRDefault="00790A0D" w:rsidP="006D2F5F">
            <w:pPr>
              <w:pStyle w:val="Tabulka"/>
              <w:jc w:val="left"/>
              <w:rPr>
                <w:rFonts w:cs="Calibri"/>
              </w:rPr>
            </w:pPr>
          </w:p>
          <w:p w14:paraId="57640CDB" w14:textId="77777777" w:rsidR="00790A0D" w:rsidRPr="00DD47DF" w:rsidRDefault="00790A0D" w:rsidP="006D2F5F">
            <w:pPr>
              <w:pStyle w:val="Tabulka"/>
              <w:jc w:val="left"/>
              <w:rPr>
                <w:rFonts w:cs="Calibri"/>
              </w:rPr>
            </w:pPr>
          </w:p>
        </w:tc>
        <w:tc>
          <w:tcPr>
            <w:tcW w:w="1843" w:type="dxa"/>
            <w:shd w:val="clear" w:color="auto" w:fill="auto"/>
          </w:tcPr>
          <w:p w14:paraId="344E12CA" w14:textId="77777777" w:rsidR="00790A0D" w:rsidRPr="00DD47DF" w:rsidRDefault="00790A0D" w:rsidP="006D2F5F">
            <w:pPr>
              <w:pStyle w:val="Tabulka"/>
              <w:jc w:val="left"/>
              <w:rPr>
                <w:rFonts w:cs="Calibri"/>
              </w:rPr>
            </w:pPr>
            <w:r w:rsidRPr="00DD47DF">
              <w:rPr>
                <w:rFonts w:cs="Calibri"/>
              </w:rPr>
              <w:lastRenderedPageBreak/>
              <w:t>Těmito opatřeními jsou:</w:t>
            </w:r>
          </w:p>
          <w:p w14:paraId="3233A913" w14:textId="77777777" w:rsidR="00790A0D" w:rsidRPr="00DD47DF" w:rsidRDefault="00790A0D" w:rsidP="006D2F5F">
            <w:pPr>
              <w:pStyle w:val="Tabulka"/>
              <w:jc w:val="left"/>
              <w:rPr>
                <w:rFonts w:cs="Calibri"/>
              </w:rPr>
            </w:pPr>
            <w:r w:rsidRPr="00DD47DF">
              <w:rPr>
                <w:rFonts w:cs="Calibri"/>
              </w:rPr>
              <w:t xml:space="preserve">Opatření k zajištění minimálních požadavků týkajících se </w:t>
            </w:r>
            <w:r w:rsidRPr="00DD47DF">
              <w:rPr>
                <w:rFonts w:cs="Calibri"/>
              </w:rPr>
              <w:lastRenderedPageBreak/>
              <w:t>energetické náročnosti budov v souladu s články 3, 4 a 5 směrnice Evropského parlamentu a Rady 2010/31/EU</w:t>
            </w:r>
            <w:r w:rsidRPr="00DD47DF">
              <w:rPr>
                <w:rStyle w:val="Znakapoznpodarou"/>
                <w:rFonts w:cs="Calibri"/>
              </w:rPr>
              <w:footnoteReference w:id="98"/>
            </w:r>
            <w:r w:rsidRPr="00DD47DF">
              <w:rPr>
                <w:rFonts w:cs="Calibri"/>
              </w:rPr>
              <w:t>,</w:t>
            </w:r>
          </w:p>
        </w:tc>
        <w:tc>
          <w:tcPr>
            <w:tcW w:w="1134" w:type="dxa"/>
            <w:shd w:val="clear" w:color="auto" w:fill="auto"/>
          </w:tcPr>
          <w:p w14:paraId="02EA01A4" w14:textId="77777777" w:rsidR="00790A0D" w:rsidRPr="00DD47DF" w:rsidRDefault="008B1FD2" w:rsidP="006D2F5F">
            <w:pPr>
              <w:pStyle w:val="Tabulka"/>
              <w:jc w:val="left"/>
              <w:rPr>
                <w:rFonts w:cs="Calibri"/>
              </w:rPr>
            </w:pPr>
            <w:r w:rsidRPr="00DD47DF">
              <w:rPr>
                <w:rFonts w:cs="Calibri"/>
              </w:rPr>
              <w:lastRenderedPageBreak/>
              <w:t>ne</w:t>
            </w:r>
          </w:p>
        </w:tc>
        <w:tc>
          <w:tcPr>
            <w:tcW w:w="2126" w:type="dxa"/>
            <w:shd w:val="clear" w:color="auto" w:fill="auto"/>
          </w:tcPr>
          <w:p w14:paraId="664DABD8" w14:textId="77777777" w:rsidR="00790A0D" w:rsidRPr="00DD47DF" w:rsidRDefault="00AF6FE3" w:rsidP="006D2F5F">
            <w:pPr>
              <w:pStyle w:val="Tabulka"/>
              <w:jc w:val="left"/>
              <w:rPr>
                <w:rFonts w:cs="Calibri"/>
              </w:rPr>
            </w:pPr>
            <w:hyperlink r:id="rId141" w:anchor="local-content" w:history="1">
              <w:r w:rsidR="00790A0D" w:rsidRPr="00DD47DF">
                <w:rPr>
                  <w:rStyle w:val="Hypertextovodkaz"/>
                  <w:rFonts w:cs="Calibri"/>
                </w:rPr>
                <w:t>zákon č. 406/2000 Sb. o hospodaření energií</w:t>
              </w:r>
            </w:hyperlink>
            <w:r w:rsidR="00790A0D" w:rsidRPr="00DD47DF">
              <w:rPr>
                <w:rFonts w:cs="Calibri"/>
              </w:rPr>
              <w:t xml:space="preserve">, konkrétně novela </w:t>
            </w:r>
            <w:hyperlink r:id="rId142" w:anchor="local-content" w:history="1">
              <w:r w:rsidR="00790A0D" w:rsidRPr="00DD47DF">
                <w:rPr>
                  <w:rStyle w:val="Hypertextovodkaz"/>
                  <w:rFonts w:cs="Calibri"/>
                </w:rPr>
                <w:t>zákona č. 318/2012 Sb.</w:t>
              </w:r>
            </w:hyperlink>
          </w:p>
        </w:tc>
        <w:tc>
          <w:tcPr>
            <w:tcW w:w="4394" w:type="dxa"/>
            <w:shd w:val="clear" w:color="auto" w:fill="auto"/>
          </w:tcPr>
          <w:p w14:paraId="4CC6714F" w14:textId="77777777" w:rsidR="00790A0D" w:rsidRPr="00DD47DF" w:rsidRDefault="00790A0D" w:rsidP="006D2F5F">
            <w:pPr>
              <w:pStyle w:val="Tabulka"/>
              <w:jc w:val="left"/>
              <w:rPr>
                <w:rFonts w:cs="Calibri"/>
              </w:rPr>
            </w:pPr>
            <w:r w:rsidRPr="00DD47DF">
              <w:rPr>
                <w:rFonts w:cs="Calibri"/>
              </w:rPr>
              <w:t>Transpozice směrnice byla provedena implementaci do zákona č. 406/2000 Sb. o hospodaření energií, konkrétně novelou zákona č. 318/2012 Sb. ze dne 24. října 2012.</w:t>
            </w:r>
          </w:p>
          <w:p w14:paraId="73F5CD7F" w14:textId="77777777" w:rsidR="00790A0D" w:rsidRPr="00DD47DF" w:rsidRDefault="00790A0D" w:rsidP="006D2F5F">
            <w:pPr>
              <w:pStyle w:val="Tabulka"/>
              <w:jc w:val="left"/>
              <w:rPr>
                <w:rFonts w:cs="Calibri"/>
              </w:rPr>
            </w:pPr>
            <w:r w:rsidRPr="00DD47DF">
              <w:rPr>
                <w:rFonts w:cs="Calibri"/>
              </w:rPr>
              <w:t xml:space="preserve">V současné době je s ČR vedeno řízení pro porušení Smlouvy – řízení o nenotifikaci č. </w:t>
            </w:r>
            <w:r w:rsidRPr="00DD47DF">
              <w:rPr>
                <w:rFonts w:cs="Calibri"/>
              </w:rPr>
              <w:lastRenderedPageBreak/>
              <w:t>2012/0335 (zahájeno 25. 9. 2012). ČR na formální upozornění odpověděla dne 31. 10. 2012. Dne 18.10.2013 bylo ČR zasláno odůvodněné stanovisko EK. Odpověď ČR na odůvodněné stanovisko byla odeslána 20.12.2013.</w:t>
            </w:r>
          </w:p>
          <w:p w14:paraId="37D96D42" w14:textId="77777777" w:rsidR="00790A0D" w:rsidRPr="00DD47DF" w:rsidRDefault="00790A0D" w:rsidP="006D2F5F">
            <w:pPr>
              <w:pStyle w:val="Tabulka"/>
              <w:jc w:val="left"/>
              <w:rPr>
                <w:rFonts w:cs="Calibri"/>
              </w:rPr>
            </w:pPr>
            <w:r w:rsidRPr="00DD47DF">
              <w:rPr>
                <w:rFonts w:cs="Calibri"/>
              </w:rPr>
              <w:t xml:space="preserve">MPO zpracovalo akční plán k plnění podmínky. </w:t>
            </w:r>
          </w:p>
        </w:tc>
      </w:tr>
      <w:tr w:rsidR="00790A0D" w:rsidRPr="00DD47DF" w14:paraId="51618B59" w14:textId="77777777" w:rsidTr="006D2F5F">
        <w:tc>
          <w:tcPr>
            <w:tcW w:w="1752" w:type="dxa"/>
            <w:vMerge/>
            <w:shd w:val="clear" w:color="auto" w:fill="auto"/>
          </w:tcPr>
          <w:p w14:paraId="054D5A5C" w14:textId="77777777" w:rsidR="00790A0D" w:rsidRPr="00DD47DF" w:rsidRDefault="00790A0D" w:rsidP="006D2F5F">
            <w:pPr>
              <w:pStyle w:val="Tabulka"/>
              <w:rPr>
                <w:rFonts w:cs="Calibri"/>
                <w:b/>
              </w:rPr>
            </w:pPr>
          </w:p>
        </w:tc>
        <w:tc>
          <w:tcPr>
            <w:tcW w:w="1701" w:type="dxa"/>
            <w:vMerge/>
            <w:shd w:val="clear" w:color="auto" w:fill="auto"/>
          </w:tcPr>
          <w:p w14:paraId="03902DDA" w14:textId="77777777" w:rsidR="00790A0D" w:rsidRPr="00DD47DF" w:rsidRDefault="00790A0D" w:rsidP="006D2F5F">
            <w:pPr>
              <w:pStyle w:val="Tabulka"/>
              <w:rPr>
                <w:rFonts w:cs="Calibri"/>
              </w:rPr>
            </w:pPr>
          </w:p>
        </w:tc>
        <w:tc>
          <w:tcPr>
            <w:tcW w:w="1276" w:type="dxa"/>
            <w:vMerge/>
            <w:shd w:val="clear" w:color="auto" w:fill="auto"/>
          </w:tcPr>
          <w:p w14:paraId="4D3BC109" w14:textId="77777777" w:rsidR="00790A0D" w:rsidRPr="00DD47DF" w:rsidRDefault="00790A0D" w:rsidP="006D2F5F">
            <w:pPr>
              <w:pStyle w:val="Tabulka"/>
              <w:rPr>
                <w:rFonts w:cs="Calibri"/>
              </w:rPr>
            </w:pPr>
          </w:p>
        </w:tc>
        <w:tc>
          <w:tcPr>
            <w:tcW w:w="1843" w:type="dxa"/>
            <w:shd w:val="clear" w:color="auto" w:fill="auto"/>
          </w:tcPr>
          <w:p w14:paraId="086962FF" w14:textId="77777777" w:rsidR="00790A0D" w:rsidRPr="00DD47DF" w:rsidRDefault="00790A0D" w:rsidP="006D2F5F">
            <w:pPr>
              <w:pStyle w:val="Tabulka"/>
              <w:jc w:val="left"/>
              <w:rPr>
                <w:rFonts w:cs="Calibri"/>
              </w:rPr>
            </w:pPr>
            <w:r w:rsidRPr="00DD47DF">
              <w:rPr>
                <w:rFonts w:cs="Calibri"/>
              </w:rPr>
              <w:t>Opatření nezbytná pro zavedení systému certifikace energetické náročnosti budov v souladu s článkem 11 směrnice 2010/31/EU,</w:t>
            </w:r>
          </w:p>
        </w:tc>
        <w:tc>
          <w:tcPr>
            <w:tcW w:w="1134" w:type="dxa"/>
            <w:shd w:val="clear" w:color="auto" w:fill="auto"/>
          </w:tcPr>
          <w:p w14:paraId="4E077341" w14:textId="77777777" w:rsidR="00790A0D" w:rsidRPr="00DD47DF" w:rsidRDefault="008B1FD2" w:rsidP="006D2F5F">
            <w:pPr>
              <w:pStyle w:val="Tabulka"/>
              <w:jc w:val="left"/>
              <w:rPr>
                <w:rFonts w:cs="Calibri"/>
              </w:rPr>
            </w:pPr>
            <w:r w:rsidRPr="00DD47DF">
              <w:rPr>
                <w:rFonts w:cs="Calibri"/>
              </w:rPr>
              <w:t>ne</w:t>
            </w:r>
          </w:p>
        </w:tc>
        <w:tc>
          <w:tcPr>
            <w:tcW w:w="2126" w:type="dxa"/>
            <w:shd w:val="clear" w:color="auto" w:fill="auto"/>
          </w:tcPr>
          <w:p w14:paraId="0EDD5B4F" w14:textId="77777777" w:rsidR="00790A0D" w:rsidRPr="00DD47DF" w:rsidRDefault="00AF6FE3" w:rsidP="006D2F5F">
            <w:pPr>
              <w:pStyle w:val="Tabulka"/>
              <w:jc w:val="left"/>
              <w:rPr>
                <w:rFonts w:cs="Calibri"/>
              </w:rPr>
            </w:pPr>
            <w:hyperlink r:id="rId143" w:anchor="local-content" w:history="1">
              <w:r w:rsidR="00790A0D" w:rsidRPr="00DD47DF">
                <w:rPr>
                  <w:rStyle w:val="Hypertextovodkaz"/>
                  <w:rFonts w:cs="Calibri"/>
                </w:rPr>
                <w:t>zákon č. 406/2000 Sb. o hospodaření energií</w:t>
              </w:r>
            </w:hyperlink>
            <w:r w:rsidR="00790A0D" w:rsidRPr="00DD47DF">
              <w:rPr>
                <w:rFonts w:cs="Calibri"/>
              </w:rPr>
              <w:t xml:space="preserve">, konkrétně novela </w:t>
            </w:r>
            <w:hyperlink r:id="rId144" w:anchor="local-content" w:history="1">
              <w:r w:rsidR="00790A0D" w:rsidRPr="00DD47DF">
                <w:rPr>
                  <w:rStyle w:val="Hypertextovodkaz"/>
                  <w:rFonts w:cs="Calibri"/>
                </w:rPr>
                <w:t>zákona č. 318/2012 Sb.</w:t>
              </w:r>
            </w:hyperlink>
          </w:p>
        </w:tc>
        <w:tc>
          <w:tcPr>
            <w:tcW w:w="4394" w:type="dxa"/>
            <w:shd w:val="clear" w:color="auto" w:fill="auto"/>
          </w:tcPr>
          <w:p w14:paraId="5D049F3E" w14:textId="77777777" w:rsidR="00790A0D" w:rsidRPr="00DD47DF" w:rsidRDefault="00790A0D" w:rsidP="006D2F5F">
            <w:pPr>
              <w:pStyle w:val="Tabulka"/>
              <w:jc w:val="left"/>
              <w:rPr>
                <w:rFonts w:cs="Calibri"/>
              </w:rPr>
            </w:pPr>
            <w:r w:rsidRPr="00DD47DF">
              <w:rPr>
                <w:rFonts w:cs="Calibri"/>
              </w:rPr>
              <w:t>V současné době je s ČR vedeno řízení pro porušení Smlouvy – řízení o nenotifikaci č. 2012/0335 (zahájeno 25. 9. 2012). ČR na formální upozornění odpověděla dne 31. 10. 2012 (viz též výše). Dne 18.10.2013 bylo ČR zasláno odůvodněné stanovisko EK.  Odpověď ČR na odůvodněné stanovisko byla odeslána 20.12.2013.</w:t>
            </w:r>
          </w:p>
          <w:p w14:paraId="155DFA8C" w14:textId="77777777" w:rsidR="00790A0D" w:rsidRPr="00DD47DF" w:rsidRDefault="00790A0D" w:rsidP="006D2F5F">
            <w:pPr>
              <w:pStyle w:val="Tabulka"/>
              <w:jc w:val="left"/>
              <w:rPr>
                <w:rFonts w:cs="Calibri"/>
              </w:rPr>
            </w:pPr>
            <w:r w:rsidRPr="00DD47DF">
              <w:rPr>
                <w:rFonts w:cs="Calibri"/>
              </w:rPr>
              <w:t xml:space="preserve">MPO zpracovalo akční plán k plnění podmínky. </w:t>
            </w:r>
          </w:p>
        </w:tc>
      </w:tr>
      <w:tr w:rsidR="00790A0D" w:rsidRPr="00DD47DF" w14:paraId="0BCD3796" w14:textId="77777777" w:rsidTr="006D2F5F">
        <w:tc>
          <w:tcPr>
            <w:tcW w:w="1752" w:type="dxa"/>
            <w:vMerge/>
            <w:shd w:val="clear" w:color="auto" w:fill="auto"/>
          </w:tcPr>
          <w:p w14:paraId="262BC1E8" w14:textId="77777777" w:rsidR="00790A0D" w:rsidRPr="00DD47DF" w:rsidRDefault="00790A0D" w:rsidP="006D2F5F">
            <w:pPr>
              <w:pStyle w:val="Tabulka"/>
              <w:rPr>
                <w:rFonts w:cs="Calibri"/>
                <w:b/>
              </w:rPr>
            </w:pPr>
          </w:p>
        </w:tc>
        <w:tc>
          <w:tcPr>
            <w:tcW w:w="1701" w:type="dxa"/>
            <w:vMerge/>
            <w:shd w:val="clear" w:color="auto" w:fill="auto"/>
          </w:tcPr>
          <w:p w14:paraId="77BA9C52" w14:textId="77777777" w:rsidR="00790A0D" w:rsidRPr="00DD47DF" w:rsidRDefault="00790A0D" w:rsidP="006D2F5F">
            <w:pPr>
              <w:pStyle w:val="Tabulka"/>
              <w:rPr>
                <w:rFonts w:cs="Calibri"/>
              </w:rPr>
            </w:pPr>
          </w:p>
        </w:tc>
        <w:tc>
          <w:tcPr>
            <w:tcW w:w="1276" w:type="dxa"/>
            <w:vMerge/>
            <w:shd w:val="clear" w:color="auto" w:fill="auto"/>
          </w:tcPr>
          <w:p w14:paraId="4D0BFB16" w14:textId="77777777" w:rsidR="00790A0D" w:rsidRPr="00DD47DF" w:rsidRDefault="00790A0D" w:rsidP="006D2F5F">
            <w:pPr>
              <w:pStyle w:val="Tabulka"/>
              <w:rPr>
                <w:rFonts w:cs="Calibri"/>
              </w:rPr>
            </w:pPr>
          </w:p>
        </w:tc>
        <w:tc>
          <w:tcPr>
            <w:tcW w:w="1843" w:type="dxa"/>
            <w:shd w:val="clear" w:color="auto" w:fill="auto"/>
          </w:tcPr>
          <w:p w14:paraId="5FAC5A39" w14:textId="77777777" w:rsidR="00790A0D" w:rsidRPr="00DD47DF" w:rsidRDefault="00790A0D" w:rsidP="006D2F5F">
            <w:pPr>
              <w:pStyle w:val="Tabulka"/>
              <w:jc w:val="left"/>
              <w:rPr>
                <w:rFonts w:cs="Calibri"/>
              </w:rPr>
            </w:pPr>
            <w:r w:rsidRPr="00DD47DF">
              <w:rPr>
                <w:rFonts w:cs="Calibri"/>
              </w:rPr>
              <w:t>Opatření k zajištění strategického plánování v oblasti energetické účinnosti v souladu s čl. 3 směrnice 2012/27/EU</w:t>
            </w:r>
            <w:r w:rsidRPr="00DD47DF">
              <w:rPr>
                <w:rStyle w:val="Znakapoznpodarou"/>
                <w:rFonts w:cs="Calibri"/>
              </w:rPr>
              <w:footnoteReference w:id="99"/>
            </w:r>
            <w:r w:rsidRPr="00DD47DF">
              <w:rPr>
                <w:rFonts w:cs="Calibri"/>
                <w:vertAlign w:val="superscript"/>
              </w:rPr>
              <w:t xml:space="preserve"> </w:t>
            </w:r>
          </w:p>
        </w:tc>
        <w:tc>
          <w:tcPr>
            <w:tcW w:w="1134" w:type="dxa"/>
            <w:shd w:val="clear" w:color="auto" w:fill="auto"/>
          </w:tcPr>
          <w:p w14:paraId="720E37BD" w14:textId="77777777" w:rsidR="00790A0D" w:rsidRPr="00DD47DF" w:rsidRDefault="00790A0D" w:rsidP="006D2F5F">
            <w:pPr>
              <w:pStyle w:val="Tabulka"/>
              <w:jc w:val="left"/>
              <w:rPr>
                <w:rFonts w:cs="Calibri"/>
              </w:rPr>
            </w:pPr>
            <w:r w:rsidRPr="00DD47DF">
              <w:rPr>
                <w:rFonts w:cs="Calibri"/>
              </w:rPr>
              <w:t>ne</w:t>
            </w:r>
          </w:p>
        </w:tc>
        <w:tc>
          <w:tcPr>
            <w:tcW w:w="2126" w:type="dxa"/>
            <w:shd w:val="clear" w:color="auto" w:fill="auto"/>
          </w:tcPr>
          <w:p w14:paraId="267D313E" w14:textId="77777777" w:rsidR="00790A0D" w:rsidRPr="00DD47DF" w:rsidRDefault="00AF6FE3" w:rsidP="006D2F5F">
            <w:pPr>
              <w:pStyle w:val="Tabulka"/>
              <w:jc w:val="left"/>
              <w:rPr>
                <w:rStyle w:val="Hypertextovodkaz"/>
                <w:rFonts w:cs="Calibri"/>
              </w:rPr>
            </w:pPr>
            <w:hyperlink r:id="rId145" w:history="1">
              <w:r w:rsidR="00790A0D" w:rsidRPr="00DD47DF">
                <w:rPr>
                  <w:rStyle w:val="Hypertextovodkaz"/>
                  <w:rFonts w:cs="Calibri"/>
                </w:rPr>
                <w:t>1. Zpráva o pokroku v oblasti plnění vnitrostátních cílů energetické účinnosti v ČR</w:t>
              </w:r>
            </w:hyperlink>
          </w:p>
          <w:p w14:paraId="2BD6DA70" w14:textId="77777777" w:rsidR="00790A0D" w:rsidRPr="00DD47DF" w:rsidRDefault="00790A0D" w:rsidP="006D2F5F">
            <w:pPr>
              <w:pStyle w:val="Tabulka"/>
              <w:jc w:val="left"/>
              <w:rPr>
                <w:rFonts w:cs="Calibri"/>
              </w:rPr>
            </w:pPr>
          </w:p>
        </w:tc>
        <w:tc>
          <w:tcPr>
            <w:tcW w:w="4394" w:type="dxa"/>
            <w:shd w:val="clear" w:color="auto" w:fill="auto"/>
          </w:tcPr>
          <w:p w14:paraId="6C86B607" w14:textId="77777777" w:rsidR="00790A0D" w:rsidRPr="00DD47DF" w:rsidRDefault="00790A0D" w:rsidP="006D2F5F">
            <w:pPr>
              <w:pStyle w:val="Tabulka"/>
              <w:jc w:val="left"/>
              <w:rPr>
                <w:rFonts w:cs="Calibri"/>
              </w:rPr>
            </w:pPr>
            <w:r w:rsidRPr="00DD47DF">
              <w:rPr>
                <w:rFonts w:cs="Calibri"/>
              </w:rPr>
              <w:t>Zpráva byla zaslána Evropské komisi.</w:t>
            </w:r>
          </w:p>
          <w:p w14:paraId="0702255B" w14:textId="77777777" w:rsidR="00790A0D" w:rsidRPr="00DD47DF" w:rsidRDefault="00790A0D" w:rsidP="001D58DB">
            <w:pPr>
              <w:pStyle w:val="Tabulka"/>
              <w:jc w:val="left"/>
              <w:rPr>
                <w:rFonts w:cs="Calibri"/>
              </w:rPr>
            </w:pPr>
            <w:r w:rsidRPr="00DD47DF">
              <w:rPr>
                <w:rFonts w:cs="Calibri"/>
              </w:rPr>
              <w:t xml:space="preserve">V současné době je s ČR vedeno řízení o porušení Smlouvy o FEU č. 2014/0317. EK vytýká ČR nevčasnou transpozici směrnice 2012/27/EU. Transpoziční lhůta uplynula dne 5. 6. 2014. Dne 22. 7. 2014 obdržela ČR formální upozornění. </w:t>
            </w:r>
            <w:r w:rsidR="00EA0A31" w:rsidRPr="00DD47DF">
              <w:rPr>
                <w:rFonts w:cs="Calibri"/>
              </w:rPr>
              <w:t>O</w:t>
            </w:r>
            <w:r w:rsidRPr="00DD47DF">
              <w:rPr>
                <w:rFonts w:cs="Calibri"/>
              </w:rPr>
              <w:t xml:space="preserve">dpověď ČR na formální upozornění EK </w:t>
            </w:r>
            <w:r w:rsidR="00EA0A31" w:rsidRPr="00DD47DF">
              <w:rPr>
                <w:rFonts w:cs="Calibri"/>
              </w:rPr>
              <w:t>byla odeslána</w:t>
            </w:r>
            <w:r w:rsidRPr="00DD47DF">
              <w:rPr>
                <w:rFonts w:cs="Calibri"/>
              </w:rPr>
              <w:t xml:space="preserve"> 22. září 2014).</w:t>
            </w:r>
          </w:p>
          <w:p w14:paraId="785FBC71" w14:textId="77777777" w:rsidR="00790A0D" w:rsidRPr="00DD47DF" w:rsidRDefault="00790A0D" w:rsidP="006D2F5F">
            <w:pPr>
              <w:pStyle w:val="Tabulka"/>
              <w:jc w:val="left"/>
              <w:rPr>
                <w:rFonts w:cs="Calibri"/>
              </w:rPr>
            </w:pPr>
            <w:r w:rsidRPr="00DD47DF">
              <w:rPr>
                <w:rFonts w:cs="Calibri"/>
              </w:rPr>
              <w:t xml:space="preserve">MPO zpracovalo akční plán </w:t>
            </w:r>
            <w:r w:rsidR="00EA0A31" w:rsidRPr="00DD47DF">
              <w:rPr>
                <w:rFonts w:cs="Calibri"/>
              </w:rPr>
              <w:t xml:space="preserve"> </w:t>
            </w:r>
            <w:r w:rsidRPr="00DD47DF">
              <w:rPr>
                <w:rFonts w:cs="Calibri"/>
              </w:rPr>
              <w:t>k plnění podmínky.</w:t>
            </w:r>
          </w:p>
        </w:tc>
      </w:tr>
      <w:tr w:rsidR="00790A0D" w:rsidRPr="00DD47DF" w14:paraId="6DEBEB94" w14:textId="77777777" w:rsidTr="006D2F5F">
        <w:tc>
          <w:tcPr>
            <w:tcW w:w="1752" w:type="dxa"/>
            <w:vMerge/>
            <w:shd w:val="clear" w:color="auto" w:fill="auto"/>
          </w:tcPr>
          <w:p w14:paraId="5ADA24C5" w14:textId="77777777" w:rsidR="00790A0D" w:rsidRPr="00DD47DF" w:rsidRDefault="00790A0D" w:rsidP="006D2F5F">
            <w:pPr>
              <w:pStyle w:val="Tabulka"/>
              <w:rPr>
                <w:rFonts w:cs="Calibri"/>
                <w:b/>
              </w:rPr>
            </w:pPr>
          </w:p>
        </w:tc>
        <w:tc>
          <w:tcPr>
            <w:tcW w:w="1701" w:type="dxa"/>
            <w:vMerge/>
            <w:shd w:val="clear" w:color="auto" w:fill="auto"/>
          </w:tcPr>
          <w:p w14:paraId="7DC18B01" w14:textId="77777777" w:rsidR="00790A0D" w:rsidRPr="00DD47DF" w:rsidRDefault="00790A0D" w:rsidP="006D2F5F">
            <w:pPr>
              <w:pStyle w:val="Tabulka"/>
              <w:rPr>
                <w:rFonts w:cs="Calibri"/>
              </w:rPr>
            </w:pPr>
          </w:p>
        </w:tc>
        <w:tc>
          <w:tcPr>
            <w:tcW w:w="1276" w:type="dxa"/>
            <w:vMerge/>
            <w:shd w:val="clear" w:color="auto" w:fill="auto"/>
          </w:tcPr>
          <w:p w14:paraId="04FEA5B8" w14:textId="77777777" w:rsidR="00790A0D" w:rsidRPr="00DD47DF" w:rsidRDefault="00790A0D" w:rsidP="006D2F5F">
            <w:pPr>
              <w:pStyle w:val="Tabulka"/>
              <w:rPr>
                <w:rFonts w:cs="Calibri"/>
              </w:rPr>
            </w:pPr>
          </w:p>
        </w:tc>
        <w:tc>
          <w:tcPr>
            <w:tcW w:w="1843" w:type="dxa"/>
            <w:shd w:val="clear" w:color="auto" w:fill="auto"/>
          </w:tcPr>
          <w:p w14:paraId="38283D2A" w14:textId="77777777" w:rsidR="00790A0D" w:rsidRPr="00DD47DF" w:rsidRDefault="00790A0D" w:rsidP="006D2F5F">
            <w:pPr>
              <w:pStyle w:val="Tabulka"/>
              <w:jc w:val="left"/>
              <w:rPr>
                <w:rFonts w:cs="Calibri"/>
              </w:rPr>
            </w:pPr>
            <w:r w:rsidRPr="00DD47DF">
              <w:rPr>
                <w:rFonts w:cs="Calibri"/>
              </w:rPr>
              <w:t>Opatření v souladu s článkem 13 směrnice Evropského parlamentu a Rady 2006/32/ES</w:t>
            </w:r>
            <w:r w:rsidRPr="00DD47DF">
              <w:rPr>
                <w:rStyle w:val="Znakapoznpodarou"/>
                <w:rFonts w:cs="Calibri"/>
              </w:rPr>
              <w:footnoteReference w:id="100"/>
            </w:r>
            <w:r w:rsidRPr="00DD47DF">
              <w:rPr>
                <w:rFonts w:cs="Calibri"/>
              </w:rPr>
              <w:t xml:space="preserve"> zajišťující, aby pokud je to technicky možné, finančně únosné a úměrné potenciálním úsporám energie, byli koneční zákazníci vybaveni individuálními měřiči.</w:t>
            </w:r>
          </w:p>
        </w:tc>
        <w:tc>
          <w:tcPr>
            <w:tcW w:w="1134" w:type="dxa"/>
            <w:shd w:val="clear" w:color="auto" w:fill="auto"/>
          </w:tcPr>
          <w:p w14:paraId="7ABF4C5F" w14:textId="77777777" w:rsidR="00790A0D" w:rsidRPr="00DD47DF" w:rsidRDefault="008B1FD2" w:rsidP="006D2F5F">
            <w:pPr>
              <w:pStyle w:val="Tabulka"/>
              <w:jc w:val="left"/>
              <w:rPr>
                <w:rFonts w:cs="Calibri"/>
              </w:rPr>
            </w:pPr>
            <w:r w:rsidRPr="00DD47DF">
              <w:rPr>
                <w:rFonts w:cs="Calibri"/>
              </w:rPr>
              <w:t>ne</w:t>
            </w:r>
          </w:p>
        </w:tc>
        <w:tc>
          <w:tcPr>
            <w:tcW w:w="2126" w:type="dxa"/>
            <w:shd w:val="clear" w:color="auto" w:fill="auto"/>
          </w:tcPr>
          <w:p w14:paraId="17E1C9BB" w14:textId="77777777" w:rsidR="00790A0D" w:rsidRPr="00DD47DF" w:rsidRDefault="00AF6FE3" w:rsidP="006D2F5F">
            <w:pPr>
              <w:pStyle w:val="Tabulka"/>
              <w:jc w:val="left"/>
              <w:rPr>
                <w:rFonts w:cs="Calibri"/>
              </w:rPr>
            </w:pPr>
            <w:hyperlink r:id="rId146" w:anchor="local-content" w:history="1">
              <w:r w:rsidR="00790A0D" w:rsidRPr="00DD47DF">
                <w:rPr>
                  <w:rStyle w:val="Hypertextovodkaz"/>
                  <w:rFonts w:cs="Calibri"/>
                </w:rPr>
                <w:t>zákon č. 406/2000 Sb. o hospodaření energií</w:t>
              </w:r>
            </w:hyperlink>
            <w:r w:rsidR="00790A0D" w:rsidRPr="00DD47DF">
              <w:rPr>
                <w:rFonts w:cs="Calibri"/>
              </w:rPr>
              <w:t xml:space="preserve"> a </w:t>
            </w:r>
            <w:hyperlink r:id="rId147" w:anchor="local-content" w:history="1">
              <w:r w:rsidR="00790A0D" w:rsidRPr="00DD47DF">
                <w:rPr>
                  <w:rStyle w:val="Hypertextovodkaz"/>
                  <w:rFonts w:cs="Calibri"/>
                </w:rPr>
                <w:t>zákon č. 458/2000 Sb.</w:t>
              </w:r>
            </w:hyperlink>
            <w:r w:rsidR="00790A0D" w:rsidRPr="00DD47DF">
              <w:rPr>
                <w:rFonts w:cs="Calibri"/>
              </w:rPr>
              <w:t xml:space="preserve"> a jeho </w:t>
            </w:r>
            <w:hyperlink r:id="rId148" w:history="1">
              <w:r w:rsidR="00790A0D" w:rsidRPr="00DD47DF">
                <w:rPr>
                  <w:rStyle w:val="Hypertextovodkaz"/>
                  <w:rFonts w:cs="Calibri"/>
                </w:rPr>
                <w:t>prováděcí vyhlášky</w:t>
              </w:r>
            </w:hyperlink>
          </w:p>
        </w:tc>
        <w:tc>
          <w:tcPr>
            <w:tcW w:w="4394" w:type="dxa"/>
            <w:shd w:val="clear" w:color="auto" w:fill="auto"/>
          </w:tcPr>
          <w:p w14:paraId="4C04D018" w14:textId="77777777" w:rsidR="00790A0D" w:rsidRPr="00DD47DF" w:rsidRDefault="00790A0D" w:rsidP="006D2F5F">
            <w:pPr>
              <w:pStyle w:val="Tabulka"/>
              <w:jc w:val="left"/>
              <w:rPr>
                <w:rFonts w:cs="Calibri"/>
              </w:rPr>
            </w:pPr>
            <w:r w:rsidRPr="00DD47DF">
              <w:rPr>
                <w:rFonts w:cs="Calibri"/>
              </w:rPr>
              <w:t>V současné době je s ČR vedeno řízení pro porušení Smlouvy – věcné řízení z důvodu namítané nesprávné transpozice čl. 13 směrnice 2006/32/ES (směrnice o energetické účinnosti u konečného uživatele a o energetických službách), které bylo zahájeno 22.3.2013 (řízení č. 2013/4007). Řízení je ve fázi odůvodněného stanoviska, odpověď ČR na odůvodněné stanovisko byla zaslána EK dne 27.3.2014.</w:t>
            </w:r>
          </w:p>
          <w:p w14:paraId="6FAFF54B" w14:textId="77777777" w:rsidR="00790A0D" w:rsidRPr="00DD47DF" w:rsidRDefault="00790A0D" w:rsidP="006D2F5F">
            <w:pPr>
              <w:pStyle w:val="Tabulka"/>
              <w:jc w:val="left"/>
              <w:rPr>
                <w:rFonts w:cs="Calibri"/>
              </w:rPr>
            </w:pPr>
            <w:r w:rsidRPr="00DD47DF">
              <w:rPr>
                <w:rFonts w:cs="Calibri"/>
              </w:rPr>
              <w:t xml:space="preserve">MPO zpracovalo akční plán </w:t>
            </w:r>
            <w:r w:rsidR="001E0697" w:rsidRPr="00DD47DF">
              <w:rPr>
                <w:rFonts w:cs="Calibri"/>
              </w:rPr>
              <w:t xml:space="preserve"> </w:t>
            </w:r>
            <w:r w:rsidRPr="00DD47DF">
              <w:rPr>
                <w:rFonts w:cs="Calibri"/>
              </w:rPr>
              <w:t xml:space="preserve">k plnění podmínky. </w:t>
            </w:r>
          </w:p>
          <w:p w14:paraId="4C623083" w14:textId="77777777" w:rsidR="00790A0D" w:rsidRPr="00DD47DF" w:rsidRDefault="00790A0D" w:rsidP="006D2F5F">
            <w:pPr>
              <w:pStyle w:val="Tabulka"/>
              <w:jc w:val="left"/>
              <w:rPr>
                <w:rFonts w:cs="Calibri"/>
              </w:rPr>
            </w:pPr>
          </w:p>
        </w:tc>
      </w:tr>
      <w:tr w:rsidR="00790A0D" w:rsidRPr="00DD47DF" w14:paraId="74D7B826" w14:textId="77777777" w:rsidTr="006D2F5F">
        <w:tc>
          <w:tcPr>
            <w:tcW w:w="1752" w:type="dxa"/>
            <w:shd w:val="clear" w:color="auto" w:fill="auto"/>
          </w:tcPr>
          <w:p w14:paraId="0EB96C61" w14:textId="77777777" w:rsidR="00790A0D" w:rsidRPr="00DD47DF" w:rsidRDefault="00790A0D" w:rsidP="006D2F5F">
            <w:pPr>
              <w:pStyle w:val="Tabulka"/>
              <w:jc w:val="left"/>
              <w:rPr>
                <w:rFonts w:cs="Calibri"/>
                <w:b/>
              </w:rPr>
            </w:pPr>
            <w:r w:rsidRPr="00DD47DF">
              <w:rPr>
                <w:rFonts w:cs="Calibri"/>
                <w:b/>
              </w:rPr>
              <w:t>4.2. Byla provedena opatření na podporu vysoce účinné kombinované výroby tepla a elektřiny.</w:t>
            </w:r>
          </w:p>
        </w:tc>
        <w:tc>
          <w:tcPr>
            <w:tcW w:w="1701" w:type="dxa"/>
            <w:shd w:val="clear" w:color="auto" w:fill="auto"/>
          </w:tcPr>
          <w:p w14:paraId="7A7F7005" w14:textId="77777777" w:rsidR="00790A0D" w:rsidRPr="00DD47DF" w:rsidRDefault="00790A0D" w:rsidP="006D2F5F">
            <w:pPr>
              <w:pStyle w:val="Tabulka"/>
              <w:jc w:val="left"/>
              <w:rPr>
                <w:rFonts w:cs="Calibri"/>
              </w:rPr>
            </w:pPr>
            <w:r w:rsidRPr="00DD47DF">
              <w:rPr>
                <w:rFonts w:cs="Calibri"/>
              </w:rPr>
              <w:t xml:space="preserve">PO 3 - Účinné nakládání energií, rozvoj energetické infrastruktury a obnovitelných zdrojů energie, podpora zavádění nových technologií v oblasti nakládání </w:t>
            </w:r>
            <w:r w:rsidRPr="00DD47DF">
              <w:rPr>
                <w:rFonts w:cs="Calibri"/>
              </w:rPr>
              <w:lastRenderedPageBreak/>
              <w:t>energií a druhotných surovin</w:t>
            </w:r>
          </w:p>
        </w:tc>
        <w:tc>
          <w:tcPr>
            <w:tcW w:w="1276" w:type="dxa"/>
            <w:shd w:val="clear" w:color="auto" w:fill="auto"/>
          </w:tcPr>
          <w:p w14:paraId="05F96528" w14:textId="77777777" w:rsidR="00790A0D" w:rsidRPr="00DD47DF" w:rsidRDefault="00790A0D" w:rsidP="006D2F5F">
            <w:pPr>
              <w:pStyle w:val="Tabulka"/>
              <w:jc w:val="left"/>
              <w:rPr>
                <w:rFonts w:cs="Calibri"/>
              </w:rPr>
            </w:pPr>
            <w:r w:rsidRPr="00DD47DF">
              <w:rPr>
                <w:rFonts w:cs="Calibri"/>
              </w:rPr>
              <w:lastRenderedPageBreak/>
              <w:t>Ano</w:t>
            </w:r>
          </w:p>
        </w:tc>
        <w:tc>
          <w:tcPr>
            <w:tcW w:w="1843" w:type="dxa"/>
            <w:shd w:val="clear" w:color="auto" w:fill="auto"/>
          </w:tcPr>
          <w:p w14:paraId="4BAA7464" w14:textId="77777777" w:rsidR="00790A0D" w:rsidRPr="00DD47DF" w:rsidRDefault="00790A0D" w:rsidP="006D2F5F">
            <w:pPr>
              <w:pStyle w:val="Tabulka"/>
              <w:jc w:val="left"/>
              <w:rPr>
                <w:rFonts w:cs="Calibri"/>
              </w:rPr>
            </w:pPr>
            <w:r w:rsidRPr="00DD47DF">
              <w:rPr>
                <w:rFonts w:cs="Calibri"/>
              </w:rPr>
              <w:t>Těmito opatřeními jsou:</w:t>
            </w:r>
          </w:p>
          <w:p w14:paraId="653FF765" w14:textId="77777777" w:rsidR="00790A0D" w:rsidRPr="00DD47DF" w:rsidRDefault="00790A0D" w:rsidP="006D2F5F">
            <w:pPr>
              <w:pStyle w:val="Tabulka"/>
              <w:jc w:val="left"/>
              <w:rPr>
                <w:rFonts w:cs="Calibri"/>
              </w:rPr>
            </w:pPr>
            <w:r w:rsidRPr="00DD47DF">
              <w:rPr>
                <w:rFonts w:cs="Calibri"/>
              </w:rPr>
              <w:t xml:space="preserve">Podpora kombinované výroby tepla a elektřiny je založena na poptávce po užitečném teple a úsporách primární energie v souladu s </w:t>
            </w:r>
            <w:r w:rsidRPr="00DD47DF">
              <w:rPr>
                <w:rFonts w:cs="Calibri"/>
              </w:rPr>
              <w:lastRenderedPageBreak/>
              <w:t>čl. 7 odst. 1 a čl. 9 odst. 1 písm. a) a b) směrnice 2004/8/ES, členské státy nebo jejich příslušné subjekty posoudily stávající právní a regulační rámec pro postupy schvalování nebo jiné postupy s cílem:</w:t>
            </w:r>
            <w:r w:rsidRPr="00DD47DF">
              <w:rPr>
                <w:rFonts w:cs="Calibri"/>
              </w:rPr>
              <w:br/>
              <w:t>a) podpořit navrhování jednotek pro kombinovanou výrobu tepla a elektřiny s cílem přizpůsobit se z hospodářského hlediska výstupu opodstatněné poptávky po užitečném teple a zabránit výrobě většího množství tepla než je užitečné teplo;</w:t>
            </w:r>
            <w:r w:rsidRPr="00DD47DF">
              <w:rPr>
                <w:rFonts w:cs="Calibri"/>
              </w:rPr>
              <w:br/>
              <w:t xml:space="preserve">b) omezit právní a jiné překážky pro zvýšení kombinované výroby tepla a </w:t>
            </w:r>
            <w:r w:rsidRPr="00DD47DF">
              <w:rPr>
                <w:rFonts w:cs="Calibri"/>
              </w:rPr>
              <w:lastRenderedPageBreak/>
              <w:t>elektřiny.</w:t>
            </w:r>
          </w:p>
        </w:tc>
        <w:tc>
          <w:tcPr>
            <w:tcW w:w="1134" w:type="dxa"/>
            <w:shd w:val="clear" w:color="auto" w:fill="auto"/>
          </w:tcPr>
          <w:p w14:paraId="6202BA14" w14:textId="77777777" w:rsidR="00790A0D" w:rsidRPr="00DD47DF" w:rsidRDefault="00790A0D" w:rsidP="006D2F5F">
            <w:pPr>
              <w:pStyle w:val="Tabulka"/>
              <w:jc w:val="left"/>
              <w:rPr>
                <w:rFonts w:cs="Calibri"/>
              </w:rPr>
            </w:pPr>
            <w:r w:rsidRPr="00DD47DF">
              <w:rPr>
                <w:rFonts w:cs="Calibri"/>
              </w:rPr>
              <w:lastRenderedPageBreak/>
              <w:t>ano</w:t>
            </w:r>
          </w:p>
        </w:tc>
        <w:tc>
          <w:tcPr>
            <w:tcW w:w="2126" w:type="dxa"/>
            <w:shd w:val="clear" w:color="auto" w:fill="auto"/>
          </w:tcPr>
          <w:p w14:paraId="1DA969AF" w14:textId="77777777" w:rsidR="00790A0D" w:rsidRPr="00DD47DF" w:rsidRDefault="00AF6FE3" w:rsidP="006D2F5F">
            <w:pPr>
              <w:pStyle w:val="Tabulka"/>
              <w:jc w:val="left"/>
              <w:rPr>
                <w:rFonts w:cs="Calibri"/>
              </w:rPr>
            </w:pPr>
            <w:hyperlink r:id="rId149" w:anchor="local-content" w:history="1">
              <w:r w:rsidR="00790A0D" w:rsidRPr="00DD47DF">
                <w:rPr>
                  <w:rStyle w:val="Hypertextovodkaz"/>
                  <w:rFonts w:cs="Calibri"/>
                </w:rPr>
                <w:t>zákon č. 406/2000 Sb. o hospodaření energií</w:t>
              </w:r>
            </w:hyperlink>
            <w:r w:rsidR="00790A0D" w:rsidRPr="00DD47DF">
              <w:rPr>
                <w:rFonts w:cs="Calibri"/>
              </w:rPr>
              <w:t xml:space="preserve"> a </w:t>
            </w:r>
            <w:hyperlink r:id="rId150" w:anchor="local-content" w:history="1">
              <w:r w:rsidR="00790A0D" w:rsidRPr="00DD47DF">
                <w:rPr>
                  <w:rStyle w:val="Hypertextovodkaz"/>
                  <w:rFonts w:cs="Calibri"/>
                </w:rPr>
                <w:t>zákon č. 458/2000 Sb.</w:t>
              </w:r>
            </w:hyperlink>
            <w:r w:rsidR="00790A0D" w:rsidRPr="00DD47DF">
              <w:rPr>
                <w:rFonts w:cs="Calibri"/>
              </w:rPr>
              <w:t xml:space="preserve"> a jeho </w:t>
            </w:r>
            <w:hyperlink r:id="rId151" w:history="1">
              <w:r w:rsidR="00790A0D" w:rsidRPr="00DD47DF">
                <w:rPr>
                  <w:rStyle w:val="Hypertextovodkaz"/>
                  <w:rFonts w:cs="Calibri"/>
                </w:rPr>
                <w:t>prováděcí vyhlášky</w:t>
              </w:r>
            </w:hyperlink>
          </w:p>
        </w:tc>
        <w:tc>
          <w:tcPr>
            <w:tcW w:w="4394" w:type="dxa"/>
            <w:shd w:val="clear" w:color="auto" w:fill="auto"/>
          </w:tcPr>
          <w:p w14:paraId="07481EF1" w14:textId="77777777" w:rsidR="00790A0D" w:rsidRPr="00DD47DF" w:rsidRDefault="00790A0D" w:rsidP="006D2F5F">
            <w:pPr>
              <w:pStyle w:val="Tabulka"/>
              <w:jc w:val="left"/>
              <w:rPr>
                <w:rFonts w:cs="Calibri"/>
              </w:rPr>
            </w:pPr>
          </w:p>
        </w:tc>
      </w:tr>
      <w:tr w:rsidR="00790A0D" w:rsidRPr="00DD47DF" w14:paraId="2F243B55" w14:textId="77777777" w:rsidTr="006D2F5F">
        <w:tc>
          <w:tcPr>
            <w:tcW w:w="1752" w:type="dxa"/>
            <w:vMerge w:val="restart"/>
            <w:shd w:val="clear" w:color="auto" w:fill="auto"/>
          </w:tcPr>
          <w:p w14:paraId="12C07747" w14:textId="77777777" w:rsidR="00790A0D" w:rsidRPr="00DD47DF" w:rsidRDefault="00790A0D" w:rsidP="006D2F5F">
            <w:pPr>
              <w:pStyle w:val="Tabulka"/>
              <w:jc w:val="left"/>
              <w:rPr>
                <w:rFonts w:cs="Calibri"/>
                <w:b/>
              </w:rPr>
            </w:pPr>
            <w:r w:rsidRPr="00DD47DF">
              <w:rPr>
                <w:rFonts w:cs="Calibri"/>
                <w:b/>
              </w:rPr>
              <w:lastRenderedPageBreak/>
              <w:t>4.3. Byla provedena opatření na podporu výroby a distribuce energie z obnovitelných zdrojů</w:t>
            </w:r>
            <w:r w:rsidRPr="00DD47DF">
              <w:rPr>
                <w:rStyle w:val="Znakapoznpodarou"/>
                <w:rFonts w:cs="Calibri"/>
              </w:rPr>
              <w:footnoteReference w:id="101"/>
            </w:r>
            <w:r w:rsidRPr="00DD47DF">
              <w:rPr>
                <w:rFonts w:cs="Calibri"/>
                <w:b/>
              </w:rPr>
              <w:t>.</w:t>
            </w:r>
          </w:p>
          <w:p w14:paraId="7CACA0CD" w14:textId="77777777" w:rsidR="00790A0D" w:rsidRPr="00DD47DF" w:rsidRDefault="00790A0D" w:rsidP="006D2F5F">
            <w:pPr>
              <w:pStyle w:val="Tabulka"/>
              <w:jc w:val="left"/>
              <w:rPr>
                <w:rFonts w:cs="Calibri"/>
                <w:b/>
              </w:rPr>
            </w:pPr>
          </w:p>
        </w:tc>
        <w:tc>
          <w:tcPr>
            <w:tcW w:w="1701" w:type="dxa"/>
            <w:vMerge w:val="restart"/>
            <w:shd w:val="clear" w:color="auto" w:fill="auto"/>
          </w:tcPr>
          <w:p w14:paraId="05A1D9A7" w14:textId="77777777" w:rsidR="00790A0D" w:rsidRPr="00DD47DF" w:rsidRDefault="00790A0D" w:rsidP="006D2F5F">
            <w:pPr>
              <w:pStyle w:val="Tabulka"/>
              <w:jc w:val="left"/>
              <w:rPr>
                <w:rFonts w:cs="Calibri"/>
              </w:rPr>
            </w:pPr>
            <w:r w:rsidRPr="00DD47DF">
              <w:rPr>
                <w:rFonts w:cs="Calibri"/>
              </w:rPr>
              <w:t>PO 3 - Účinné nakládání energií, rozvoj energetické infrastruktury a obnovitelných zdrojů energie, podpora zavádění nových technologií v oblasti nakládání energií a druhotných surovin</w:t>
            </w:r>
          </w:p>
          <w:p w14:paraId="2D2794D7" w14:textId="77777777" w:rsidR="00790A0D" w:rsidRPr="00DD47DF" w:rsidRDefault="00790A0D" w:rsidP="006D2F5F">
            <w:pPr>
              <w:pStyle w:val="Tabulka"/>
              <w:jc w:val="left"/>
              <w:rPr>
                <w:rFonts w:cs="Calibri"/>
              </w:rPr>
            </w:pPr>
            <w:r w:rsidRPr="00DD47DF">
              <w:rPr>
                <w:rFonts w:cs="Calibri"/>
              </w:rPr>
              <w:t> </w:t>
            </w:r>
          </w:p>
        </w:tc>
        <w:tc>
          <w:tcPr>
            <w:tcW w:w="1276" w:type="dxa"/>
            <w:vMerge w:val="restart"/>
            <w:shd w:val="clear" w:color="auto" w:fill="auto"/>
          </w:tcPr>
          <w:p w14:paraId="6285C648" w14:textId="77777777" w:rsidR="00790A0D" w:rsidRPr="00DD47DF" w:rsidRDefault="00790A0D" w:rsidP="006D2F5F">
            <w:pPr>
              <w:pStyle w:val="Tabulka"/>
              <w:jc w:val="left"/>
              <w:rPr>
                <w:rFonts w:cs="Calibri"/>
              </w:rPr>
            </w:pPr>
            <w:r w:rsidRPr="00DD47DF">
              <w:rPr>
                <w:rFonts w:cs="Calibri"/>
              </w:rPr>
              <w:t>Ano</w:t>
            </w:r>
          </w:p>
          <w:p w14:paraId="4114B19E" w14:textId="77777777" w:rsidR="00790A0D" w:rsidRPr="00DD47DF" w:rsidRDefault="00790A0D" w:rsidP="006D2F5F">
            <w:pPr>
              <w:pStyle w:val="Tabulka"/>
              <w:jc w:val="left"/>
              <w:rPr>
                <w:rFonts w:cs="Calibri"/>
              </w:rPr>
            </w:pPr>
          </w:p>
        </w:tc>
        <w:tc>
          <w:tcPr>
            <w:tcW w:w="1843" w:type="dxa"/>
            <w:shd w:val="clear" w:color="auto" w:fill="auto"/>
          </w:tcPr>
          <w:p w14:paraId="51EEBEBB" w14:textId="77777777" w:rsidR="00790A0D" w:rsidRPr="00DD47DF" w:rsidRDefault="00790A0D" w:rsidP="006D2F5F">
            <w:pPr>
              <w:pStyle w:val="Tabulka"/>
              <w:jc w:val="left"/>
              <w:rPr>
                <w:rFonts w:cs="Calibri"/>
              </w:rPr>
            </w:pPr>
            <w:r w:rsidRPr="00DD47DF">
              <w:rPr>
                <w:rFonts w:cs="Calibri"/>
              </w:rPr>
              <w:t>V souladu s čl. 14 odst. 1, čl. 16 odst. 2 a 3 směrnice Evropského parlamentu a a Rady 2009/28/ES jsou k dispozici transparentní režimy podpory, přednostní přístup k distribuční soustavě či zaručený přístup a přednost při spouštění zařízení, jakož i jednotná pravidla pro hrazení a sdílení nákladů na technické úpravy, jež byla zveřejněna.</w:t>
            </w:r>
          </w:p>
        </w:tc>
        <w:tc>
          <w:tcPr>
            <w:tcW w:w="1134" w:type="dxa"/>
            <w:shd w:val="clear" w:color="auto" w:fill="auto"/>
          </w:tcPr>
          <w:p w14:paraId="4F17FEF3"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669C8325" w14:textId="77777777" w:rsidR="00790A0D" w:rsidRPr="00DD47DF" w:rsidRDefault="00AF6FE3" w:rsidP="006D2F5F">
            <w:pPr>
              <w:pStyle w:val="Tabulka"/>
              <w:jc w:val="left"/>
              <w:rPr>
                <w:rFonts w:cs="Calibri"/>
              </w:rPr>
            </w:pPr>
            <w:hyperlink r:id="rId152" w:anchor="local-content" w:history="1">
              <w:r w:rsidR="00790A0D" w:rsidRPr="00DD47DF">
                <w:rPr>
                  <w:rStyle w:val="Hypertextovodkaz"/>
                  <w:rFonts w:cs="Calibri"/>
                </w:rPr>
                <w:t>zákon č. 165/2012 Sb., o podporovaných zdrojích energie</w:t>
              </w:r>
            </w:hyperlink>
            <w:r w:rsidR="00790A0D" w:rsidRPr="00DD47DF">
              <w:rPr>
                <w:rFonts w:cs="Calibri"/>
              </w:rPr>
              <w:t xml:space="preserve"> a </w:t>
            </w:r>
            <w:hyperlink r:id="rId153" w:history="1">
              <w:r w:rsidR="00790A0D" w:rsidRPr="00DD47DF">
                <w:rPr>
                  <w:rStyle w:val="Hypertextovodkaz"/>
                  <w:rFonts w:cs="Calibri"/>
                </w:rPr>
                <w:t>prováděcí právní předpisy</w:t>
              </w:r>
            </w:hyperlink>
          </w:p>
          <w:p w14:paraId="1D601E9A" w14:textId="77777777" w:rsidR="00790A0D" w:rsidRPr="00DD47DF" w:rsidRDefault="00790A0D" w:rsidP="006D2F5F">
            <w:pPr>
              <w:pStyle w:val="Tabulka"/>
              <w:jc w:val="left"/>
              <w:rPr>
                <w:rFonts w:cs="Calibri"/>
              </w:rPr>
            </w:pPr>
          </w:p>
        </w:tc>
        <w:tc>
          <w:tcPr>
            <w:tcW w:w="4394" w:type="dxa"/>
            <w:shd w:val="clear" w:color="auto" w:fill="auto"/>
          </w:tcPr>
          <w:p w14:paraId="0B82AC9A" w14:textId="77777777" w:rsidR="00790A0D" w:rsidRPr="00DD47DF" w:rsidRDefault="00790A0D" w:rsidP="006D2F5F">
            <w:pPr>
              <w:pStyle w:val="Tabulka"/>
              <w:jc w:val="left"/>
              <w:rPr>
                <w:rFonts w:cs="Calibri"/>
              </w:rPr>
            </w:pPr>
          </w:p>
        </w:tc>
      </w:tr>
      <w:tr w:rsidR="00790A0D" w:rsidRPr="00DD47DF" w14:paraId="5E9B8781" w14:textId="77777777" w:rsidTr="006D2F5F">
        <w:tc>
          <w:tcPr>
            <w:tcW w:w="1752" w:type="dxa"/>
            <w:vMerge/>
            <w:shd w:val="clear" w:color="auto" w:fill="auto"/>
          </w:tcPr>
          <w:p w14:paraId="1C04E5E0" w14:textId="77777777" w:rsidR="00790A0D" w:rsidRPr="00DD47DF" w:rsidRDefault="00790A0D" w:rsidP="006D2F5F">
            <w:pPr>
              <w:pStyle w:val="Tabulka"/>
              <w:rPr>
                <w:rFonts w:cs="Calibri"/>
                <w:b/>
              </w:rPr>
            </w:pPr>
          </w:p>
        </w:tc>
        <w:tc>
          <w:tcPr>
            <w:tcW w:w="1701" w:type="dxa"/>
            <w:vMerge/>
            <w:shd w:val="clear" w:color="auto" w:fill="auto"/>
          </w:tcPr>
          <w:p w14:paraId="02F38C7C" w14:textId="77777777" w:rsidR="00790A0D" w:rsidRPr="00DD47DF" w:rsidRDefault="00790A0D" w:rsidP="006D2F5F">
            <w:pPr>
              <w:pStyle w:val="Tabulka"/>
              <w:rPr>
                <w:rFonts w:cs="Calibri"/>
              </w:rPr>
            </w:pPr>
          </w:p>
        </w:tc>
        <w:tc>
          <w:tcPr>
            <w:tcW w:w="1276" w:type="dxa"/>
            <w:vMerge/>
            <w:shd w:val="clear" w:color="auto" w:fill="auto"/>
          </w:tcPr>
          <w:p w14:paraId="546116CF" w14:textId="77777777" w:rsidR="00790A0D" w:rsidRPr="00DD47DF" w:rsidRDefault="00790A0D" w:rsidP="006D2F5F">
            <w:pPr>
              <w:pStyle w:val="Tabulka"/>
              <w:rPr>
                <w:rFonts w:cs="Calibri"/>
              </w:rPr>
            </w:pPr>
          </w:p>
        </w:tc>
        <w:tc>
          <w:tcPr>
            <w:tcW w:w="1843" w:type="dxa"/>
            <w:shd w:val="clear" w:color="auto" w:fill="auto"/>
          </w:tcPr>
          <w:p w14:paraId="2BB4F206" w14:textId="77777777" w:rsidR="00790A0D" w:rsidRPr="00DD47DF" w:rsidRDefault="00790A0D" w:rsidP="006D2F5F">
            <w:pPr>
              <w:pStyle w:val="Tabulka"/>
              <w:jc w:val="left"/>
              <w:rPr>
                <w:rFonts w:cs="Calibri"/>
              </w:rPr>
            </w:pPr>
            <w:r w:rsidRPr="00DD47DF">
              <w:rPr>
                <w:rFonts w:cs="Calibri"/>
              </w:rPr>
              <w:t xml:space="preserve">Členský stát přijal národní akční plán pro energii z obnovitelných zdrojů shodně s </w:t>
            </w:r>
            <w:r w:rsidRPr="00DD47DF">
              <w:rPr>
                <w:rFonts w:cs="Calibri"/>
              </w:rPr>
              <w:lastRenderedPageBreak/>
              <w:t>článkem 4 směrnice 2009/28/ES.</w:t>
            </w:r>
          </w:p>
        </w:tc>
        <w:tc>
          <w:tcPr>
            <w:tcW w:w="1134" w:type="dxa"/>
            <w:shd w:val="clear" w:color="auto" w:fill="auto"/>
          </w:tcPr>
          <w:p w14:paraId="57B58D18" w14:textId="77777777" w:rsidR="00790A0D" w:rsidRPr="00DD47DF" w:rsidRDefault="00790A0D" w:rsidP="006D2F5F">
            <w:pPr>
              <w:pStyle w:val="Tabulka"/>
              <w:jc w:val="left"/>
              <w:rPr>
                <w:rFonts w:cs="Calibri"/>
              </w:rPr>
            </w:pPr>
            <w:r w:rsidRPr="00DD47DF">
              <w:rPr>
                <w:rFonts w:cs="Calibri"/>
              </w:rPr>
              <w:lastRenderedPageBreak/>
              <w:t xml:space="preserve"> ano</w:t>
            </w:r>
          </w:p>
        </w:tc>
        <w:tc>
          <w:tcPr>
            <w:tcW w:w="2126" w:type="dxa"/>
            <w:shd w:val="clear" w:color="auto" w:fill="auto"/>
          </w:tcPr>
          <w:p w14:paraId="6AF2C568" w14:textId="77777777" w:rsidR="00790A0D" w:rsidRPr="00DD47DF" w:rsidRDefault="00AF6FE3" w:rsidP="006D2F5F">
            <w:pPr>
              <w:pStyle w:val="Tabulka"/>
              <w:jc w:val="left"/>
              <w:rPr>
                <w:rFonts w:cs="Calibri"/>
              </w:rPr>
            </w:pPr>
            <w:hyperlink r:id="rId154" w:history="1">
              <w:r w:rsidR="00790A0D" w:rsidRPr="00DD47DF">
                <w:rPr>
                  <w:rStyle w:val="Hypertextovodkaz"/>
                  <w:rFonts w:cs="Calibri"/>
                </w:rPr>
                <w:t>Národní akční plán ČR pro energii z obnovitelných zdrojů 2010-2020</w:t>
              </w:r>
            </w:hyperlink>
          </w:p>
        </w:tc>
        <w:tc>
          <w:tcPr>
            <w:tcW w:w="4394" w:type="dxa"/>
            <w:shd w:val="clear" w:color="auto" w:fill="auto"/>
          </w:tcPr>
          <w:p w14:paraId="7E8C1200" w14:textId="77777777" w:rsidR="00790A0D" w:rsidRPr="00DD47DF" w:rsidRDefault="00790A0D" w:rsidP="006D2F5F">
            <w:pPr>
              <w:pStyle w:val="Tabulka"/>
              <w:jc w:val="left"/>
              <w:rPr>
                <w:rFonts w:cs="Calibri"/>
              </w:rPr>
            </w:pPr>
          </w:p>
        </w:tc>
      </w:tr>
      <w:tr w:rsidR="00790A0D" w:rsidRPr="00DD47DF" w14:paraId="458DE1D5" w14:textId="77777777" w:rsidTr="006D2F5F">
        <w:tc>
          <w:tcPr>
            <w:tcW w:w="1752" w:type="dxa"/>
            <w:vMerge w:val="restart"/>
            <w:shd w:val="clear" w:color="auto" w:fill="auto"/>
          </w:tcPr>
          <w:p w14:paraId="0FAA434C" w14:textId="77777777" w:rsidR="00790A0D" w:rsidRPr="00DD47DF" w:rsidRDefault="00790A0D" w:rsidP="006D2F5F">
            <w:pPr>
              <w:pStyle w:val="Tabulka"/>
              <w:jc w:val="left"/>
              <w:rPr>
                <w:rFonts w:cs="Calibri"/>
                <w:b/>
              </w:rPr>
            </w:pPr>
            <w:r w:rsidRPr="00DD47DF">
              <w:rPr>
                <w:rFonts w:cs="Calibri"/>
                <w:b/>
              </w:rPr>
              <w:t>7.4 Rozvoj systémů inteligentní pro distribuci, skladování a přenos energie.</w:t>
            </w:r>
          </w:p>
          <w:p w14:paraId="11E46F83" w14:textId="77777777" w:rsidR="00790A0D" w:rsidRPr="00DD47DF" w:rsidRDefault="00790A0D" w:rsidP="006D2F5F">
            <w:pPr>
              <w:pStyle w:val="Tabulka"/>
              <w:jc w:val="left"/>
              <w:rPr>
                <w:rFonts w:cs="Calibri"/>
                <w:b/>
              </w:rPr>
            </w:pPr>
            <w:r w:rsidRPr="00DD47DF">
              <w:rPr>
                <w:rFonts w:cs="Calibri"/>
                <w:b/>
              </w:rPr>
              <w:t>Existence komplexních plánů pro investice do inteligentní energetické infrastruktury a regulačních opatření, která přispívají ke zlepšení energetické účinnosti a zabezpečení dodávek.</w:t>
            </w:r>
          </w:p>
          <w:p w14:paraId="0396B136" w14:textId="77777777" w:rsidR="00790A0D" w:rsidRPr="00DD47DF" w:rsidRDefault="00790A0D" w:rsidP="006D2F5F">
            <w:pPr>
              <w:pStyle w:val="Tabulka"/>
              <w:jc w:val="left"/>
              <w:rPr>
                <w:rFonts w:cs="Calibri"/>
                <w:b/>
              </w:rPr>
            </w:pPr>
          </w:p>
        </w:tc>
        <w:tc>
          <w:tcPr>
            <w:tcW w:w="1701" w:type="dxa"/>
            <w:vMerge w:val="restart"/>
            <w:shd w:val="clear" w:color="auto" w:fill="auto"/>
          </w:tcPr>
          <w:p w14:paraId="47191612" w14:textId="77777777" w:rsidR="00790A0D" w:rsidRPr="00DD47DF" w:rsidRDefault="00790A0D" w:rsidP="006D2F5F">
            <w:pPr>
              <w:pStyle w:val="Tabulka"/>
              <w:jc w:val="left"/>
              <w:rPr>
                <w:rFonts w:cs="Calibri"/>
              </w:rPr>
            </w:pPr>
            <w:r w:rsidRPr="00DD47DF">
              <w:rPr>
                <w:rFonts w:cs="Calibri"/>
              </w:rPr>
              <w:t>PO 3 – Účinné nakládání energií, rozvoj energetické infrastruktury a obnovitelných zdrojů energie, podpora zavádění nových technologií v oblasti nakládání energií a druhotných surovin</w:t>
            </w:r>
          </w:p>
        </w:tc>
        <w:tc>
          <w:tcPr>
            <w:tcW w:w="1276" w:type="dxa"/>
            <w:vMerge w:val="restart"/>
            <w:shd w:val="clear" w:color="auto" w:fill="auto"/>
          </w:tcPr>
          <w:p w14:paraId="287085E2" w14:textId="77777777" w:rsidR="00790A0D" w:rsidRPr="00DD47DF" w:rsidRDefault="00790A0D" w:rsidP="006D2F5F">
            <w:pPr>
              <w:pStyle w:val="Tabulka"/>
              <w:jc w:val="left"/>
              <w:rPr>
                <w:rFonts w:cs="Calibri"/>
              </w:rPr>
            </w:pPr>
            <w:r w:rsidRPr="00DD47DF">
              <w:rPr>
                <w:rFonts w:cs="Calibri"/>
              </w:rPr>
              <w:t>Ano</w:t>
            </w:r>
          </w:p>
          <w:p w14:paraId="7FCD04AB" w14:textId="77777777" w:rsidR="00790A0D" w:rsidRPr="00DD47DF" w:rsidRDefault="00790A0D" w:rsidP="006D2F5F">
            <w:pPr>
              <w:pStyle w:val="Tabulka"/>
              <w:jc w:val="left"/>
              <w:rPr>
                <w:rFonts w:cs="Calibri"/>
              </w:rPr>
            </w:pPr>
          </w:p>
        </w:tc>
        <w:tc>
          <w:tcPr>
            <w:tcW w:w="1843" w:type="dxa"/>
            <w:shd w:val="clear" w:color="auto" w:fill="auto"/>
          </w:tcPr>
          <w:p w14:paraId="7738FE97" w14:textId="77777777" w:rsidR="00790A0D" w:rsidRPr="00DD47DF" w:rsidRDefault="00790A0D" w:rsidP="006D2F5F">
            <w:pPr>
              <w:pStyle w:val="Tabulka"/>
              <w:jc w:val="left"/>
              <w:rPr>
                <w:rFonts w:cs="Calibri"/>
              </w:rPr>
            </w:pPr>
            <w:r w:rsidRPr="00DD47DF">
              <w:rPr>
                <w:rFonts w:cs="Calibri"/>
              </w:rPr>
              <w:t>Jsou zavedeny komplexní plány popisující priority vnitrostátní energetické infrastruktury:</w:t>
            </w:r>
          </w:p>
        </w:tc>
        <w:tc>
          <w:tcPr>
            <w:tcW w:w="1134" w:type="dxa"/>
            <w:shd w:val="clear" w:color="auto" w:fill="auto"/>
          </w:tcPr>
          <w:p w14:paraId="608BEB67" w14:textId="77777777" w:rsidR="00790A0D" w:rsidRPr="00DD47DF" w:rsidRDefault="00790A0D" w:rsidP="006D2F5F">
            <w:pPr>
              <w:pStyle w:val="Tabulka"/>
              <w:jc w:val="left"/>
              <w:rPr>
                <w:rFonts w:cs="Calibri"/>
              </w:rPr>
            </w:pPr>
            <w:r w:rsidRPr="00DD47DF">
              <w:rPr>
                <w:rFonts w:cs="Calibri"/>
              </w:rPr>
              <w:t>ano</w:t>
            </w:r>
          </w:p>
          <w:p w14:paraId="72D2B4B1" w14:textId="77777777" w:rsidR="00790A0D" w:rsidRPr="00DD47DF" w:rsidRDefault="00790A0D" w:rsidP="006D2F5F">
            <w:pPr>
              <w:pStyle w:val="Tabulka"/>
              <w:jc w:val="left"/>
              <w:rPr>
                <w:rFonts w:cs="Calibri"/>
              </w:rPr>
            </w:pPr>
          </w:p>
        </w:tc>
        <w:tc>
          <w:tcPr>
            <w:tcW w:w="2126" w:type="dxa"/>
            <w:shd w:val="clear" w:color="auto" w:fill="auto"/>
          </w:tcPr>
          <w:p w14:paraId="186AE82F" w14:textId="77777777" w:rsidR="00790A0D" w:rsidRPr="00DD47DF" w:rsidRDefault="00790A0D" w:rsidP="006D2F5F">
            <w:pPr>
              <w:pStyle w:val="Tabulka"/>
              <w:jc w:val="left"/>
              <w:rPr>
                <w:rFonts w:cs="Calibri"/>
              </w:rPr>
            </w:pPr>
            <w:r w:rsidRPr="00DD47DF">
              <w:rPr>
                <w:rFonts w:cs="Calibri"/>
              </w:rPr>
              <w:t>Energetický zákon (EZ):</w:t>
            </w:r>
          </w:p>
          <w:p w14:paraId="585A0C8B" w14:textId="77777777" w:rsidR="00790A0D" w:rsidRPr="00DD47DF" w:rsidRDefault="00AF6FE3" w:rsidP="006D2F5F">
            <w:pPr>
              <w:pStyle w:val="Tabulka"/>
              <w:jc w:val="left"/>
              <w:rPr>
                <w:rFonts w:cs="Calibri"/>
              </w:rPr>
            </w:pPr>
            <w:hyperlink r:id="rId155" w:anchor="local-content" w:history="1">
              <w:r w:rsidR="00790A0D" w:rsidRPr="00DD47DF">
                <w:rPr>
                  <w:rStyle w:val="Hypertextovodkaz"/>
                  <w:rFonts w:cs="Calibri"/>
                </w:rPr>
                <w:t>http://portal.gov.cz/app/zakony/zakonPar.jsp?idBiblio=49962&amp;fulltext=&amp;nr=458~2F2000&amp;part=&amp;name=&amp;rpp=15#local-content</w:t>
              </w:r>
            </w:hyperlink>
          </w:p>
        </w:tc>
        <w:tc>
          <w:tcPr>
            <w:tcW w:w="4394" w:type="dxa"/>
            <w:shd w:val="clear" w:color="auto" w:fill="auto"/>
          </w:tcPr>
          <w:p w14:paraId="11A0168D" w14:textId="77777777" w:rsidR="00790A0D" w:rsidRPr="00DD47DF" w:rsidRDefault="00790A0D" w:rsidP="006D2F5F">
            <w:pPr>
              <w:pStyle w:val="Tabulka"/>
              <w:jc w:val="left"/>
              <w:rPr>
                <w:rFonts w:cs="Calibri"/>
              </w:rPr>
            </w:pPr>
            <w:r w:rsidRPr="00DD47DF">
              <w:rPr>
                <w:rFonts w:cs="Calibri"/>
              </w:rPr>
              <w:t>Obecná poznámka: ČR má v případě elektroenergetiky majetkové oddělení provozovatele přenosové soustavy</w:t>
            </w:r>
          </w:p>
        </w:tc>
      </w:tr>
      <w:tr w:rsidR="00790A0D" w:rsidRPr="00DD47DF" w14:paraId="6B66404F" w14:textId="77777777" w:rsidTr="006D2F5F">
        <w:tc>
          <w:tcPr>
            <w:tcW w:w="1752" w:type="dxa"/>
            <w:vMerge/>
            <w:shd w:val="clear" w:color="auto" w:fill="auto"/>
          </w:tcPr>
          <w:p w14:paraId="6F1D9493" w14:textId="77777777" w:rsidR="00790A0D" w:rsidRPr="00DD47DF" w:rsidRDefault="00790A0D" w:rsidP="006D2F5F">
            <w:pPr>
              <w:pStyle w:val="Tabulka"/>
              <w:jc w:val="left"/>
              <w:rPr>
                <w:rFonts w:cs="Calibri"/>
                <w:b/>
              </w:rPr>
            </w:pPr>
          </w:p>
        </w:tc>
        <w:tc>
          <w:tcPr>
            <w:tcW w:w="1701" w:type="dxa"/>
            <w:vMerge/>
            <w:shd w:val="clear" w:color="auto" w:fill="auto"/>
          </w:tcPr>
          <w:p w14:paraId="5CD9B054" w14:textId="77777777" w:rsidR="00790A0D" w:rsidRPr="00DD47DF" w:rsidRDefault="00790A0D" w:rsidP="006D2F5F">
            <w:pPr>
              <w:pStyle w:val="Tabulka"/>
              <w:jc w:val="left"/>
              <w:rPr>
                <w:rFonts w:cs="Calibri"/>
              </w:rPr>
            </w:pPr>
          </w:p>
        </w:tc>
        <w:tc>
          <w:tcPr>
            <w:tcW w:w="1276" w:type="dxa"/>
            <w:vMerge/>
            <w:shd w:val="clear" w:color="auto" w:fill="auto"/>
          </w:tcPr>
          <w:p w14:paraId="264E7A22" w14:textId="77777777" w:rsidR="00790A0D" w:rsidRPr="00DD47DF" w:rsidRDefault="00790A0D" w:rsidP="006D2F5F">
            <w:pPr>
              <w:pStyle w:val="Tabulka"/>
              <w:jc w:val="left"/>
              <w:rPr>
                <w:rFonts w:cs="Calibri"/>
              </w:rPr>
            </w:pPr>
          </w:p>
        </w:tc>
        <w:tc>
          <w:tcPr>
            <w:tcW w:w="1843" w:type="dxa"/>
            <w:shd w:val="clear" w:color="auto" w:fill="auto"/>
          </w:tcPr>
          <w:p w14:paraId="2BB0283E" w14:textId="77777777" w:rsidR="00790A0D" w:rsidRPr="00DD47DF" w:rsidRDefault="00790A0D" w:rsidP="006D2F5F">
            <w:pPr>
              <w:pStyle w:val="Tabulka"/>
              <w:jc w:val="left"/>
              <w:rPr>
                <w:rFonts w:cs="Calibri"/>
              </w:rPr>
            </w:pPr>
            <w:r w:rsidRPr="00DD47DF">
              <w:rPr>
                <w:rFonts w:cs="Calibri"/>
              </w:rPr>
              <w:t>v souladu s článkem 22 směrnice 2009/72/EC a směrnice 2009/73/EC, nebo</w:t>
            </w:r>
          </w:p>
        </w:tc>
        <w:tc>
          <w:tcPr>
            <w:tcW w:w="1134" w:type="dxa"/>
            <w:shd w:val="clear" w:color="auto" w:fill="auto"/>
          </w:tcPr>
          <w:p w14:paraId="2004ADB7"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6E88FB20" w14:textId="77777777" w:rsidR="00790A0D" w:rsidRPr="00DD47DF" w:rsidRDefault="002756E7" w:rsidP="006D2F5F">
            <w:pPr>
              <w:pStyle w:val="Tabulka"/>
              <w:jc w:val="left"/>
              <w:rPr>
                <w:rStyle w:val="Hypertextovodkaz"/>
                <w:rFonts w:cs="Calibri"/>
              </w:rPr>
            </w:pPr>
            <w:r w:rsidRPr="00DD47DF">
              <w:rPr>
                <w:rFonts w:eastAsia="Calibri" w:cs="Calibri"/>
              </w:rPr>
              <w:fldChar w:fldCharType="begin"/>
            </w:r>
            <w:r w:rsidR="00790A0D" w:rsidRPr="00DD47DF">
              <w:rPr>
                <w:rFonts w:cs="Calibri"/>
              </w:rPr>
              <w:instrText xml:space="preserve"> HYPERLINK "http://portal.gov.cz/app/zakony/zakonPar.jsp?idBiblio=49962&amp;fulltext=&amp;nr=458~2F2000&amp;part=&amp;name=&amp;rpp=15" \l "local-content" </w:instrText>
            </w:r>
            <w:r w:rsidRPr="00DD47DF">
              <w:rPr>
                <w:rFonts w:eastAsia="Calibri" w:cs="Calibri"/>
              </w:rPr>
              <w:fldChar w:fldCharType="separate"/>
            </w:r>
            <w:r w:rsidR="00790A0D" w:rsidRPr="00DD47DF">
              <w:rPr>
                <w:rStyle w:val="Hypertextovodkaz"/>
                <w:rFonts w:cs="Calibri"/>
              </w:rPr>
              <w:t>§ 24 odst. 10 písm. j),</w:t>
            </w:r>
          </w:p>
          <w:p w14:paraId="1816FCEE" w14:textId="77777777" w:rsidR="00790A0D" w:rsidRPr="00DD47DF" w:rsidRDefault="00790A0D" w:rsidP="006D2F5F">
            <w:pPr>
              <w:pStyle w:val="Tabulka"/>
              <w:jc w:val="left"/>
              <w:rPr>
                <w:rFonts w:cs="Calibri"/>
              </w:rPr>
            </w:pPr>
            <w:r w:rsidRPr="00DD47DF">
              <w:rPr>
                <w:rStyle w:val="Hypertextovodkaz"/>
                <w:rFonts w:cs="Calibri"/>
              </w:rPr>
              <w:t>A § 58k odst.(3), (5), § 58l zákona č. 458/2000 Sb.</w:t>
            </w:r>
            <w:r w:rsidR="002756E7" w:rsidRPr="00DD47DF">
              <w:rPr>
                <w:rFonts w:cs="Calibri"/>
              </w:rPr>
              <w:fldChar w:fldCharType="end"/>
            </w:r>
          </w:p>
          <w:p w14:paraId="44F1E524" w14:textId="77777777" w:rsidR="00790A0D" w:rsidRPr="00DD47DF" w:rsidRDefault="00790A0D" w:rsidP="006D2F5F">
            <w:pPr>
              <w:pStyle w:val="Tabulka"/>
              <w:jc w:val="left"/>
              <w:rPr>
                <w:rFonts w:cs="Calibri"/>
              </w:rPr>
            </w:pPr>
            <w:r w:rsidRPr="00DD47DF">
              <w:rPr>
                <w:rFonts w:cs="Calibri"/>
              </w:rPr>
              <w:t>ve znění zákona č. 211/2011 Sb. (dále jen EZ)</w:t>
            </w:r>
          </w:p>
        </w:tc>
        <w:tc>
          <w:tcPr>
            <w:tcW w:w="4394" w:type="dxa"/>
            <w:shd w:val="clear" w:color="auto" w:fill="auto"/>
          </w:tcPr>
          <w:p w14:paraId="0EF07624" w14:textId="77777777" w:rsidR="00790A0D" w:rsidRPr="00DD47DF" w:rsidRDefault="00790A0D" w:rsidP="006D2F5F">
            <w:pPr>
              <w:pStyle w:val="Tabulka"/>
              <w:jc w:val="left"/>
              <w:rPr>
                <w:rFonts w:cs="Calibri"/>
              </w:rPr>
            </w:pPr>
            <w:r w:rsidRPr="00DD47DF">
              <w:rPr>
                <w:rFonts w:cs="Calibri"/>
              </w:rPr>
              <w:t>(10) Provozovatel přenosové soustavy je dále povinen</w:t>
            </w:r>
          </w:p>
          <w:p w14:paraId="39F0F14F" w14:textId="77777777" w:rsidR="00790A0D" w:rsidRPr="00DD47DF" w:rsidRDefault="00790A0D" w:rsidP="006D2F5F">
            <w:pPr>
              <w:pStyle w:val="Tabulka"/>
              <w:jc w:val="left"/>
              <w:rPr>
                <w:rFonts w:cs="Calibri"/>
              </w:rPr>
            </w:pPr>
            <w:r w:rsidRPr="00DD47DF">
              <w:rPr>
                <w:rFonts w:cs="Calibri"/>
              </w:rPr>
              <w:t>j) každoročně zpracovávat plán rozvoje přenosové soustavy včetně plánu investičního v rozsahu podle § 58k odst. (3) a po jeho schválení jej zveřejňovat; ustanovení § 58l odst. (5) se použije obdobně,</w:t>
            </w:r>
          </w:p>
        </w:tc>
      </w:tr>
      <w:tr w:rsidR="00790A0D" w:rsidRPr="00DD47DF" w14:paraId="5C0C2F2A" w14:textId="77777777" w:rsidTr="006D2F5F">
        <w:tc>
          <w:tcPr>
            <w:tcW w:w="1752" w:type="dxa"/>
            <w:vMerge/>
            <w:shd w:val="clear" w:color="auto" w:fill="auto"/>
          </w:tcPr>
          <w:p w14:paraId="4CBE0405" w14:textId="77777777" w:rsidR="00790A0D" w:rsidRPr="00DD47DF" w:rsidRDefault="00790A0D" w:rsidP="006D2F5F">
            <w:pPr>
              <w:pStyle w:val="Tabulka"/>
              <w:jc w:val="left"/>
              <w:rPr>
                <w:rFonts w:cs="Calibri"/>
                <w:b/>
              </w:rPr>
            </w:pPr>
          </w:p>
        </w:tc>
        <w:tc>
          <w:tcPr>
            <w:tcW w:w="1701" w:type="dxa"/>
            <w:vMerge/>
            <w:shd w:val="clear" w:color="auto" w:fill="auto"/>
          </w:tcPr>
          <w:p w14:paraId="30AD0E42" w14:textId="77777777" w:rsidR="00790A0D" w:rsidRPr="00DD47DF" w:rsidRDefault="00790A0D" w:rsidP="006D2F5F">
            <w:pPr>
              <w:pStyle w:val="Tabulka"/>
              <w:jc w:val="left"/>
              <w:rPr>
                <w:rFonts w:cs="Calibri"/>
              </w:rPr>
            </w:pPr>
          </w:p>
        </w:tc>
        <w:tc>
          <w:tcPr>
            <w:tcW w:w="1276" w:type="dxa"/>
            <w:vMerge/>
            <w:shd w:val="clear" w:color="auto" w:fill="auto"/>
          </w:tcPr>
          <w:p w14:paraId="7A08B6AA" w14:textId="77777777" w:rsidR="00790A0D" w:rsidRPr="00DD47DF" w:rsidRDefault="00790A0D" w:rsidP="006D2F5F">
            <w:pPr>
              <w:pStyle w:val="Tabulka"/>
              <w:jc w:val="left"/>
              <w:rPr>
                <w:rFonts w:cs="Calibri"/>
              </w:rPr>
            </w:pPr>
          </w:p>
        </w:tc>
        <w:tc>
          <w:tcPr>
            <w:tcW w:w="1843" w:type="dxa"/>
            <w:shd w:val="clear" w:color="auto" w:fill="auto"/>
          </w:tcPr>
          <w:p w14:paraId="3B549CE8" w14:textId="77777777" w:rsidR="00790A0D" w:rsidRPr="00DD47DF" w:rsidRDefault="00790A0D" w:rsidP="006D2F5F">
            <w:pPr>
              <w:pStyle w:val="Tabulka"/>
              <w:jc w:val="left"/>
              <w:rPr>
                <w:rFonts w:cs="Calibri"/>
              </w:rPr>
            </w:pPr>
            <w:r w:rsidRPr="00DD47DF">
              <w:rPr>
                <w:rFonts w:cs="Calibri"/>
              </w:rPr>
              <w:t xml:space="preserve">v souladu s příslušnými regionálními plány investic podle článku 12 a s celounijním desetiletým plánem rozvoje sítí v souladu s písm. čl. 8 odst. 3 písm. b) (3) nařízení Evropského parlamentu a Rady </w:t>
            </w:r>
            <w:r w:rsidRPr="00DD47DF">
              <w:rPr>
                <w:rFonts w:cs="Calibri"/>
              </w:rPr>
              <w:lastRenderedPageBreak/>
              <w:t>(ES) č. 714/2009</w:t>
            </w:r>
            <w:r w:rsidRPr="00DD47DF">
              <w:rPr>
                <w:rStyle w:val="Znakapoznpodarou"/>
                <w:rFonts w:cs="Calibri"/>
              </w:rPr>
              <w:footnoteReference w:id="102"/>
            </w:r>
            <w:r w:rsidRPr="00DD47DF">
              <w:rPr>
                <w:rFonts w:cs="Calibri"/>
              </w:rPr>
              <w:t xml:space="preserve"> a s nařízením Evropského parlamentu a Rady (ES) č. 715/2009</w:t>
            </w:r>
            <w:r w:rsidRPr="00DD47DF">
              <w:rPr>
                <w:rStyle w:val="Znakapoznpodarou"/>
                <w:rFonts w:cs="Calibri"/>
              </w:rPr>
              <w:footnoteReference w:id="103"/>
            </w:r>
            <w:r w:rsidRPr="00DD47DF">
              <w:rPr>
                <w:rFonts w:cs="Calibri"/>
              </w:rPr>
              <w:t xml:space="preserve">, nebo  </w:t>
            </w:r>
          </w:p>
        </w:tc>
        <w:tc>
          <w:tcPr>
            <w:tcW w:w="1134" w:type="dxa"/>
            <w:shd w:val="clear" w:color="auto" w:fill="auto"/>
          </w:tcPr>
          <w:p w14:paraId="38144194" w14:textId="77777777" w:rsidR="00790A0D" w:rsidRPr="00DD47DF" w:rsidRDefault="00790A0D" w:rsidP="006D2F5F">
            <w:pPr>
              <w:pStyle w:val="Tabulka"/>
              <w:jc w:val="left"/>
              <w:rPr>
                <w:rFonts w:cs="Calibri"/>
              </w:rPr>
            </w:pPr>
            <w:r w:rsidRPr="00DD47DF">
              <w:rPr>
                <w:rFonts w:cs="Calibri"/>
              </w:rPr>
              <w:lastRenderedPageBreak/>
              <w:t>ano</w:t>
            </w:r>
          </w:p>
        </w:tc>
        <w:tc>
          <w:tcPr>
            <w:tcW w:w="2126" w:type="dxa"/>
            <w:shd w:val="clear" w:color="auto" w:fill="auto"/>
          </w:tcPr>
          <w:p w14:paraId="7C24A7AC" w14:textId="77777777" w:rsidR="00790A0D" w:rsidRPr="00DD47DF" w:rsidRDefault="00AF6FE3" w:rsidP="006D2F5F">
            <w:pPr>
              <w:pStyle w:val="Tabulka"/>
              <w:jc w:val="left"/>
              <w:rPr>
                <w:rFonts w:cs="Calibri"/>
              </w:rPr>
            </w:pPr>
            <w:hyperlink r:id="rId156" w:anchor="local-content" w:history="1">
              <w:r w:rsidR="00790A0D" w:rsidRPr="00DD47DF">
                <w:rPr>
                  <w:rStyle w:val="Hypertextovodkaz"/>
                  <w:rFonts w:cs="Calibri"/>
                </w:rPr>
                <w:t>§ 58k, zejména odst. (3); § 58l odst. (5) EZ</w:t>
              </w:r>
            </w:hyperlink>
          </w:p>
        </w:tc>
        <w:tc>
          <w:tcPr>
            <w:tcW w:w="4394" w:type="dxa"/>
            <w:shd w:val="clear" w:color="auto" w:fill="auto"/>
          </w:tcPr>
          <w:p w14:paraId="25417AAE" w14:textId="77777777" w:rsidR="00790A0D" w:rsidRPr="00DD47DF" w:rsidRDefault="00790A0D" w:rsidP="006D2F5F">
            <w:pPr>
              <w:pStyle w:val="Tabulka"/>
              <w:jc w:val="left"/>
              <w:rPr>
                <w:rFonts w:cs="Calibri"/>
              </w:rPr>
            </w:pPr>
            <w:r w:rsidRPr="00DD47DF">
              <w:rPr>
                <w:rFonts w:cs="Calibri"/>
              </w:rPr>
              <w:t>ERU posuzuje soulad (konzistentnost) s plánem rozvoje soustavy pro celou EU podle nařízení o podmínkách přístupu</w:t>
            </w:r>
          </w:p>
        </w:tc>
      </w:tr>
      <w:tr w:rsidR="00790A0D" w:rsidRPr="00DD47DF" w14:paraId="78881675" w14:textId="77777777" w:rsidTr="006D2F5F">
        <w:tc>
          <w:tcPr>
            <w:tcW w:w="1752" w:type="dxa"/>
            <w:vMerge/>
            <w:shd w:val="clear" w:color="auto" w:fill="auto"/>
          </w:tcPr>
          <w:p w14:paraId="5A7A42CF" w14:textId="77777777" w:rsidR="00790A0D" w:rsidRPr="00DD47DF" w:rsidRDefault="00790A0D" w:rsidP="006D2F5F">
            <w:pPr>
              <w:pStyle w:val="Tabulka"/>
              <w:jc w:val="left"/>
              <w:rPr>
                <w:rFonts w:cs="Calibri"/>
                <w:b/>
              </w:rPr>
            </w:pPr>
          </w:p>
        </w:tc>
        <w:tc>
          <w:tcPr>
            <w:tcW w:w="1701" w:type="dxa"/>
            <w:vMerge/>
            <w:shd w:val="clear" w:color="auto" w:fill="auto"/>
          </w:tcPr>
          <w:p w14:paraId="1F61F643" w14:textId="77777777" w:rsidR="00790A0D" w:rsidRPr="00DD47DF" w:rsidRDefault="00790A0D" w:rsidP="006D2F5F">
            <w:pPr>
              <w:pStyle w:val="Tabulka"/>
              <w:jc w:val="left"/>
              <w:rPr>
                <w:rFonts w:cs="Calibri"/>
              </w:rPr>
            </w:pPr>
          </w:p>
        </w:tc>
        <w:tc>
          <w:tcPr>
            <w:tcW w:w="1276" w:type="dxa"/>
            <w:vMerge/>
            <w:shd w:val="clear" w:color="auto" w:fill="auto"/>
          </w:tcPr>
          <w:p w14:paraId="0C3133DF" w14:textId="77777777" w:rsidR="00790A0D" w:rsidRPr="00DD47DF" w:rsidRDefault="00790A0D" w:rsidP="006D2F5F">
            <w:pPr>
              <w:pStyle w:val="Tabulka"/>
              <w:jc w:val="left"/>
              <w:rPr>
                <w:rFonts w:cs="Calibri"/>
              </w:rPr>
            </w:pPr>
          </w:p>
        </w:tc>
        <w:tc>
          <w:tcPr>
            <w:tcW w:w="1843" w:type="dxa"/>
            <w:shd w:val="clear" w:color="auto" w:fill="auto"/>
          </w:tcPr>
          <w:p w14:paraId="569FA915" w14:textId="77777777" w:rsidR="00790A0D" w:rsidRPr="00DD47DF" w:rsidRDefault="00790A0D" w:rsidP="006D2F5F">
            <w:pPr>
              <w:pStyle w:val="Tabulka"/>
              <w:jc w:val="left"/>
              <w:rPr>
                <w:rFonts w:cs="Calibri"/>
              </w:rPr>
            </w:pPr>
            <w:r w:rsidRPr="00DD47DF">
              <w:rPr>
                <w:rFonts w:cs="Calibri"/>
              </w:rPr>
              <w:t>v souladu s čl. 3 odst. 4 nařízení Evropského parlamentu a Rady č. 347/2013</w:t>
            </w:r>
            <w:r w:rsidRPr="00DD47DF">
              <w:rPr>
                <w:rStyle w:val="Znakapoznpodarou"/>
                <w:rFonts w:cs="Calibri"/>
              </w:rPr>
              <w:footnoteReference w:id="104"/>
            </w:r>
            <w:r w:rsidRPr="00DD47DF">
              <w:rPr>
                <w:rFonts w:cs="Calibri"/>
              </w:rPr>
              <w:t>;</w:t>
            </w:r>
          </w:p>
        </w:tc>
        <w:tc>
          <w:tcPr>
            <w:tcW w:w="1134" w:type="dxa"/>
            <w:shd w:val="clear" w:color="auto" w:fill="auto"/>
          </w:tcPr>
          <w:p w14:paraId="462677E0"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4CD19FC5" w14:textId="77777777" w:rsidR="00790A0D" w:rsidRPr="00DD47DF" w:rsidRDefault="00AF6FE3" w:rsidP="006D2F5F">
            <w:pPr>
              <w:pStyle w:val="Tabulka"/>
              <w:jc w:val="left"/>
              <w:rPr>
                <w:rFonts w:cs="Calibri"/>
              </w:rPr>
            </w:pPr>
            <w:hyperlink r:id="rId157" w:anchor="local-content" w:history="1">
              <w:r w:rsidR="00790A0D" w:rsidRPr="00DD47DF">
                <w:rPr>
                  <w:rStyle w:val="Hypertextovodkaz"/>
                  <w:rFonts w:cs="Calibri"/>
                </w:rPr>
                <w:t>§ 58k, zejména odst. (3) a (8) EZ</w:t>
              </w:r>
            </w:hyperlink>
          </w:p>
        </w:tc>
        <w:tc>
          <w:tcPr>
            <w:tcW w:w="4394" w:type="dxa"/>
            <w:shd w:val="clear" w:color="auto" w:fill="auto"/>
          </w:tcPr>
          <w:p w14:paraId="20EB28C7" w14:textId="77777777" w:rsidR="00790A0D" w:rsidRPr="00DD47DF" w:rsidRDefault="00790A0D" w:rsidP="006D2F5F">
            <w:pPr>
              <w:pStyle w:val="Tabulka"/>
              <w:jc w:val="left"/>
              <w:rPr>
                <w:rFonts w:cs="Calibri"/>
              </w:rPr>
            </w:pPr>
            <w:r w:rsidRPr="00DD47DF">
              <w:rPr>
                <w:rFonts w:cs="Calibri"/>
              </w:rPr>
              <w:t>Požadavky dle čl. 3.4 Nařízení č. 347/2013 zajišťují TSO a kontroluje ERÚ</w:t>
            </w:r>
          </w:p>
        </w:tc>
      </w:tr>
      <w:tr w:rsidR="00790A0D" w:rsidRPr="00DD47DF" w14:paraId="618E2D16" w14:textId="77777777" w:rsidTr="006D2F5F">
        <w:tc>
          <w:tcPr>
            <w:tcW w:w="1752" w:type="dxa"/>
            <w:vMerge/>
            <w:shd w:val="clear" w:color="auto" w:fill="auto"/>
          </w:tcPr>
          <w:p w14:paraId="17D2813D" w14:textId="77777777" w:rsidR="00790A0D" w:rsidRPr="00DD47DF" w:rsidRDefault="00790A0D" w:rsidP="006D2F5F">
            <w:pPr>
              <w:pStyle w:val="Tabulka"/>
              <w:jc w:val="left"/>
              <w:rPr>
                <w:rFonts w:cs="Calibri"/>
                <w:b/>
              </w:rPr>
            </w:pPr>
          </w:p>
        </w:tc>
        <w:tc>
          <w:tcPr>
            <w:tcW w:w="1701" w:type="dxa"/>
            <w:vMerge/>
            <w:shd w:val="clear" w:color="auto" w:fill="auto"/>
          </w:tcPr>
          <w:p w14:paraId="01B4C905" w14:textId="77777777" w:rsidR="00790A0D" w:rsidRPr="00DD47DF" w:rsidRDefault="00790A0D" w:rsidP="006D2F5F">
            <w:pPr>
              <w:pStyle w:val="Tabulka"/>
              <w:jc w:val="left"/>
              <w:rPr>
                <w:rFonts w:cs="Calibri"/>
              </w:rPr>
            </w:pPr>
          </w:p>
        </w:tc>
        <w:tc>
          <w:tcPr>
            <w:tcW w:w="1276" w:type="dxa"/>
            <w:vMerge/>
            <w:shd w:val="clear" w:color="auto" w:fill="auto"/>
          </w:tcPr>
          <w:p w14:paraId="0F907FB7" w14:textId="77777777" w:rsidR="00790A0D" w:rsidRPr="00DD47DF" w:rsidRDefault="00790A0D" w:rsidP="006D2F5F">
            <w:pPr>
              <w:pStyle w:val="Tabulka"/>
              <w:jc w:val="left"/>
              <w:rPr>
                <w:rFonts w:cs="Calibri"/>
              </w:rPr>
            </w:pPr>
          </w:p>
        </w:tc>
        <w:tc>
          <w:tcPr>
            <w:tcW w:w="1843" w:type="dxa"/>
            <w:shd w:val="clear" w:color="auto" w:fill="auto"/>
          </w:tcPr>
          <w:p w14:paraId="35803A1E" w14:textId="77777777" w:rsidR="00790A0D" w:rsidRPr="00DD47DF" w:rsidRDefault="00790A0D" w:rsidP="006D2F5F">
            <w:pPr>
              <w:pStyle w:val="Tabulka"/>
              <w:jc w:val="left"/>
              <w:rPr>
                <w:rFonts w:cs="Calibri"/>
              </w:rPr>
            </w:pPr>
            <w:r w:rsidRPr="00DD47DF">
              <w:rPr>
                <w:rFonts w:cs="Calibri"/>
              </w:rPr>
              <w:t>Tyto plány obsahují:</w:t>
            </w:r>
          </w:p>
          <w:p w14:paraId="134268F1" w14:textId="77777777" w:rsidR="00790A0D" w:rsidRPr="00DD47DF" w:rsidRDefault="00790A0D" w:rsidP="006D2F5F">
            <w:pPr>
              <w:pStyle w:val="Tabulka"/>
              <w:jc w:val="left"/>
              <w:rPr>
                <w:rFonts w:cs="Calibri"/>
              </w:rPr>
            </w:pPr>
            <w:r w:rsidRPr="00DD47DF">
              <w:rPr>
                <w:rFonts w:cs="Calibri"/>
              </w:rPr>
              <w:t>realistický a vyspělý plán provádění projektů, u nichž se předpokládá podpora z ERDF;</w:t>
            </w:r>
          </w:p>
        </w:tc>
        <w:tc>
          <w:tcPr>
            <w:tcW w:w="1134" w:type="dxa"/>
            <w:shd w:val="clear" w:color="auto" w:fill="auto"/>
          </w:tcPr>
          <w:p w14:paraId="75C0A96F"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7B30F6E4" w14:textId="77777777" w:rsidR="00790A0D" w:rsidRPr="00DD47DF" w:rsidRDefault="00AF6FE3" w:rsidP="006D2F5F">
            <w:pPr>
              <w:pStyle w:val="Tabulka"/>
              <w:jc w:val="left"/>
              <w:rPr>
                <w:rFonts w:cs="Calibri"/>
              </w:rPr>
            </w:pPr>
            <w:hyperlink r:id="rId158" w:anchor="local-content" w:history="1">
              <w:r w:rsidR="00790A0D" w:rsidRPr="00DD47DF">
                <w:rPr>
                  <w:rStyle w:val="Hypertextovodkaz"/>
                  <w:rFonts w:cs="Calibri"/>
                </w:rPr>
                <w:t>§ 58k, zejm. odst. (3) a (9) EZ</w:t>
              </w:r>
            </w:hyperlink>
          </w:p>
        </w:tc>
        <w:tc>
          <w:tcPr>
            <w:tcW w:w="4394" w:type="dxa"/>
            <w:shd w:val="clear" w:color="auto" w:fill="auto"/>
          </w:tcPr>
          <w:p w14:paraId="207C7481" w14:textId="77777777" w:rsidR="00790A0D" w:rsidRPr="00DD47DF" w:rsidRDefault="00790A0D" w:rsidP="006D2F5F">
            <w:pPr>
              <w:pStyle w:val="Tabulka"/>
              <w:jc w:val="left"/>
              <w:rPr>
                <w:rFonts w:cs="Calibri"/>
              </w:rPr>
            </w:pPr>
            <w:r w:rsidRPr="00DD47DF">
              <w:rPr>
                <w:rFonts w:cs="Calibri"/>
              </w:rPr>
              <w:t>Kontrola opodstatněnosti a „zralosti“ plánovaných investic je zajišťována ERÚ</w:t>
            </w:r>
          </w:p>
        </w:tc>
      </w:tr>
      <w:tr w:rsidR="00790A0D" w:rsidRPr="00DD47DF" w14:paraId="31FFB7DB" w14:textId="77777777" w:rsidTr="006D2F5F">
        <w:tc>
          <w:tcPr>
            <w:tcW w:w="1752" w:type="dxa"/>
            <w:vMerge/>
            <w:shd w:val="clear" w:color="auto" w:fill="auto"/>
          </w:tcPr>
          <w:p w14:paraId="266495FC" w14:textId="77777777" w:rsidR="00790A0D" w:rsidRPr="00DD47DF" w:rsidRDefault="00790A0D" w:rsidP="006D2F5F">
            <w:pPr>
              <w:pStyle w:val="Tabulka"/>
              <w:jc w:val="left"/>
              <w:rPr>
                <w:rFonts w:cs="Calibri"/>
                <w:b/>
              </w:rPr>
            </w:pPr>
          </w:p>
        </w:tc>
        <w:tc>
          <w:tcPr>
            <w:tcW w:w="1701" w:type="dxa"/>
            <w:vMerge/>
            <w:shd w:val="clear" w:color="auto" w:fill="auto"/>
          </w:tcPr>
          <w:p w14:paraId="7BDABB16" w14:textId="77777777" w:rsidR="00790A0D" w:rsidRPr="00DD47DF" w:rsidRDefault="00790A0D" w:rsidP="006D2F5F">
            <w:pPr>
              <w:pStyle w:val="Tabulka"/>
              <w:jc w:val="left"/>
              <w:rPr>
                <w:rFonts w:cs="Calibri"/>
              </w:rPr>
            </w:pPr>
          </w:p>
        </w:tc>
        <w:tc>
          <w:tcPr>
            <w:tcW w:w="1276" w:type="dxa"/>
            <w:vMerge/>
            <w:shd w:val="clear" w:color="auto" w:fill="auto"/>
          </w:tcPr>
          <w:p w14:paraId="11483355" w14:textId="77777777" w:rsidR="00790A0D" w:rsidRPr="00DD47DF" w:rsidRDefault="00790A0D" w:rsidP="006D2F5F">
            <w:pPr>
              <w:pStyle w:val="Tabulka"/>
              <w:jc w:val="left"/>
              <w:rPr>
                <w:rFonts w:cs="Calibri"/>
              </w:rPr>
            </w:pPr>
          </w:p>
        </w:tc>
        <w:tc>
          <w:tcPr>
            <w:tcW w:w="1843" w:type="dxa"/>
            <w:shd w:val="clear" w:color="auto" w:fill="auto"/>
          </w:tcPr>
          <w:p w14:paraId="19E5EC91" w14:textId="77777777" w:rsidR="00790A0D" w:rsidRPr="00DD47DF" w:rsidRDefault="00790A0D" w:rsidP="006D2F5F">
            <w:pPr>
              <w:pStyle w:val="Tabulka"/>
              <w:jc w:val="left"/>
              <w:rPr>
                <w:rFonts w:cs="Calibri"/>
              </w:rPr>
            </w:pPr>
            <w:r w:rsidRPr="00DD47DF">
              <w:rPr>
                <w:rFonts w:cs="Calibri"/>
              </w:rPr>
              <w:t xml:space="preserve">opatření pro dosažení cílů v oblasti sociální </w:t>
            </w:r>
            <w:r w:rsidRPr="00DD47DF">
              <w:rPr>
                <w:rFonts w:cs="Calibri"/>
              </w:rPr>
              <w:lastRenderedPageBreak/>
              <w:t>a hospodářské soudržnosti a ochrany životního prostředí v souladu s čl. 3 odst. 10 směrnice 2009/72/ES a čl. 3 odst. 7 směrnice 2009/73/ES;</w:t>
            </w:r>
          </w:p>
        </w:tc>
        <w:tc>
          <w:tcPr>
            <w:tcW w:w="1134" w:type="dxa"/>
            <w:shd w:val="clear" w:color="auto" w:fill="auto"/>
          </w:tcPr>
          <w:p w14:paraId="24B1425B" w14:textId="77777777" w:rsidR="00790A0D" w:rsidRPr="00DD47DF" w:rsidRDefault="00790A0D" w:rsidP="006D2F5F">
            <w:pPr>
              <w:pStyle w:val="Tabulka"/>
              <w:jc w:val="left"/>
              <w:rPr>
                <w:rFonts w:cs="Calibri"/>
              </w:rPr>
            </w:pPr>
            <w:r w:rsidRPr="00DD47DF">
              <w:rPr>
                <w:rFonts w:cs="Calibri"/>
              </w:rPr>
              <w:lastRenderedPageBreak/>
              <w:t>ano</w:t>
            </w:r>
          </w:p>
        </w:tc>
        <w:tc>
          <w:tcPr>
            <w:tcW w:w="2126" w:type="dxa"/>
            <w:shd w:val="clear" w:color="auto" w:fill="auto"/>
          </w:tcPr>
          <w:p w14:paraId="3F4B6211" w14:textId="77777777" w:rsidR="00790A0D" w:rsidRPr="00DD47DF" w:rsidRDefault="00AF6FE3" w:rsidP="006D2F5F">
            <w:pPr>
              <w:pStyle w:val="Tabulka"/>
              <w:jc w:val="left"/>
              <w:rPr>
                <w:rFonts w:cs="Calibri"/>
              </w:rPr>
            </w:pPr>
            <w:hyperlink r:id="rId159" w:anchor="local-content" w:history="1">
              <w:r w:rsidR="00790A0D" w:rsidRPr="00DD47DF">
                <w:rPr>
                  <w:rStyle w:val="Hypertextovodkaz"/>
                  <w:rFonts w:cs="Calibri"/>
                </w:rPr>
                <w:t>§12a EZ</w:t>
              </w:r>
            </w:hyperlink>
          </w:p>
        </w:tc>
        <w:tc>
          <w:tcPr>
            <w:tcW w:w="4394" w:type="dxa"/>
            <w:shd w:val="clear" w:color="auto" w:fill="auto"/>
          </w:tcPr>
          <w:p w14:paraId="49FE0B2E" w14:textId="77777777" w:rsidR="00790A0D" w:rsidRPr="00DD47DF" w:rsidRDefault="00790A0D" w:rsidP="006D2F5F">
            <w:pPr>
              <w:pStyle w:val="Tabulka"/>
              <w:jc w:val="left"/>
              <w:rPr>
                <w:rFonts w:cs="Calibri"/>
              </w:rPr>
            </w:pPr>
          </w:p>
        </w:tc>
      </w:tr>
      <w:tr w:rsidR="00790A0D" w:rsidRPr="00DD47DF" w14:paraId="05B8BDC4" w14:textId="77777777" w:rsidTr="006D2F5F">
        <w:tc>
          <w:tcPr>
            <w:tcW w:w="1752" w:type="dxa"/>
            <w:vMerge/>
            <w:shd w:val="clear" w:color="auto" w:fill="auto"/>
          </w:tcPr>
          <w:p w14:paraId="3A3D25B9" w14:textId="77777777" w:rsidR="00790A0D" w:rsidRPr="00DD47DF" w:rsidRDefault="00790A0D" w:rsidP="006D2F5F">
            <w:pPr>
              <w:pStyle w:val="Tabulka"/>
              <w:jc w:val="left"/>
              <w:rPr>
                <w:rFonts w:cs="Calibri"/>
                <w:b/>
              </w:rPr>
            </w:pPr>
          </w:p>
        </w:tc>
        <w:tc>
          <w:tcPr>
            <w:tcW w:w="1701" w:type="dxa"/>
            <w:vMerge/>
            <w:shd w:val="clear" w:color="auto" w:fill="auto"/>
          </w:tcPr>
          <w:p w14:paraId="56DD09E4" w14:textId="77777777" w:rsidR="00790A0D" w:rsidRPr="00DD47DF" w:rsidRDefault="00790A0D" w:rsidP="006D2F5F">
            <w:pPr>
              <w:pStyle w:val="Tabulka"/>
              <w:jc w:val="left"/>
              <w:rPr>
                <w:rFonts w:cs="Calibri"/>
              </w:rPr>
            </w:pPr>
          </w:p>
        </w:tc>
        <w:tc>
          <w:tcPr>
            <w:tcW w:w="1276" w:type="dxa"/>
            <w:vMerge/>
            <w:shd w:val="clear" w:color="auto" w:fill="auto"/>
          </w:tcPr>
          <w:p w14:paraId="78D147F1" w14:textId="77777777" w:rsidR="00790A0D" w:rsidRPr="00DD47DF" w:rsidRDefault="00790A0D" w:rsidP="006D2F5F">
            <w:pPr>
              <w:pStyle w:val="Tabulka"/>
              <w:jc w:val="left"/>
              <w:rPr>
                <w:rFonts w:cs="Calibri"/>
              </w:rPr>
            </w:pPr>
          </w:p>
        </w:tc>
        <w:tc>
          <w:tcPr>
            <w:tcW w:w="1843" w:type="dxa"/>
            <w:shd w:val="clear" w:color="auto" w:fill="auto"/>
          </w:tcPr>
          <w:p w14:paraId="0FC1D9C5" w14:textId="77777777" w:rsidR="00790A0D" w:rsidRPr="00DD47DF" w:rsidRDefault="00790A0D" w:rsidP="006D2F5F">
            <w:pPr>
              <w:pStyle w:val="Tabulka"/>
              <w:jc w:val="left"/>
              <w:rPr>
                <w:rFonts w:cs="Calibri"/>
              </w:rPr>
            </w:pPr>
            <w:r w:rsidRPr="00DD47DF">
              <w:rPr>
                <w:rFonts w:cs="Calibri"/>
              </w:rPr>
              <w:t>opatření pro optimalizaci využití energie a podporu energetické účinnosti v souladu s čl. 3 odst.11 směrnice 2009/72/ES a čl. 3 odst. 8 směrnice 2009/73/ES.</w:t>
            </w:r>
          </w:p>
        </w:tc>
        <w:tc>
          <w:tcPr>
            <w:tcW w:w="1134" w:type="dxa"/>
            <w:shd w:val="clear" w:color="auto" w:fill="auto"/>
          </w:tcPr>
          <w:p w14:paraId="1ACC1FBA"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23E9EF26" w14:textId="77777777" w:rsidR="00790A0D" w:rsidRPr="00DD47DF" w:rsidRDefault="002756E7" w:rsidP="006D2F5F">
            <w:pPr>
              <w:pStyle w:val="Tabulka"/>
              <w:jc w:val="left"/>
              <w:rPr>
                <w:rStyle w:val="Hypertextovodkaz"/>
                <w:rFonts w:cs="Calibri"/>
              </w:rPr>
            </w:pPr>
            <w:r w:rsidRPr="00DD47DF">
              <w:rPr>
                <w:rFonts w:cs="Calibri"/>
              </w:rPr>
              <w:fldChar w:fldCharType="begin"/>
            </w:r>
            <w:r w:rsidR="00790A0D" w:rsidRPr="00DD47DF">
              <w:rPr>
                <w:rFonts w:cs="Calibri"/>
              </w:rPr>
              <w:instrText xml:space="preserve"> HYPERLINK "http://portal.gov.cz/app/zakony/zakonPar.jsp?idBiblio=49962&amp;fulltext=&amp;nr=458~2F2000&amp;part=&amp;name=&amp;rpp=15" \l "local-content" </w:instrText>
            </w:r>
            <w:r w:rsidRPr="00DD47DF">
              <w:rPr>
                <w:rFonts w:cs="Calibri"/>
              </w:rPr>
              <w:fldChar w:fldCharType="separate"/>
            </w:r>
            <w:r w:rsidR="00790A0D" w:rsidRPr="00DD47DF">
              <w:rPr>
                <w:rStyle w:val="Hypertextovodkaz"/>
                <w:rFonts w:cs="Calibri"/>
              </w:rPr>
              <w:t>§16k EZ - AMM,</w:t>
            </w:r>
          </w:p>
          <w:p w14:paraId="608850B5" w14:textId="77777777" w:rsidR="00790A0D" w:rsidRPr="00DD47DF" w:rsidRDefault="00790A0D" w:rsidP="006D2F5F">
            <w:pPr>
              <w:pStyle w:val="Tabulka"/>
              <w:jc w:val="left"/>
              <w:rPr>
                <w:rFonts w:cs="Calibri"/>
              </w:rPr>
            </w:pPr>
            <w:r w:rsidRPr="00DD47DF">
              <w:rPr>
                <w:rStyle w:val="Hypertextovodkaz"/>
                <w:rFonts w:cs="Calibri"/>
              </w:rPr>
              <w:t>§49 EZ – měření jako takové</w:t>
            </w:r>
            <w:r w:rsidR="002756E7" w:rsidRPr="00DD47DF">
              <w:rPr>
                <w:rFonts w:cs="Calibri"/>
              </w:rPr>
              <w:fldChar w:fldCharType="end"/>
            </w:r>
          </w:p>
        </w:tc>
        <w:tc>
          <w:tcPr>
            <w:tcW w:w="4394" w:type="dxa"/>
            <w:shd w:val="clear" w:color="auto" w:fill="auto"/>
          </w:tcPr>
          <w:p w14:paraId="688D09AA" w14:textId="77777777" w:rsidR="00790A0D" w:rsidRPr="00DD47DF" w:rsidRDefault="00790A0D" w:rsidP="006D2F5F">
            <w:pPr>
              <w:pStyle w:val="Tabulka"/>
              <w:jc w:val="left"/>
              <w:rPr>
                <w:rFonts w:cs="Calibri"/>
              </w:rPr>
            </w:pPr>
            <w:r w:rsidRPr="00DD47DF">
              <w:rPr>
                <w:rFonts w:cs="Calibri"/>
              </w:rPr>
              <w:t>Opatření k optimalizaci využití energie, inteligentní systémy měření - Advanced Metering Management – dále AMM - analýzy zavádění AMM zajištěné MPO</w:t>
            </w:r>
          </w:p>
        </w:tc>
      </w:tr>
      <w:tr w:rsidR="00790A0D" w:rsidRPr="00DD47DF" w14:paraId="2C1AA0FC" w14:textId="77777777" w:rsidTr="006D2F5F">
        <w:tc>
          <w:tcPr>
            <w:tcW w:w="1752" w:type="dxa"/>
            <w:tcBorders>
              <w:top w:val="single" w:sz="4" w:space="0" w:color="auto"/>
              <w:left w:val="single" w:sz="4" w:space="0" w:color="auto"/>
              <w:bottom w:val="single" w:sz="4" w:space="0" w:color="auto"/>
              <w:right w:val="single" w:sz="4" w:space="0" w:color="auto"/>
            </w:tcBorders>
            <w:shd w:val="clear" w:color="auto" w:fill="auto"/>
          </w:tcPr>
          <w:p w14:paraId="1B54B71C" w14:textId="77777777" w:rsidR="00790A0D" w:rsidRPr="00DD47DF" w:rsidRDefault="00790A0D" w:rsidP="006D2F5F">
            <w:pPr>
              <w:pStyle w:val="Tabulka"/>
              <w:jc w:val="left"/>
              <w:rPr>
                <w:rFonts w:cs="Calibri"/>
                <w:b/>
              </w:rPr>
            </w:pPr>
            <w:r w:rsidRPr="00DD47DF">
              <w:rPr>
                <w:rFonts w:cs="Calibri"/>
                <w:b/>
              </w:rPr>
              <w:t xml:space="preserve">8.2. </w:t>
            </w:r>
          </w:p>
          <w:p w14:paraId="1C017BC6" w14:textId="77777777" w:rsidR="00790A0D" w:rsidRPr="00DD47DF" w:rsidRDefault="00790A0D" w:rsidP="006D2F5F">
            <w:pPr>
              <w:pStyle w:val="Tabulka"/>
              <w:jc w:val="left"/>
              <w:rPr>
                <w:rFonts w:cs="Calibri"/>
                <w:b/>
              </w:rPr>
            </w:pPr>
            <w:r w:rsidRPr="00DD47DF">
              <w:rPr>
                <w:rFonts w:cs="Calibri"/>
                <w:b/>
              </w:rPr>
              <w:t xml:space="preserve">Samostatná výdělečná činnost, podnikání a zakládání firem: existence strategického rámce politiky podpory začínajících podniků </w:t>
            </w:r>
            <w:r w:rsidRPr="00DD47DF">
              <w:rPr>
                <w:rFonts w:cs="Calibri"/>
                <w:b/>
              </w:rPr>
              <w:lastRenderedPageBreak/>
              <w:t xml:space="preserve">přispívající k začlenění. </w:t>
            </w:r>
          </w:p>
          <w:p w14:paraId="7FF62328" w14:textId="77777777" w:rsidR="00790A0D" w:rsidRPr="00DD47DF" w:rsidRDefault="00790A0D" w:rsidP="006D2F5F">
            <w:pPr>
              <w:pStyle w:val="Tabulka"/>
              <w:jc w:val="left"/>
              <w:rPr>
                <w:rFonts w:cs="Calibri"/>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0AFB9A2" w14:textId="77777777" w:rsidR="00790A0D" w:rsidRPr="00DD47DF" w:rsidRDefault="00790A0D" w:rsidP="006D2F5F">
            <w:pPr>
              <w:pStyle w:val="Tabulka"/>
              <w:jc w:val="left"/>
              <w:rPr>
                <w:rFonts w:cs="Calibri"/>
              </w:rPr>
            </w:pPr>
            <w:r w:rsidRPr="00DD47DF">
              <w:rPr>
                <w:rFonts w:cs="Calibri"/>
              </w:rPr>
              <w:lastRenderedPageBreak/>
              <w:t>PO 2 - Rozvoj podnikání a konkurenceschopnosti malých a středních podniků</w:t>
            </w:r>
          </w:p>
          <w:p w14:paraId="10713852" w14:textId="77777777" w:rsidR="00790A0D" w:rsidRPr="00DD47DF" w:rsidRDefault="00790A0D" w:rsidP="006D2F5F">
            <w:pPr>
              <w:pStyle w:val="Tabulka"/>
              <w:jc w:val="left"/>
              <w:rPr>
                <w:rFonts w:cs="Calibr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28A6BAB" w14:textId="77777777" w:rsidR="00790A0D" w:rsidRPr="00DD47DF" w:rsidRDefault="00790A0D" w:rsidP="006D2F5F">
            <w:pPr>
              <w:pStyle w:val="Tabulka"/>
              <w:jc w:val="left"/>
              <w:rPr>
                <w:rFonts w:cs="Calibri"/>
              </w:rPr>
            </w:pPr>
            <w:r w:rsidRPr="00DD47DF">
              <w:rPr>
                <w:rFonts w:cs="Calibri"/>
              </w:rPr>
              <w:t>Částečně</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3515CB4" w14:textId="77777777" w:rsidR="00790A0D" w:rsidRPr="00DD47DF" w:rsidRDefault="00790A0D" w:rsidP="006D2F5F">
            <w:pPr>
              <w:pStyle w:val="Tabulka"/>
              <w:jc w:val="left"/>
              <w:rPr>
                <w:rFonts w:cs="Calibri"/>
              </w:rPr>
            </w:pPr>
            <w:r w:rsidRPr="00DD47DF">
              <w:rPr>
                <w:rFonts w:cs="Calibri"/>
              </w:rPr>
              <w:t>Je zaveden strategický rámec politiky podpory začínajících podniků přispívající k začlenění, obsahující tyto prvky: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5E6093" w14:textId="77777777" w:rsidR="00790A0D" w:rsidRPr="00DD47DF" w:rsidRDefault="00790A0D" w:rsidP="006D2F5F">
            <w:pPr>
              <w:pStyle w:val="Tabulka"/>
              <w:jc w:val="left"/>
              <w:rPr>
                <w:rFonts w:cs="Calibri"/>
              </w:rPr>
            </w:pPr>
            <w:r w:rsidRPr="00DD47DF">
              <w:rPr>
                <w:rFonts w:cs="Calibri"/>
              </w:rPr>
              <w:t>ano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6ABB28F" w14:textId="77777777" w:rsidR="00790A0D" w:rsidRPr="00DD47DF" w:rsidRDefault="00790A0D" w:rsidP="006D2F5F">
            <w:pPr>
              <w:pStyle w:val="Tabulka"/>
              <w:jc w:val="left"/>
            </w:pPr>
            <w:r w:rsidRPr="00DD47DF">
              <w:t>Strategie mezinárodní konkurenceschopnosti:</w:t>
            </w:r>
          </w:p>
          <w:p w14:paraId="23EDD28C" w14:textId="77777777" w:rsidR="00790A0D" w:rsidRPr="00DD47DF" w:rsidRDefault="00AF6FE3" w:rsidP="006D2F5F">
            <w:pPr>
              <w:pStyle w:val="Tabulka"/>
              <w:jc w:val="left"/>
              <w:rPr>
                <w:rStyle w:val="Hypertextovodkaz"/>
                <w:color w:val="auto"/>
              </w:rPr>
            </w:pPr>
            <w:hyperlink r:id="rId160" w:history="1">
              <w:r w:rsidR="00790A0D" w:rsidRPr="00DD47DF">
                <w:rPr>
                  <w:rStyle w:val="Hypertextovodkaz"/>
                </w:rPr>
                <w:t>http://www.vlada.cz/assets/media-centrum/aktualne/Strategie-mezinarodni-konkurenceschopnosti-Ceske-republiky.pdf</w:t>
              </w:r>
            </w:hyperlink>
          </w:p>
          <w:p w14:paraId="75B2F9FB" w14:textId="77777777" w:rsidR="00790A0D" w:rsidRPr="00DD47DF" w:rsidRDefault="00790A0D" w:rsidP="006D2F5F">
            <w:pPr>
              <w:pStyle w:val="Tabulka"/>
              <w:jc w:val="left"/>
            </w:pPr>
          </w:p>
          <w:p w14:paraId="6E2D0A11" w14:textId="77777777" w:rsidR="00790A0D" w:rsidRPr="00DD47DF" w:rsidRDefault="00790A0D" w:rsidP="006D2F5F">
            <w:pPr>
              <w:pStyle w:val="Tabulka"/>
              <w:jc w:val="left"/>
            </w:pPr>
            <w:r w:rsidRPr="00DD47DF">
              <w:t xml:space="preserve">Koncepce podpory </w:t>
            </w:r>
            <w:r w:rsidRPr="00DD47DF">
              <w:lastRenderedPageBreak/>
              <w:t>malých a středních podnikatelů na období let 2014–2020:</w:t>
            </w:r>
          </w:p>
          <w:p w14:paraId="50E81FFE" w14:textId="77777777" w:rsidR="00790A0D" w:rsidRPr="00DD47DF" w:rsidRDefault="00AF6FE3" w:rsidP="006D2F5F">
            <w:pPr>
              <w:pStyle w:val="Tabulka"/>
              <w:jc w:val="left"/>
              <w:rPr>
                <w:rStyle w:val="Hypertextovodkaz"/>
                <w:color w:val="auto"/>
              </w:rPr>
            </w:pPr>
            <w:hyperlink r:id="rId161" w:history="1">
              <w:r w:rsidR="00790A0D" w:rsidRPr="00DD47DF">
                <w:rPr>
                  <w:rStyle w:val="Hypertextovodkaz"/>
                </w:rPr>
                <w:t>http://www.mpo.cz/dokument119071.html</w:t>
              </w:r>
            </w:hyperlink>
          </w:p>
          <w:p w14:paraId="742029D0" w14:textId="77777777" w:rsidR="00790A0D" w:rsidRPr="00DD47DF" w:rsidRDefault="00790A0D" w:rsidP="006D2F5F">
            <w:pPr>
              <w:pStyle w:val="Tabulka"/>
              <w:jc w:val="left"/>
            </w:pPr>
          </w:p>
          <w:p w14:paraId="10F108E7" w14:textId="77777777" w:rsidR="00790A0D" w:rsidRPr="00DD47DF" w:rsidRDefault="00790A0D" w:rsidP="006D2F5F">
            <w:pPr>
              <w:pStyle w:val="Tabulka"/>
              <w:jc w:val="left"/>
            </w:pPr>
            <w:r w:rsidRPr="00DD47DF">
              <w:t>Národní program reforem (2014):</w:t>
            </w:r>
          </w:p>
          <w:p w14:paraId="09EF2E9C" w14:textId="77777777" w:rsidR="00790A0D" w:rsidRPr="00DD47DF" w:rsidRDefault="00AF6FE3" w:rsidP="006D2F5F">
            <w:pPr>
              <w:pStyle w:val="Tabulka"/>
              <w:jc w:val="left"/>
            </w:pPr>
            <w:hyperlink r:id="rId162" w:history="1">
              <w:r w:rsidR="00790A0D" w:rsidRPr="00DD47DF">
                <w:rPr>
                  <w:rStyle w:val="Hypertextovodkaz"/>
                </w:rPr>
                <w:t>http://www.vlada.cz/assets/evropske-zalezitosti/aktualne/NPR-2014.pdf</w:t>
              </w:r>
            </w:hyperlink>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7DBBBFD" w14:textId="77777777" w:rsidR="00790A0D" w:rsidRPr="00DD47DF" w:rsidRDefault="00790A0D" w:rsidP="006D2F5F">
            <w:pPr>
              <w:pStyle w:val="Tabulka"/>
              <w:jc w:val="left"/>
              <w:rPr>
                <w:rFonts w:cs="Calibri"/>
              </w:rPr>
            </w:pPr>
            <w:r w:rsidRPr="00DD47DF">
              <w:rPr>
                <w:rFonts w:cs="Calibri"/>
              </w:rPr>
              <w:lastRenderedPageBreak/>
              <w:t>Vládou byla schválena Strategie mezinárodní konkurenceschopnosti (SMK) v r. 2011.</w:t>
            </w:r>
          </w:p>
          <w:p w14:paraId="03C79DEC" w14:textId="77777777" w:rsidR="00790A0D" w:rsidRPr="00DD47DF" w:rsidRDefault="00790A0D" w:rsidP="006D2F5F">
            <w:pPr>
              <w:pStyle w:val="Tabulka"/>
              <w:jc w:val="left"/>
              <w:rPr>
                <w:rFonts w:cs="Calibri"/>
              </w:rPr>
            </w:pPr>
            <w:r w:rsidRPr="00DD47DF">
              <w:rPr>
                <w:rFonts w:cs="Calibri"/>
              </w:rPr>
              <w:t>Vládou byla schválena rovněž Koncepce podpory malých a středních podnikatelů na období let 2014–2020 (Koncepce MSP).</w:t>
            </w:r>
          </w:p>
          <w:p w14:paraId="1C022560" w14:textId="77777777" w:rsidR="00790A0D" w:rsidRPr="00DD47DF" w:rsidRDefault="00790A0D" w:rsidP="006D2F5F">
            <w:pPr>
              <w:pStyle w:val="Tabulka"/>
              <w:jc w:val="left"/>
              <w:rPr>
                <w:rFonts w:cs="Calibri"/>
              </w:rPr>
            </w:pPr>
            <w:r w:rsidRPr="00DD47DF">
              <w:rPr>
                <w:rFonts w:cs="Calibri"/>
              </w:rPr>
              <w:t>Opatření související se zesílením podpory podnikatelského prostředí jsou též součástí Národního programu reforem (2014), kap. 4.2.</w:t>
            </w:r>
          </w:p>
          <w:p w14:paraId="1960A806" w14:textId="77777777" w:rsidR="00790A0D" w:rsidRPr="00DD47DF" w:rsidRDefault="00790A0D" w:rsidP="006D2F5F">
            <w:pPr>
              <w:pStyle w:val="Tabulka"/>
              <w:jc w:val="left"/>
              <w:rPr>
                <w:rFonts w:cs="Calibri"/>
              </w:rPr>
            </w:pPr>
          </w:p>
        </w:tc>
      </w:tr>
      <w:tr w:rsidR="00790A0D" w:rsidRPr="00DD47DF" w14:paraId="075D0977" w14:textId="77777777" w:rsidTr="006D2F5F">
        <w:tc>
          <w:tcPr>
            <w:tcW w:w="1752" w:type="dxa"/>
            <w:tcBorders>
              <w:top w:val="single" w:sz="4" w:space="0" w:color="auto"/>
              <w:left w:val="single" w:sz="4" w:space="0" w:color="auto"/>
              <w:bottom w:val="single" w:sz="4" w:space="0" w:color="auto"/>
              <w:right w:val="single" w:sz="4" w:space="0" w:color="auto"/>
            </w:tcBorders>
            <w:shd w:val="clear" w:color="auto" w:fill="auto"/>
          </w:tcPr>
          <w:p w14:paraId="149E9CDF" w14:textId="77777777" w:rsidR="00790A0D" w:rsidRPr="00DD47DF" w:rsidRDefault="00790A0D" w:rsidP="006D2F5F">
            <w:pPr>
              <w:pStyle w:val="Tabulka"/>
              <w:jc w:val="left"/>
              <w:rPr>
                <w:rFonts w:cs="Calibri"/>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3F4C8C4" w14:textId="77777777" w:rsidR="00790A0D" w:rsidRPr="00DD47DF" w:rsidRDefault="00790A0D" w:rsidP="006D2F5F">
            <w:pPr>
              <w:pStyle w:val="Tabulka"/>
              <w:jc w:val="left"/>
              <w:rPr>
                <w:rFonts w:cs="Calibr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0C6D210" w14:textId="77777777" w:rsidR="00790A0D" w:rsidRPr="00DD47DF" w:rsidRDefault="00790A0D" w:rsidP="006D2F5F">
            <w:pPr>
              <w:pStyle w:val="Tabulka"/>
              <w:jc w:val="left"/>
              <w:rPr>
                <w:rFonts w:cs="Calibri"/>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6754E88" w14:textId="77777777" w:rsidR="00790A0D" w:rsidRPr="00DD47DF" w:rsidRDefault="00790A0D" w:rsidP="006D2F5F">
            <w:pPr>
              <w:pStyle w:val="Tabulka"/>
              <w:jc w:val="left"/>
              <w:rPr>
                <w:rFonts w:cs="Calibri"/>
              </w:rPr>
            </w:pPr>
            <w:r w:rsidRPr="00DD47DF">
              <w:rPr>
                <w:rFonts w:cs="Calibri"/>
              </w:rPr>
              <w:t>• Opatření zavedená s cílem zkrátit dobu potřebou k založení firmy a snížit příslušné náklady, která zohledňují cíle SBA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D52A361" w14:textId="77777777" w:rsidR="00790A0D" w:rsidRPr="00DD47DF" w:rsidRDefault="008B1FD2" w:rsidP="006D2F5F">
            <w:pPr>
              <w:pStyle w:val="Tabulka"/>
              <w:jc w:val="left"/>
              <w:rPr>
                <w:rFonts w:cs="Calibri"/>
              </w:rPr>
            </w:pPr>
            <w:r w:rsidRPr="00DD47DF">
              <w:rPr>
                <w:rFonts w:cs="Calibri"/>
              </w:rPr>
              <w:t>ne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6529BBA" w14:textId="77777777" w:rsidR="00790A0D" w:rsidRPr="00DD47DF" w:rsidRDefault="00790A0D" w:rsidP="006D2F5F">
            <w:pPr>
              <w:pStyle w:val="Tabulka"/>
              <w:jc w:val="left"/>
            </w:pPr>
            <w:r w:rsidRPr="00DD47DF">
              <w:t>Živnostenský zákon:</w:t>
            </w:r>
          </w:p>
          <w:p w14:paraId="4A2D0018" w14:textId="77777777" w:rsidR="00790A0D" w:rsidRPr="00DD47DF" w:rsidRDefault="00AF6FE3" w:rsidP="006D2F5F">
            <w:pPr>
              <w:pStyle w:val="Tabulka"/>
              <w:jc w:val="left"/>
            </w:pPr>
            <w:hyperlink r:id="rId163" w:history="1">
              <w:r w:rsidR="00790A0D" w:rsidRPr="00DD47DF">
                <w:rPr>
                  <w:rStyle w:val="Hypertextovodkaz"/>
                </w:rPr>
                <w:t>http://www.mpo.cz/dokument144140.html</w:t>
              </w:r>
            </w:hyperlink>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B69642C" w14:textId="77777777" w:rsidR="00790A0D" w:rsidRPr="00DD47DF" w:rsidRDefault="00790A0D" w:rsidP="006D2F5F">
            <w:pPr>
              <w:pStyle w:val="Tabulka"/>
              <w:jc w:val="left"/>
              <w:rPr>
                <w:rFonts w:cs="Calibri"/>
              </w:rPr>
            </w:pPr>
            <w:r w:rsidRPr="00DD47DF">
              <w:rPr>
                <w:rFonts w:cs="Calibri"/>
              </w:rPr>
              <w:t>Pro oblast živnostenského podnikání (gesce MPO) zákonem č. 130/2008 Sb. došlo ke snížení nákladů na vstup do podnikání a zkrátila se doba pro vydání dokladu o vzniku práva podnikat (z 15 na 5 pracovních dní). Oprávnění lze získat při splnění podmínek zákona i ve velmi krátké době (několik desítek minut, resp. na počkání). Vstupní náklady činí 1000 Kč.</w:t>
            </w:r>
          </w:p>
          <w:p w14:paraId="5534C273" w14:textId="77777777" w:rsidR="00790A0D" w:rsidRPr="00DD47DF" w:rsidRDefault="00790A0D" w:rsidP="006D2F5F">
            <w:pPr>
              <w:pStyle w:val="Tabulka"/>
              <w:jc w:val="left"/>
              <w:rPr>
                <w:rFonts w:cs="Calibri"/>
              </w:rPr>
            </w:pPr>
            <w:r w:rsidRPr="00DD47DF">
              <w:rPr>
                <w:rFonts w:cs="Calibri"/>
              </w:rPr>
              <w:t xml:space="preserve">Ke splnění podmínky jsou nutné kroky ke snížení nákladů na založení podniku v gesci MSp. Je připravováno legislativní řešení v souladu se zpracovaným akčním plánem. </w:t>
            </w:r>
          </w:p>
          <w:p w14:paraId="6414A724" w14:textId="77777777" w:rsidR="00790A0D" w:rsidRPr="00DD47DF" w:rsidRDefault="00790A0D" w:rsidP="006D2F5F">
            <w:pPr>
              <w:pStyle w:val="Tabulka"/>
              <w:jc w:val="left"/>
              <w:rPr>
                <w:rFonts w:cs="Calibri"/>
              </w:rPr>
            </w:pPr>
            <w:r w:rsidRPr="00DD47DF">
              <w:rPr>
                <w:rFonts w:cs="Calibri"/>
              </w:rPr>
              <w:t>Podrobněji - viz podmínka č. 3.1 a příloha č. II.</w:t>
            </w:r>
          </w:p>
        </w:tc>
      </w:tr>
      <w:tr w:rsidR="00790A0D" w:rsidRPr="00DD47DF" w14:paraId="7D0B0170" w14:textId="77777777" w:rsidTr="006D2F5F">
        <w:tc>
          <w:tcPr>
            <w:tcW w:w="1752" w:type="dxa"/>
            <w:tcBorders>
              <w:top w:val="single" w:sz="4" w:space="0" w:color="auto"/>
              <w:left w:val="single" w:sz="4" w:space="0" w:color="auto"/>
              <w:bottom w:val="single" w:sz="4" w:space="0" w:color="auto"/>
              <w:right w:val="single" w:sz="4" w:space="0" w:color="auto"/>
            </w:tcBorders>
            <w:shd w:val="clear" w:color="auto" w:fill="auto"/>
          </w:tcPr>
          <w:p w14:paraId="1740D799" w14:textId="77777777" w:rsidR="00790A0D" w:rsidRPr="00DD47DF" w:rsidRDefault="00790A0D" w:rsidP="006D2F5F">
            <w:pPr>
              <w:pStyle w:val="Tabulka"/>
              <w:jc w:val="left"/>
              <w:rPr>
                <w:rFonts w:cs="Calibri"/>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D9BD95B" w14:textId="77777777" w:rsidR="00790A0D" w:rsidRPr="00DD47DF" w:rsidRDefault="00790A0D" w:rsidP="006D2F5F">
            <w:pPr>
              <w:pStyle w:val="Tabulka"/>
              <w:jc w:val="left"/>
              <w:rPr>
                <w:rFonts w:cs="Calibr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EEE4A8E" w14:textId="77777777" w:rsidR="00790A0D" w:rsidRPr="00DD47DF" w:rsidRDefault="00790A0D" w:rsidP="006D2F5F">
            <w:pPr>
              <w:pStyle w:val="Tabulka"/>
              <w:jc w:val="left"/>
              <w:rPr>
                <w:rFonts w:cs="Calibri"/>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6AF02E7" w14:textId="77777777" w:rsidR="00790A0D" w:rsidRPr="00DD47DF" w:rsidRDefault="00790A0D" w:rsidP="006D2F5F">
            <w:pPr>
              <w:pStyle w:val="Tabulka"/>
              <w:jc w:val="left"/>
              <w:rPr>
                <w:rFonts w:cs="Calibri"/>
              </w:rPr>
            </w:pPr>
            <w:r w:rsidRPr="00DD47DF">
              <w:rPr>
                <w:rFonts w:cs="Calibri"/>
              </w:rPr>
              <w:t xml:space="preserve">• Opatření zavedená s cílem zkrátit dobu potřebnou k získání licencí a </w:t>
            </w:r>
            <w:r w:rsidRPr="00DD47DF">
              <w:rPr>
                <w:rFonts w:cs="Calibri"/>
              </w:rPr>
              <w:lastRenderedPageBreak/>
              <w:t>povolení k zahájení a provádění konkrétní činnosti podniku, která zohledňují cíle SBA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30F1F2D" w14:textId="77777777" w:rsidR="00790A0D" w:rsidRPr="00DD47DF" w:rsidRDefault="00790A0D" w:rsidP="006D2F5F">
            <w:pPr>
              <w:pStyle w:val="Tabulka"/>
              <w:jc w:val="left"/>
              <w:rPr>
                <w:rFonts w:cs="Calibri"/>
              </w:rPr>
            </w:pPr>
            <w:r w:rsidRPr="00DD47DF">
              <w:rPr>
                <w:rFonts w:cs="Calibri"/>
              </w:rPr>
              <w:lastRenderedPageBreak/>
              <w:t>ano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62BD139" w14:textId="77777777" w:rsidR="00790A0D" w:rsidRPr="00DD47DF" w:rsidRDefault="00790A0D" w:rsidP="006D2F5F">
            <w:pPr>
              <w:pStyle w:val="Tabulka"/>
              <w:jc w:val="left"/>
            </w:pPr>
            <w:r w:rsidRPr="00DD47DF">
              <w:t>Živnostenský zákon:</w:t>
            </w:r>
          </w:p>
          <w:p w14:paraId="2A064350" w14:textId="77777777" w:rsidR="00790A0D" w:rsidRPr="00DD47DF" w:rsidRDefault="00AF6FE3" w:rsidP="006D2F5F">
            <w:pPr>
              <w:pStyle w:val="Tabulka"/>
              <w:jc w:val="left"/>
            </w:pPr>
            <w:hyperlink r:id="rId164" w:history="1">
              <w:r w:rsidR="00790A0D" w:rsidRPr="00DD47DF">
                <w:rPr>
                  <w:rStyle w:val="Hypertextovodkaz"/>
                </w:rPr>
                <w:t>http://www.mpo.cz/dokument144140.html</w:t>
              </w:r>
            </w:hyperlink>
          </w:p>
          <w:p w14:paraId="4D51121A" w14:textId="77777777" w:rsidR="00790A0D" w:rsidRPr="00DD47DF" w:rsidRDefault="00790A0D" w:rsidP="006D2F5F">
            <w:pPr>
              <w:pStyle w:val="Tabulka"/>
              <w:jc w:val="left"/>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A305892" w14:textId="77777777" w:rsidR="00790A0D" w:rsidRPr="00DD47DF" w:rsidRDefault="00790A0D" w:rsidP="006D2F5F">
            <w:pPr>
              <w:pStyle w:val="Tabulka"/>
              <w:jc w:val="left"/>
              <w:rPr>
                <w:rFonts w:cs="Calibri"/>
              </w:rPr>
            </w:pPr>
            <w:r w:rsidRPr="00DD47DF">
              <w:rPr>
                <w:rFonts w:cs="Calibri"/>
              </w:rPr>
              <w:t xml:space="preserve">V oblasti živnostenského podnikání (gesce MPO) při splnění podmínek zákona může podnikatel od okamžiku ohlášení živnosti podnikat. Pouze u koncesovaných živností je doba pro vznik oprávnění delší (cca 1 měsíc. </w:t>
            </w:r>
            <w:r w:rsidRPr="00DD47DF">
              <w:rPr>
                <w:rFonts w:cs="Calibri"/>
              </w:rPr>
              <w:lastRenderedPageBreak/>
              <w:t>Zákonem č. 130/2008 Sb. došlo ke snížení nákladů na vstup do živnostenského podnikání a zkrátila se doba pro vydání dokladu o vzniku práva podnikat (z 15 na 5 pracovních dní).</w:t>
            </w:r>
          </w:p>
          <w:p w14:paraId="6BC2ACCE" w14:textId="77777777" w:rsidR="00790A0D" w:rsidRPr="00DD47DF" w:rsidRDefault="00790A0D" w:rsidP="006D2F5F">
            <w:pPr>
              <w:pStyle w:val="Tabulka"/>
              <w:jc w:val="left"/>
              <w:rPr>
                <w:rFonts w:cs="Calibri"/>
              </w:rPr>
            </w:pPr>
            <w:r w:rsidRPr="00DD47DF">
              <w:rPr>
                <w:rFonts w:cs="Calibri"/>
              </w:rPr>
              <w:t>Zákon č. 304/2013 Sb., stanovuje povinnost soudu zapsat společnost do 5 pracovních dní. Současně umožňuje, aby zápis provedl notář. Bude-li mít k dispozici všechny dokumenty, zápis provede během 1 dne.</w:t>
            </w:r>
          </w:p>
          <w:p w14:paraId="266C5DE3" w14:textId="77777777" w:rsidR="00790A0D" w:rsidRPr="00DD47DF" w:rsidRDefault="00790A0D" w:rsidP="006D2F5F">
            <w:pPr>
              <w:pStyle w:val="Tabulka"/>
              <w:jc w:val="left"/>
              <w:rPr>
                <w:rFonts w:cs="Calibri"/>
              </w:rPr>
            </w:pPr>
          </w:p>
          <w:p w14:paraId="265A9B78" w14:textId="77777777" w:rsidR="00790A0D" w:rsidRPr="00DD47DF" w:rsidRDefault="00790A0D" w:rsidP="006D2F5F">
            <w:pPr>
              <w:pStyle w:val="Tabulka"/>
              <w:jc w:val="left"/>
              <w:rPr>
                <w:rFonts w:cs="Calibri"/>
              </w:rPr>
            </w:pPr>
            <w:r w:rsidRPr="00DD47DF">
              <w:rPr>
                <w:rFonts w:cs="Calibri"/>
              </w:rPr>
              <w:t>Viz vyjádření u podmínky 3.1 a Příloha č. II.</w:t>
            </w:r>
          </w:p>
        </w:tc>
      </w:tr>
      <w:tr w:rsidR="00790A0D" w:rsidRPr="00DD47DF" w14:paraId="72A69561" w14:textId="77777777" w:rsidTr="006D2F5F">
        <w:tc>
          <w:tcPr>
            <w:tcW w:w="1752" w:type="dxa"/>
            <w:tcBorders>
              <w:top w:val="single" w:sz="4" w:space="0" w:color="auto"/>
              <w:left w:val="single" w:sz="4" w:space="0" w:color="auto"/>
              <w:bottom w:val="single" w:sz="4" w:space="0" w:color="auto"/>
              <w:right w:val="single" w:sz="4" w:space="0" w:color="auto"/>
            </w:tcBorders>
            <w:shd w:val="clear" w:color="auto" w:fill="auto"/>
          </w:tcPr>
          <w:p w14:paraId="2A432465" w14:textId="77777777" w:rsidR="00790A0D" w:rsidRPr="00DD47DF" w:rsidRDefault="00790A0D" w:rsidP="006D2F5F">
            <w:pPr>
              <w:pStyle w:val="Tabulka"/>
              <w:jc w:val="left"/>
              <w:rPr>
                <w:rFonts w:cs="Calibri"/>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CD7F029" w14:textId="77777777" w:rsidR="00790A0D" w:rsidRPr="00DD47DF" w:rsidRDefault="00790A0D" w:rsidP="006D2F5F">
            <w:pPr>
              <w:pStyle w:val="Tabulka"/>
              <w:jc w:val="left"/>
              <w:rPr>
                <w:rFonts w:cs="Calibr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253AF3" w14:textId="77777777" w:rsidR="00790A0D" w:rsidRPr="00DD47DF" w:rsidRDefault="00790A0D" w:rsidP="006D2F5F">
            <w:pPr>
              <w:pStyle w:val="Tabulka"/>
              <w:jc w:val="left"/>
              <w:rPr>
                <w:rFonts w:cs="Calibri"/>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6533F0A" w14:textId="77777777" w:rsidR="00790A0D" w:rsidRPr="00DD47DF" w:rsidRDefault="00790A0D" w:rsidP="006D2F5F">
            <w:pPr>
              <w:pStyle w:val="Tabulka"/>
              <w:jc w:val="left"/>
              <w:rPr>
                <w:rFonts w:cs="Calibri"/>
              </w:rPr>
            </w:pPr>
            <w:r w:rsidRPr="00DD47DF">
              <w:rPr>
                <w:rFonts w:cs="Calibri"/>
              </w:rPr>
              <w:t>• činnosti propojující vhodné služby pro rozvoj podnikání a finanční služby (přístup ke kapitálu), včetně aktivní pomoci pro znevýhodněné skupiny, popř. oblasti či obojí.</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2A63667" w14:textId="77777777" w:rsidR="00790A0D" w:rsidRPr="00DD47DF" w:rsidRDefault="00790A0D" w:rsidP="006D2F5F">
            <w:pPr>
              <w:pStyle w:val="Tabulka"/>
              <w:jc w:val="left"/>
              <w:rPr>
                <w:rFonts w:cs="Calibri"/>
              </w:rPr>
            </w:pPr>
            <w:r w:rsidRPr="00DD47DF">
              <w:rPr>
                <w:rFonts w:cs="Calibri"/>
              </w:rPr>
              <w:t>ano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D81EA1B" w14:textId="77777777" w:rsidR="00790A0D" w:rsidRPr="00DD47DF" w:rsidRDefault="00790A0D" w:rsidP="006D2F5F">
            <w:pPr>
              <w:pStyle w:val="Tabulka"/>
              <w:jc w:val="left"/>
            </w:pPr>
            <w:r w:rsidRPr="00DD47DF">
              <w:t>Strategie mezinárodní konkurenceschopnosti:</w:t>
            </w:r>
          </w:p>
          <w:p w14:paraId="6BFEDBBB" w14:textId="77777777" w:rsidR="00790A0D" w:rsidRPr="00DD47DF" w:rsidRDefault="00AF6FE3" w:rsidP="006D2F5F">
            <w:pPr>
              <w:pStyle w:val="Tabulka"/>
              <w:jc w:val="left"/>
            </w:pPr>
            <w:hyperlink r:id="rId165" w:history="1">
              <w:r w:rsidR="00790A0D" w:rsidRPr="00DD47DF">
                <w:rPr>
                  <w:rStyle w:val="Hypertextovodkaz"/>
                </w:rPr>
                <w:t>http://www.vlada.cz/assets/media-centrum/aktualne/Strategie-mezinarodni-konkurenceschopnosti-Ceske-republiky.pdf</w:t>
              </w:r>
            </w:hyperlink>
            <w:r w:rsidR="00790A0D" w:rsidRPr="00DD47DF">
              <w:t xml:space="preserve"> </w:t>
            </w:r>
          </w:p>
          <w:p w14:paraId="2B40918A" w14:textId="77777777" w:rsidR="00790A0D" w:rsidRPr="00DD47DF" w:rsidRDefault="00790A0D" w:rsidP="006D2F5F">
            <w:pPr>
              <w:pStyle w:val="Tabulka"/>
              <w:jc w:val="left"/>
            </w:pPr>
          </w:p>
          <w:p w14:paraId="671C37AB" w14:textId="77777777" w:rsidR="00790A0D" w:rsidRPr="00DD47DF" w:rsidRDefault="00790A0D" w:rsidP="006D2F5F">
            <w:pPr>
              <w:pStyle w:val="Tabulka"/>
              <w:jc w:val="left"/>
            </w:pPr>
            <w:r w:rsidRPr="00DD47DF">
              <w:t>Koncepce podpory malých a středních podnikatelů 2014–2020:</w:t>
            </w:r>
          </w:p>
          <w:p w14:paraId="40908179" w14:textId="77777777" w:rsidR="00790A0D" w:rsidRPr="00DD47DF" w:rsidRDefault="00AF6FE3" w:rsidP="006D2F5F">
            <w:pPr>
              <w:pStyle w:val="Tabulka"/>
              <w:jc w:val="left"/>
            </w:pPr>
            <w:hyperlink r:id="rId166" w:history="1">
              <w:r w:rsidR="00790A0D" w:rsidRPr="00DD47DF">
                <w:rPr>
                  <w:rStyle w:val="Hypertextovodkaz"/>
                </w:rPr>
                <w:t>http://www.mpo.cz/dokument119071.html</w:t>
              </w:r>
            </w:hyperlink>
          </w:p>
          <w:p w14:paraId="02C3DD72" w14:textId="77777777" w:rsidR="00790A0D" w:rsidRPr="00DD47DF" w:rsidRDefault="00790A0D" w:rsidP="006D2F5F">
            <w:pPr>
              <w:pStyle w:val="Tabulka"/>
              <w:jc w:val="left"/>
            </w:pPr>
          </w:p>
          <w:p w14:paraId="2F1313C4" w14:textId="77777777" w:rsidR="00790A0D" w:rsidRPr="00DD47DF" w:rsidRDefault="00790A0D" w:rsidP="006D2F5F">
            <w:pPr>
              <w:pStyle w:val="Tabulka"/>
              <w:jc w:val="left"/>
            </w:pPr>
            <w:r w:rsidRPr="00DD47DF">
              <w:t>Národní programu reforem (2014):</w:t>
            </w:r>
          </w:p>
          <w:p w14:paraId="09EA0646" w14:textId="77777777" w:rsidR="00790A0D" w:rsidRPr="00DD47DF" w:rsidRDefault="00AF6FE3" w:rsidP="006D2F5F">
            <w:pPr>
              <w:pStyle w:val="Tabulka"/>
              <w:jc w:val="left"/>
              <w:rPr>
                <w:rStyle w:val="Hypertextovodkaz"/>
              </w:rPr>
            </w:pPr>
            <w:hyperlink r:id="rId167" w:history="1">
              <w:r w:rsidR="00790A0D" w:rsidRPr="00DD47DF">
                <w:rPr>
                  <w:rStyle w:val="Hypertextovodkaz"/>
                </w:rPr>
                <w:t>http://www.vlada.cz/assets/evropske-zalezitosti/aktualne/NPR-2014.pdf</w:t>
              </w:r>
            </w:hyperlink>
          </w:p>
          <w:p w14:paraId="71FF5B28" w14:textId="77777777" w:rsidR="00D25B32" w:rsidRPr="00DD47DF" w:rsidRDefault="00D25B32" w:rsidP="006D2F5F">
            <w:pPr>
              <w:pStyle w:val="Tabulka"/>
              <w:jc w:val="left"/>
              <w:rPr>
                <w:rStyle w:val="Hypertextovodkaz"/>
              </w:rPr>
            </w:pPr>
          </w:p>
          <w:p w14:paraId="6C59026B" w14:textId="77777777" w:rsidR="00D25B32" w:rsidRPr="00DD47DF" w:rsidRDefault="00D25B32" w:rsidP="00D25B32">
            <w:pPr>
              <w:spacing w:before="80" w:after="80"/>
              <w:rPr>
                <w:bCs/>
                <w:sz w:val="22"/>
                <w:szCs w:val="22"/>
              </w:rPr>
            </w:pPr>
            <w:r w:rsidRPr="00DD47DF">
              <w:rPr>
                <w:bCs/>
                <w:sz w:val="22"/>
                <w:szCs w:val="22"/>
              </w:rPr>
              <w:t xml:space="preserve">Závěrečná zpráva Evaluace podpory sociálního a inkluzivního podnikání v OP LZZ: </w:t>
            </w:r>
          </w:p>
          <w:p w14:paraId="2DBEAA80" w14:textId="77777777" w:rsidR="00D25B32" w:rsidRPr="00DD47DF" w:rsidRDefault="00AF6FE3" w:rsidP="00554C27">
            <w:pPr>
              <w:spacing w:before="80" w:after="80"/>
              <w:rPr>
                <w:bCs/>
                <w:sz w:val="22"/>
                <w:szCs w:val="22"/>
              </w:rPr>
            </w:pPr>
            <w:hyperlink r:id="rId168" w:history="1">
              <w:r w:rsidR="00D25B32" w:rsidRPr="00DD47DF">
                <w:rPr>
                  <w:rStyle w:val="Hypertextovodkaz"/>
                  <w:bCs/>
                  <w:sz w:val="22"/>
                  <w:szCs w:val="22"/>
                </w:rPr>
                <w:t>http://www.esfcr.cz/file/8938/</w:t>
              </w:r>
            </w:hyperlink>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69FAC12" w14:textId="77777777" w:rsidR="00790A0D" w:rsidRPr="00DD47DF" w:rsidRDefault="00790A0D" w:rsidP="006D2F5F">
            <w:pPr>
              <w:pStyle w:val="Tabulka"/>
              <w:jc w:val="left"/>
              <w:rPr>
                <w:rFonts w:cs="Calibri"/>
              </w:rPr>
            </w:pPr>
            <w:r w:rsidRPr="00DD47DF">
              <w:rPr>
                <w:rFonts w:cs="Calibri"/>
              </w:rPr>
              <w:lastRenderedPageBreak/>
              <w:t xml:space="preserve">Jedním z cílů Koncepce MSP je zvyšování kvality poradenských služeb pro MSP. Důraz bude kladen na zvyšování finanční gramotnosti a sestavení a realizaci kvalitního business plánu (důležité pro začínající MSP a znevýhodněné skupiny, zejm. sociální podniky). Klíčová je podpora prostřednictvím zvýhodněných úvěrů, záruk a kapitálových vstupů. Je plánováno zvýhodnění sociálních podniků v jednotlivých programech OP PIK. </w:t>
            </w:r>
          </w:p>
          <w:p w14:paraId="3698F187" w14:textId="77777777" w:rsidR="00554C27" w:rsidRPr="00DD47DF" w:rsidRDefault="00790A0D" w:rsidP="00554C27">
            <w:pPr>
              <w:spacing w:before="80" w:after="80"/>
              <w:rPr>
                <w:bCs/>
                <w:sz w:val="22"/>
                <w:szCs w:val="22"/>
              </w:rPr>
            </w:pPr>
            <w:r w:rsidRPr="00DD47DF">
              <w:rPr>
                <w:rFonts w:cs="Calibri"/>
                <w:sz w:val="22"/>
                <w:szCs w:val="22"/>
              </w:rPr>
              <w:t xml:space="preserve">Na základě zákona č. 435/2004 Sb., zákona o zaměstnanosti je poskytována ÚP ČR podpora uchazečům o zaměstnání, kteří se rozhodnou zahájit samostatně výdělečnou činnost (zajištění rekvalifikačních kurzů, následně poskytnutí finančních prostředků na nákup vybavení, resp. na úhradu části provozních nákladů po zahájení podnikání). </w:t>
            </w:r>
            <w:r w:rsidR="00D25B32" w:rsidRPr="00DD47DF">
              <w:rPr>
                <w:bCs/>
                <w:sz w:val="22"/>
                <w:szCs w:val="22"/>
              </w:rPr>
              <w:t xml:space="preserve"> K vyšší efektivitě opatření přispěje poskytování poradenství i v době raných fází zahájení SVČ, s čímž počítá Strategie politiky </w:t>
            </w:r>
            <w:r w:rsidR="00D25B32" w:rsidRPr="00DD47DF">
              <w:rPr>
                <w:bCs/>
                <w:sz w:val="22"/>
                <w:szCs w:val="22"/>
              </w:rPr>
              <w:lastRenderedPageBreak/>
              <w:t xml:space="preserve">zaměstnanosti do roku 2020. </w:t>
            </w:r>
            <w:r w:rsidR="00554C27" w:rsidRPr="00DD47DF">
              <w:rPr>
                <w:bCs/>
                <w:sz w:val="22"/>
                <w:szCs w:val="22"/>
              </w:rPr>
              <w:t>Podrobněji viz Příloha II a evaluační studie.</w:t>
            </w:r>
          </w:p>
          <w:p w14:paraId="24768A5B" w14:textId="77777777" w:rsidR="00790A0D" w:rsidRPr="00DD47DF" w:rsidRDefault="00790A0D" w:rsidP="006D2F5F">
            <w:pPr>
              <w:pStyle w:val="Tabulka"/>
              <w:jc w:val="left"/>
              <w:rPr>
                <w:rFonts w:cs="Calibri"/>
              </w:rPr>
            </w:pPr>
          </w:p>
        </w:tc>
      </w:tr>
    </w:tbl>
    <w:p w14:paraId="7BBD9FA6" w14:textId="77777777" w:rsidR="00790A0D" w:rsidRPr="00DD47DF" w:rsidRDefault="00790A0D" w:rsidP="00790A0D"/>
    <w:p w14:paraId="34A2956C" w14:textId="77777777" w:rsidR="004B5A6C" w:rsidRPr="00DD47DF" w:rsidRDefault="00F64D76" w:rsidP="004A282B">
      <w:pPr>
        <w:pStyle w:val="Nadpis2"/>
        <w:keepLines/>
        <w:rPr>
          <w:rFonts w:cs="Calibri"/>
        </w:rPr>
      </w:pPr>
      <w:bookmarkStart w:id="138" w:name="_Toc520445342"/>
      <w:r w:rsidRPr="00DD47DF">
        <w:rPr>
          <w:rFonts w:cs="Calibri"/>
        </w:rPr>
        <w:t>Popis opatření ke splnění předběžných podmínek, odpovědných subjektů a harmonogramu</w:t>
      </w:r>
      <w:bookmarkEnd w:id="138"/>
    </w:p>
    <w:p w14:paraId="5C4B1C49" w14:textId="77777777" w:rsidR="007E3732" w:rsidRPr="00DD47DF" w:rsidRDefault="007E3732" w:rsidP="004A282B">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25</w:t>
      </w:r>
      <w:r w:rsidR="002756E7" w:rsidRPr="00DD47DF">
        <w:rPr>
          <w:noProof/>
        </w:rPr>
        <w:fldChar w:fldCharType="end"/>
      </w:r>
      <w:r w:rsidRPr="00DD47DF">
        <w:t xml:space="preserve">: </w:t>
      </w:r>
      <w:r w:rsidR="00436FDF" w:rsidRPr="00DD47DF">
        <w:t>O</w:t>
      </w:r>
      <w:r w:rsidR="00FF200C" w:rsidRPr="00DD47DF">
        <w:t xml:space="preserve">patření, která </w:t>
      </w:r>
      <w:r w:rsidR="00436FDF" w:rsidRPr="00DD47DF">
        <w:t>je třeba přijmout, aby byly splněny platné obecné předběžné podmínky</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851"/>
        <w:gridCol w:w="2502"/>
        <w:gridCol w:w="4338"/>
        <w:gridCol w:w="1984"/>
        <w:gridCol w:w="2617"/>
      </w:tblGrid>
      <w:tr w:rsidR="005237DD" w:rsidRPr="00DD47DF" w14:paraId="4A4E77AE" w14:textId="77777777" w:rsidTr="008A20D2">
        <w:trPr>
          <w:trHeight w:val="647"/>
        </w:trPr>
        <w:tc>
          <w:tcPr>
            <w:tcW w:w="0" w:type="auto"/>
            <w:tcBorders>
              <w:bottom w:val="single" w:sz="4" w:space="0" w:color="auto"/>
            </w:tcBorders>
            <w:shd w:val="clear" w:color="auto" w:fill="B8CCE4"/>
            <w:vAlign w:val="center"/>
          </w:tcPr>
          <w:p w14:paraId="4889045F" w14:textId="77777777" w:rsidR="00790A0D" w:rsidRPr="00DD47DF" w:rsidRDefault="00790A0D" w:rsidP="006D2F5F">
            <w:pPr>
              <w:pStyle w:val="Tabulka"/>
              <w:keepNext/>
              <w:keepLines/>
              <w:rPr>
                <w:rFonts w:eastAsia="Calibri" w:cs="Calibri"/>
                <w:b/>
              </w:rPr>
            </w:pPr>
            <w:r w:rsidRPr="00DD47DF">
              <w:rPr>
                <w:rFonts w:eastAsia="Calibri" w:cs="Calibri"/>
                <w:b/>
              </w:rPr>
              <w:t>Obecné předběžné podmínky</w:t>
            </w:r>
          </w:p>
        </w:tc>
        <w:tc>
          <w:tcPr>
            <w:tcW w:w="0" w:type="auto"/>
            <w:tcBorders>
              <w:bottom w:val="single" w:sz="4" w:space="0" w:color="auto"/>
            </w:tcBorders>
            <w:shd w:val="clear" w:color="auto" w:fill="B8CCE4"/>
            <w:vAlign w:val="center"/>
          </w:tcPr>
          <w:p w14:paraId="4B7980E9" w14:textId="77777777" w:rsidR="00790A0D" w:rsidRPr="00DD47DF" w:rsidRDefault="00790A0D" w:rsidP="006D2F5F">
            <w:pPr>
              <w:pStyle w:val="Tabulka"/>
              <w:keepNext/>
              <w:keepLines/>
              <w:rPr>
                <w:rFonts w:eastAsia="Calibri" w:cs="Calibri"/>
                <w:b/>
              </w:rPr>
            </w:pPr>
            <w:r w:rsidRPr="00DD47DF">
              <w:rPr>
                <w:rFonts w:eastAsia="Calibri" w:cs="Calibri"/>
                <w:b/>
              </w:rPr>
              <w:t>Nesplněná kritéria</w:t>
            </w:r>
          </w:p>
        </w:tc>
        <w:tc>
          <w:tcPr>
            <w:tcW w:w="0" w:type="auto"/>
            <w:tcBorders>
              <w:bottom w:val="single" w:sz="4" w:space="0" w:color="auto"/>
            </w:tcBorders>
            <w:shd w:val="clear" w:color="auto" w:fill="B8CCE4"/>
            <w:vAlign w:val="center"/>
          </w:tcPr>
          <w:p w14:paraId="0F5340AA" w14:textId="77777777" w:rsidR="00790A0D" w:rsidRPr="00DD47DF" w:rsidRDefault="00790A0D" w:rsidP="006D2F5F">
            <w:pPr>
              <w:pStyle w:val="Tabulka"/>
              <w:keepNext/>
              <w:keepLines/>
              <w:rPr>
                <w:rFonts w:eastAsia="Calibri" w:cs="Calibri"/>
                <w:b/>
              </w:rPr>
            </w:pPr>
            <w:r w:rsidRPr="00DD47DF">
              <w:rPr>
                <w:rFonts w:eastAsia="Calibri" w:cs="Calibri"/>
                <w:b/>
              </w:rPr>
              <w:t>Opatření, která je třeba přijmout</w:t>
            </w:r>
            <w:r w:rsidRPr="00DD47DF">
              <w:rPr>
                <w:rStyle w:val="Znakapoznpodarou"/>
                <w:rFonts w:eastAsia="Calibri" w:cs="Calibri"/>
              </w:rPr>
              <w:footnoteReference w:id="105"/>
            </w:r>
          </w:p>
        </w:tc>
        <w:tc>
          <w:tcPr>
            <w:tcW w:w="1984" w:type="dxa"/>
            <w:tcBorders>
              <w:bottom w:val="single" w:sz="4" w:space="0" w:color="auto"/>
            </w:tcBorders>
            <w:shd w:val="clear" w:color="auto" w:fill="B8CCE4"/>
            <w:vAlign w:val="center"/>
          </w:tcPr>
          <w:p w14:paraId="07E48151" w14:textId="77777777" w:rsidR="00790A0D" w:rsidRPr="00DD47DF" w:rsidRDefault="00790A0D" w:rsidP="006D2F5F">
            <w:pPr>
              <w:pStyle w:val="Tabulka"/>
              <w:keepNext/>
              <w:keepLines/>
              <w:rPr>
                <w:rFonts w:eastAsia="Calibri" w:cs="Calibri"/>
                <w:b/>
              </w:rPr>
            </w:pPr>
            <w:r w:rsidRPr="00DD47DF">
              <w:rPr>
                <w:rFonts w:eastAsia="Calibri" w:cs="Calibri"/>
                <w:b/>
              </w:rPr>
              <w:t>Lhůta (datum)</w:t>
            </w:r>
          </w:p>
        </w:tc>
        <w:tc>
          <w:tcPr>
            <w:tcW w:w="2617" w:type="dxa"/>
            <w:tcBorders>
              <w:bottom w:val="single" w:sz="4" w:space="0" w:color="auto"/>
            </w:tcBorders>
            <w:shd w:val="clear" w:color="auto" w:fill="B8CCE4"/>
            <w:vAlign w:val="center"/>
          </w:tcPr>
          <w:p w14:paraId="6441C5CF" w14:textId="77777777" w:rsidR="00790A0D" w:rsidRPr="00DD47DF" w:rsidRDefault="00790A0D" w:rsidP="006D2F5F">
            <w:pPr>
              <w:pStyle w:val="Tabulka"/>
              <w:keepNext/>
              <w:keepLines/>
              <w:rPr>
                <w:rFonts w:eastAsia="Calibri" w:cs="Calibri"/>
                <w:b/>
              </w:rPr>
            </w:pPr>
            <w:r w:rsidRPr="00DD47DF">
              <w:rPr>
                <w:rFonts w:eastAsia="Calibri" w:cs="Calibri"/>
                <w:b/>
              </w:rPr>
              <w:t>Subjekty odpovědné za plnění</w:t>
            </w:r>
          </w:p>
        </w:tc>
      </w:tr>
      <w:tr w:rsidR="005D3E2A" w:rsidRPr="00DD47DF" w14:paraId="17832560" w14:textId="77777777" w:rsidTr="00CE492D">
        <w:trPr>
          <w:trHeight w:val="414"/>
        </w:trPr>
        <w:tc>
          <w:tcPr>
            <w:tcW w:w="0" w:type="auto"/>
            <w:vMerge w:val="restart"/>
            <w:tcBorders>
              <w:top w:val="single" w:sz="4" w:space="0" w:color="auto"/>
              <w:left w:val="single" w:sz="4" w:space="0" w:color="auto"/>
              <w:right w:val="single" w:sz="4" w:space="0" w:color="auto"/>
            </w:tcBorders>
            <w:shd w:val="clear" w:color="auto" w:fill="auto"/>
          </w:tcPr>
          <w:p w14:paraId="3F52341D" w14:textId="77777777" w:rsidR="005D3E2A" w:rsidRPr="00DD47DF" w:rsidRDefault="005D3E2A" w:rsidP="006D2F5F">
            <w:pPr>
              <w:pStyle w:val="Tabulka"/>
              <w:jc w:val="left"/>
              <w:rPr>
                <w:rFonts w:cs="Calibri"/>
                <w:b/>
              </w:rPr>
            </w:pPr>
            <w:r w:rsidRPr="00DD47DF">
              <w:rPr>
                <w:rFonts w:cs="Calibri"/>
                <w:b/>
              </w:rPr>
              <w:t>Existence opatření pro účinné uplatňování právních předpisů Unie o veřejných zakázkách v oblasti fondů ESI.</w:t>
            </w:r>
          </w:p>
          <w:p w14:paraId="4FA61793" w14:textId="77777777" w:rsidR="005D3E2A" w:rsidRPr="00DD47DF" w:rsidRDefault="005D3E2A" w:rsidP="006D2F5F">
            <w:pPr>
              <w:pStyle w:val="Tabulka"/>
              <w:widowControl w:val="0"/>
              <w:jc w:val="left"/>
              <w:rPr>
                <w:rFonts w:cs="Calibri"/>
                <w:b/>
              </w:rPr>
            </w:pPr>
          </w:p>
        </w:tc>
        <w:tc>
          <w:tcPr>
            <w:tcW w:w="0" w:type="auto"/>
            <w:vMerge w:val="restart"/>
            <w:tcBorders>
              <w:top w:val="single" w:sz="4" w:space="0" w:color="auto"/>
              <w:left w:val="single" w:sz="4" w:space="0" w:color="auto"/>
              <w:right w:val="single" w:sz="4" w:space="0" w:color="auto"/>
            </w:tcBorders>
            <w:shd w:val="clear" w:color="auto" w:fill="auto"/>
          </w:tcPr>
          <w:p w14:paraId="31E3307B" w14:textId="77777777" w:rsidR="005D3E2A" w:rsidRPr="00DD47DF" w:rsidRDefault="005D3E2A" w:rsidP="006D2F5F">
            <w:pPr>
              <w:pStyle w:val="Tabulka"/>
              <w:widowControl w:val="0"/>
              <w:jc w:val="left"/>
              <w:rPr>
                <w:rFonts w:cs="Calibri"/>
              </w:rPr>
            </w:pPr>
            <w:r w:rsidRPr="00DD47DF">
              <w:rPr>
                <w:rFonts w:cs="Calibri"/>
              </w:rPr>
              <w:t>Opatření pro účinné uplatňování předpisů Unie o veřejných zakázkách prostřednictvím odpovídajících mechanismů</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C79C7F" w14:textId="77777777" w:rsidR="005D3E2A" w:rsidRPr="00DD47DF" w:rsidRDefault="005D3E2A" w:rsidP="00B67B43">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 xml:space="preserve">Bude připraven zcela nový zákon o vz, který bude představovat transpozici nových zadávacích směrnic EU. </w:t>
            </w:r>
          </w:p>
          <w:p w14:paraId="4BCBAEB8" w14:textId="77777777" w:rsidR="005D3E2A" w:rsidRPr="00DD47DF" w:rsidRDefault="005D3E2A" w:rsidP="00B67B43">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18.4.2016</w:t>
            </w:r>
          </w:p>
          <w:p w14:paraId="5FFAA8FA" w14:textId="77777777" w:rsidR="005D3E2A" w:rsidRPr="00DD47DF" w:rsidRDefault="005D3E2A" w:rsidP="00B67B43">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Základní principy nového zákona:</w:t>
            </w:r>
          </w:p>
          <w:p w14:paraId="2E315A62" w14:textId="77777777" w:rsidR="005D3E2A" w:rsidRPr="00DD47DF" w:rsidRDefault="005D3E2A" w:rsidP="00DD47DF">
            <w:pPr>
              <w:pStyle w:val="DAVA"/>
              <w:numPr>
                <w:ilvl w:val="0"/>
                <w:numId w:val="101"/>
              </w:numPr>
              <w:spacing w:before="80" w:after="80"/>
              <w:ind w:left="339"/>
              <w:rPr>
                <w:rFonts w:ascii="Times New Roman" w:hAnsi="Times New Roman"/>
                <w:sz w:val="22"/>
                <w:szCs w:val="22"/>
                <w:lang w:eastAsia="cs-CZ"/>
              </w:rPr>
            </w:pPr>
            <w:r w:rsidRPr="00DD47DF">
              <w:rPr>
                <w:rFonts w:ascii="Times New Roman" w:hAnsi="Times New Roman"/>
                <w:sz w:val="22"/>
                <w:szCs w:val="22"/>
                <w:lang w:eastAsia="cs-CZ"/>
              </w:rPr>
              <w:t xml:space="preserve">transpozice všech relevantních (povinných) </w:t>
            </w:r>
            <w:r w:rsidRPr="00DD47DF">
              <w:rPr>
                <w:rFonts w:ascii="Times New Roman" w:hAnsi="Times New Roman"/>
                <w:sz w:val="22"/>
                <w:szCs w:val="22"/>
                <w:lang w:eastAsia="cs-CZ"/>
              </w:rPr>
              <w:lastRenderedPageBreak/>
              <w:t xml:space="preserve">ustanovení, </w:t>
            </w:r>
          </w:p>
          <w:p w14:paraId="36653A18" w14:textId="77777777" w:rsidR="005D3E2A" w:rsidRPr="00DD47DF" w:rsidRDefault="005D3E2A" w:rsidP="00DD47DF">
            <w:pPr>
              <w:pStyle w:val="DAVA"/>
              <w:numPr>
                <w:ilvl w:val="0"/>
                <w:numId w:val="101"/>
              </w:numPr>
              <w:spacing w:before="80" w:after="80"/>
              <w:ind w:left="339"/>
              <w:rPr>
                <w:rFonts w:ascii="Times New Roman" w:hAnsi="Times New Roman"/>
                <w:sz w:val="22"/>
                <w:szCs w:val="22"/>
                <w:lang w:eastAsia="cs-CZ"/>
              </w:rPr>
            </w:pPr>
            <w:r w:rsidRPr="00DD47DF">
              <w:rPr>
                <w:rFonts w:ascii="Times New Roman" w:hAnsi="Times New Roman"/>
                <w:sz w:val="22"/>
                <w:szCs w:val="22"/>
                <w:lang w:eastAsia="cs-CZ"/>
              </w:rPr>
              <w:t>obdobný režim pro podlimitní vz</w:t>
            </w:r>
          </w:p>
          <w:p w14:paraId="6472720C" w14:textId="77777777" w:rsidR="005D3E2A" w:rsidRPr="00DD47DF" w:rsidRDefault="005D3E2A" w:rsidP="00DD47DF">
            <w:pPr>
              <w:pStyle w:val="DAVA"/>
              <w:numPr>
                <w:ilvl w:val="0"/>
                <w:numId w:val="101"/>
              </w:numPr>
              <w:spacing w:before="80" w:after="80"/>
              <w:ind w:left="339"/>
              <w:rPr>
                <w:rFonts w:ascii="Times New Roman" w:hAnsi="Times New Roman"/>
                <w:sz w:val="22"/>
                <w:szCs w:val="22"/>
                <w:lang w:eastAsia="cs-CZ"/>
              </w:rPr>
            </w:pPr>
            <w:r w:rsidRPr="00DD47DF">
              <w:rPr>
                <w:rFonts w:ascii="Times New Roman" w:hAnsi="Times New Roman"/>
                <w:sz w:val="22"/>
                <w:szCs w:val="22"/>
                <w:lang w:eastAsia="cs-CZ"/>
              </w:rPr>
              <w:t>snížení administrativní náročnosti zadávání,</w:t>
            </w:r>
          </w:p>
          <w:p w14:paraId="158E3391" w14:textId="77777777" w:rsidR="005D3E2A" w:rsidRPr="00DD47DF" w:rsidRDefault="005D3E2A" w:rsidP="00DD47DF">
            <w:pPr>
              <w:pStyle w:val="DAVA"/>
              <w:numPr>
                <w:ilvl w:val="0"/>
                <w:numId w:val="101"/>
              </w:numPr>
              <w:spacing w:before="80" w:after="80"/>
              <w:ind w:left="339"/>
              <w:rPr>
                <w:rFonts w:ascii="Times New Roman" w:hAnsi="Times New Roman"/>
                <w:sz w:val="22"/>
                <w:szCs w:val="22"/>
                <w:lang w:eastAsia="cs-CZ"/>
              </w:rPr>
            </w:pPr>
            <w:r w:rsidRPr="00DD47DF">
              <w:rPr>
                <w:rFonts w:ascii="Times New Roman" w:hAnsi="Times New Roman"/>
                <w:sz w:val="22"/>
                <w:szCs w:val="22"/>
                <w:lang w:eastAsia="cs-CZ"/>
              </w:rPr>
              <w:t>zvýšení elektronizace (použití elektronických nástrojů) při zadávání bude odpovídat povinnostem uvedeným v nových směrnicích,</w:t>
            </w:r>
          </w:p>
          <w:p w14:paraId="0B5D0929" w14:textId="77777777" w:rsidR="005D3E2A" w:rsidRPr="00DD47DF" w:rsidRDefault="005D3E2A" w:rsidP="00DD47DF">
            <w:pPr>
              <w:overflowPunct/>
              <w:autoSpaceDE/>
              <w:autoSpaceDN/>
              <w:adjustRightInd/>
              <w:spacing w:line="276" w:lineRule="auto"/>
              <w:ind w:left="709" w:hanging="283"/>
              <w:textAlignment w:val="auto"/>
              <w:rPr>
                <w:sz w:val="22"/>
                <w:szCs w:val="22"/>
              </w:rPr>
            </w:pPr>
            <w:r w:rsidRPr="00DD47DF">
              <w:rPr>
                <w:sz w:val="22"/>
                <w:szCs w:val="22"/>
              </w:rPr>
              <w:t>a)  ČR  k 18. 4. 2016 přijme zákonnou úpravu o povinném elektronickém zadávání vz v souladu se směrnicemi 2014/23</w:t>
            </w:r>
            <w:r w:rsidR="001F7B00">
              <w:rPr>
                <w:sz w:val="22"/>
                <w:szCs w:val="22"/>
              </w:rPr>
              <w:t>/ES, 2014/24/ES a 2014/25/ES.</w:t>
            </w:r>
            <w:r w:rsidRPr="00DD47DF">
              <w:rPr>
                <w:sz w:val="22"/>
                <w:szCs w:val="22"/>
              </w:rPr>
              <w:t xml:space="preserve"> Zavedení elektronizace v termínech požadovaných SM EU 2014/24.</w:t>
            </w:r>
          </w:p>
          <w:p w14:paraId="0B352850" w14:textId="77777777" w:rsidR="005D3E2A" w:rsidRPr="00DD47DF" w:rsidRDefault="005D3E2A" w:rsidP="00DD47DF">
            <w:pPr>
              <w:pStyle w:val="Odstavecseseznamem"/>
              <w:numPr>
                <w:ilvl w:val="0"/>
                <w:numId w:val="134"/>
              </w:numPr>
              <w:overflowPunct/>
              <w:autoSpaceDE/>
              <w:autoSpaceDN/>
              <w:adjustRightInd/>
              <w:spacing w:line="276" w:lineRule="auto"/>
              <w:ind w:left="709" w:hanging="283"/>
              <w:textAlignment w:val="auto"/>
              <w:rPr>
                <w:sz w:val="22"/>
                <w:szCs w:val="22"/>
              </w:rPr>
            </w:pPr>
            <w:r w:rsidRPr="00DD47DF">
              <w:rPr>
                <w:sz w:val="22"/>
                <w:szCs w:val="22"/>
              </w:rPr>
              <w:t>spuštění ostrého provozu Národního elektronického nástroje (NEN), 1. 10. 2015</w:t>
            </w:r>
          </w:p>
          <w:p w14:paraId="1158444E" w14:textId="77777777" w:rsidR="005D3E2A" w:rsidRPr="00DD47DF" w:rsidRDefault="005D3E2A" w:rsidP="00DD47DF">
            <w:pPr>
              <w:pStyle w:val="Odstavecseseznamem"/>
              <w:numPr>
                <w:ilvl w:val="0"/>
                <w:numId w:val="134"/>
              </w:numPr>
              <w:overflowPunct/>
              <w:autoSpaceDE/>
              <w:autoSpaceDN/>
              <w:adjustRightInd/>
              <w:spacing w:line="276" w:lineRule="auto"/>
              <w:ind w:left="709" w:hanging="283"/>
              <w:textAlignment w:val="auto"/>
              <w:rPr>
                <w:sz w:val="22"/>
                <w:szCs w:val="22"/>
              </w:rPr>
            </w:pPr>
            <w:r w:rsidRPr="00DD47DF">
              <w:rPr>
                <w:sz w:val="22"/>
                <w:szCs w:val="22"/>
              </w:rPr>
              <w:t>Vláda ČR rozhodne o povinnosti používat NEN pro jednotlivé druhy zadavatelů</w:t>
            </w:r>
            <w:r w:rsidR="00DD47DF" w:rsidRPr="00DD47DF">
              <w:rPr>
                <w:sz w:val="22"/>
                <w:szCs w:val="22"/>
              </w:rPr>
              <w:t xml:space="preserve">, </w:t>
            </w:r>
            <w:r w:rsidRPr="00DD47DF">
              <w:rPr>
                <w:sz w:val="22"/>
                <w:szCs w:val="22"/>
              </w:rPr>
              <w:t>31. 12. 2016</w:t>
            </w:r>
          </w:p>
          <w:p w14:paraId="02412381" w14:textId="77777777" w:rsidR="005D3E2A" w:rsidRPr="00DD47DF" w:rsidRDefault="005D3E2A" w:rsidP="00DD47DF">
            <w:pPr>
              <w:ind w:left="480" w:hanging="425"/>
              <w:rPr>
                <w:sz w:val="22"/>
                <w:szCs w:val="22"/>
              </w:rPr>
            </w:pPr>
            <w:r w:rsidRPr="00DD47DF">
              <w:rPr>
                <w:sz w:val="22"/>
                <w:szCs w:val="22"/>
              </w:rPr>
              <w:t>5) zohlednění zásady proporcionality v zadávacím řízení,</w:t>
            </w:r>
          </w:p>
          <w:p w14:paraId="17FBC410" w14:textId="77777777" w:rsidR="005D3E2A" w:rsidRPr="00DD47DF" w:rsidRDefault="005D3E2A" w:rsidP="00DD47DF">
            <w:pPr>
              <w:pStyle w:val="Tabulka"/>
              <w:widowControl w:val="0"/>
              <w:ind w:left="480" w:hanging="425"/>
              <w:jc w:val="left"/>
            </w:pPr>
            <w:r w:rsidRPr="00DD47DF">
              <w:t>6)    na základě analýz rozhodovací praxe UOHS a kontrolních a auditních zjištění budou zpracovány návrhy na úpravu legislativy. 31.12.2015</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09D5622" w14:textId="77777777" w:rsidR="005D3E2A" w:rsidRPr="00DD47DF" w:rsidRDefault="005D3E2A" w:rsidP="00307C8A">
            <w:pPr>
              <w:pStyle w:val="DAVA"/>
              <w:spacing w:before="80" w:after="80"/>
              <w:rPr>
                <w:rFonts w:ascii="Times New Roman" w:hAnsi="Times New Roman"/>
                <w:sz w:val="22"/>
                <w:szCs w:val="22"/>
              </w:rPr>
            </w:pPr>
            <w:r w:rsidRPr="00DD47DF">
              <w:rPr>
                <w:rFonts w:ascii="Times New Roman" w:hAnsi="Times New Roman"/>
                <w:sz w:val="22"/>
                <w:szCs w:val="22"/>
              </w:rPr>
              <w:lastRenderedPageBreak/>
              <w:t>31.12.2016</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1EFE294D" w14:textId="77777777" w:rsidR="005D3E2A" w:rsidRPr="00DD47DF" w:rsidRDefault="005D3E2A" w:rsidP="006D2F5F">
            <w:pPr>
              <w:pStyle w:val="Tabulka"/>
              <w:widowControl w:val="0"/>
              <w:jc w:val="left"/>
              <w:rPr>
                <w:rFonts w:cs="Calibri"/>
              </w:rPr>
            </w:pPr>
            <w:r w:rsidRPr="00DD47DF">
              <w:rPr>
                <w:rFonts w:cs="Calibri"/>
              </w:rPr>
              <w:t xml:space="preserve"> MMR</w:t>
            </w:r>
          </w:p>
        </w:tc>
      </w:tr>
      <w:tr w:rsidR="005D3E2A" w:rsidRPr="00DD47DF" w14:paraId="509CE92A" w14:textId="77777777" w:rsidTr="00D43AF5">
        <w:trPr>
          <w:trHeight w:val="414"/>
        </w:trPr>
        <w:tc>
          <w:tcPr>
            <w:tcW w:w="0" w:type="auto"/>
            <w:vMerge/>
            <w:tcBorders>
              <w:left w:val="single" w:sz="4" w:space="0" w:color="auto"/>
              <w:right w:val="single" w:sz="4" w:space="0" w:color="auto"/>
            </w:tcBorders>
            <w:shd w:val="clear" w:color="auto" w:fill="auto"/>
          </w:tcPr>
          <w:p w14:paraId="1D3D8268" w14:textId="77777777" w:rsidR="005D3E2A" w:rsidRPr="00DD47DF" w:rsidRDefault="005D3E2A" w:rsidP="006D2F5F">
            <w:pPr>
              <w:pStyle w:val="Tabulka"/>
              <w:jc w:val="left"/>
              <w:rPr>
                <w:rFonts w:cs="Calibri"/>
                <w:b/>
              </w:rPr>
            </w:pPr>
          </w:p>
        </w:tc>
        <w:tc>
          <w:tcPr>
            <w:tcW w:w="0" w:type="auto"/>
            <w:vMerge/>
            <w:tcBorders>
              <w:left w:val="single" w:sz="4" w:space="0" w:color="auto"/>
              <w:right w:val="single" w:sz="4" w:space="0" w:color="auto"/>
            </w:tcBorders>
            <w:shd w:val="clear" w:color="auto" w:fill="auto"/>
          </w:tcPr>
          <w:p w14:paraId="5BC0A1E7" w14:textId="77777777" w:rsidR="005D3E2A" w:rsidRPr="00DD47DF" w:rsidRDefault="005D3E2A" w:rsidP="006D2F5F">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0FF7C2" w14:textId="77777777" w:rsidR="005D3E2A" w:rsidRPr="00DD47DF" w:rsidRDefault="005D3E2A" w:rsidP="00B67B43">
            <w:pPr>
              <w:pStyle w:val="DAVA"/>
              <w:spacing w:before="80" w:after="80"/>
              <w:rPr>
                <w:rFonts w:ascii="Times New Roman" w:hAnsi="Times New Roman"/>
                <w:sz w:val="22"/>
                <w:szCs w:val="22"/>
              </w:rPr>
            </w:pPr>
            <w:r w:rsidRPr="00DD47DF">
              <w:rPr>
                <w:rFonts w:ascii="Times New Roman" w:hAnsi="Times New Roman"/>
                <w:sz w:val="22"/>
                <w:szCs w:val="22"/>
              </w:rPr>
              <w:t xml:space="preserve">Provedení série opatření, jejichž cílem bude zefektivnění dohledové činnosti ÚOHS  - zejména s ohledem na zkrácení lhůt k rozhodování. </w:t>
            </w:r>
          </w:p>
          <w:p w14:paraId="67A082F9" w14:textId="77777777" w:rsidR="005D3E2A" w:rsidRPr="00DD47DF" w:rsidRDefault="005D3E2A" w:rsidP="00B67B43">
            <w:pPr>
              <w:pStyle w:val="DAVA"/>
              <w:spacing w:before="80" w:after="80"/>
              <w:rPr>
                <w:rFonts w:ascii="Times New Roman" w:hAnsi="Times New Roman"/>
                <w:sz w:val="22"/>
                <w:szCs w:val="22"/>
              </w:rPr>
            </w:pPr>
            <w:r w:rsidRPr="00DD47DF">
              <w:rPr>
                <w:rFonts w:ascii="Times New Roman" w:hAnsi="Times New Roman"/>
                <w:sz w:val="22"/>
                <w:szCs w:val="22"/>
              </w:rPr>
              <w:lastRenderedPageBreak/>
              <w:t>Nelegislativní opatření:</w:t>
            </w:r>
          </w:p>
          <w:p w14:paraId="13CD7ED3" w14:textId="77777777" w:rsidR="005D3E2A" w:rsidRPr="00DD47DF" w:rsidRDefault="005D3E2A" w:rsidP="00DD47DF">
            <w:pPr>
              <w:pStyle w:val="DAVA"/>
              <w:numPr>
                <w:ilvl w:val="0"/>
                <w:numId w:val="123"/>
              </w:numPr>
              <w:spacing w:before="80" w:after="80"/>
              <w:ind w:left="355"/>
              <w:rPr>
                <w:rFonts w:ascii="Times New Roman" w:hAnsi="Times New Roman"/>
                <w:sz w:val="22"/>
                <w:szCs w:val="22"/>
                <w:lang w:eastAsia="cs-CZ"/>
              </w:rPr>
            </w:pPr>
            <w:r w:rsidRPr="00DD47DF">
              <w:rPr>
                <w:rFonts w:ascii="Times New Roman" w:hAnsi="Times New Roman"/>
                <w:sz w:val="22"/>
                <w:szCs w:val="22"/>
              </w:rPr>
              <w:t>Standardizace podnětů k zahájení řízení o přezkoumání úkonů zadavatele zasílaných ŘO.</w:t>
            </w:r>
          </w:p>
          <w:p w14:paraId="4D871B80" w14:textId="77777777" w:rsidR="005D3E2A" w:rsidRPr="00DD47DF" w:rsidRDefault="005D3E2A" w:rsidP="00DD47DF">
            <w:pPr>
              <w:pStyle w:val="DAVA"/>
              <w:spacing w:before="80" w:after="80"/>
              <w:ind w:left="355"/>
              <w:rPr>
                <w:rFonts w:ascii="Times New Roman" w:hAnsi="Times New Roman"/>
                <w:sz w:val="22"/>
                <w:szCs w:val="22"/>
                <w:lang w:eastAsia="cs-CZ"/>
              </w:rPr>
            </w:pPr>
            <w:r w:rsidRPr="00DD47DF">
              <w:rPr>
                <w:rFonts w:ascii="Times New Roman" w:hAnsi="Times New Roman"/>
                <w:sz w:val="22"/>
                <w:szCs w:val="22"/>
              </w:rPr>
              <w:t>30.6.2015</w:t>
            </w:r>
          </w:p>
          <w:p w14:paraId="5336D5D7" w14:textId="77777777" w:rsidR="005D3E2A" w:rsidRPr="00DD47DF" w:rsidRDefault="005D3E2A" w:rsidP="00B67B43">
            <w:pPr>
              <w:pStyle w:val="DAVA"/>
              <w:spacing w:before="80" w:after="80"/>
              <w:rPr>
                <w:rFonts w:ascii="Times New Roman" w:hAnsi="Times New Roman"/>
                <w:sz w:val="22"/>
                <w:szCs w:val="22"/>
                <w:lang w:eastAsia="cs-CZ"/>
              </w:rPr>
            </w:pPr>
            <w:r w:rsidRPr="00DD47DF">
              <w:rPr>
                <w:rFonts w:ascii="Times New Roman" w:hAnsi="Times New Roman"/>
                <w:sz w:val="22"/>
                <w:szCs w:val="22"/>
              </w:rPr>
              <w:t xml:space="preserve">Legislativní: </w:t>
            </w:r>
          </w:p>
          <w:p w14:paraId="79B678DC" w14:textId="77777777" w:rsidR="005D3E2A" w:rsidRPr="00DD47DF" w:rsidRDefault="005D3E2A" w:rsidP="00DD47DF">
            <w:pPr>
              <w:pStyle w:val="DAVA"/>
              <w:numPr>
                <w:ilvl w:val="0"/>
                <w:numId w:val="123"/>
              </w:numPr>
              <w:spacing w:before="80" w:after="80"/>
              <w:ind w:left="355"/>
              <w:rPr>
                <w:rFonts w:ascii="Times New Roman" w:hAnsi="Times New Roman"/>
                <w:sz w:val="22"/>
                <w:szCs w:val="22"/>
              </w:rPr>
            </w:pPr>
            <w:r w:rsidRPr="00DD47DF">
              <w:rPr>
                <w:rFonts w:ascii="Times New Roman" w:hAnsi="Times New Roman"/>
                <w:sz w:val="22"/>
                <w:szCs w:val="22"/>
                <w:lang w:eastAsia="cs-CZ"/>
              </w:rPr>
              <w:t xml:space="preserve">Dne 6.3.2015 vstoupila v účinnost Technická novela ZVZ, která upravuje řízení před UOHS. Předmětem úpravy je povinnost účastníků řízení předkládat veškeré návrhy a důkazní prostředky co nejdříve, nejpozději do 15 dnů od zahájení řízení. </w:t>
            </w:r>
          </w:p>
          <w:p w14:paraId="6847955E" w14:textId="77777777" w:rsidR="005D3E2A" w:rsidRPr="00DD47DF" w:rsidRDefault="005D3E2A" w:rsidP="00DD47DF">
            <w:pPr>
              <w:pStyle w:val="DAVA"/>
              <w:numPr>
                <w:ilvl w:val="0"/>
                <w:numId w:val="123"/>
              </w:numPr>
              <w:spacing w:before="80" w:after="80"/>
              <w:ind w:left="355"/>
              <w:rPr>
                <w:rFonts w:ascii="Times New Roman" w:hAnsi="Times New Roman"/>
                <w:sz w:val="22"/>
                <w:szCs w:val="22"/>
              </w:rPr>
            </w:pPr>
            <w:r w:rsidRPr="00DD47DF">
              <w:rPr>
                <w:rFonts w:ascii="Times New Roman" w:hAnsi="Times New Roman"/>
                <w:sz w:val="22"/>
                <w:szCs w:val="22"/>
                <w:lang w:eastAsia="cs-CZ"/>
              </w:rPr>
              <w:t>Při přípravě nového zákona dojde k dalšímu zvýšení elektronizace řízení před UOHS (povinnost zasílat dokumentaci v elektronické podobě) a zefektivnění činnosti UOHS.</w:t>
            </w:r>
          </w:p>
          <w:p w14:paraId="1D3A2452" w14:textId="77777777" w:rsidR="005D3E2A" w:rsidRPr="00DD47DF" w:rsidRDefault="00035BDD" w:rsidP="00DD47DF">
            <w:pPr>
              <w:pStyle w:val="DAVA"/>
              <w:spacing w:before="80" w:after="80"/>
              <w:ind w:left="355"/>
              <w:rPr>
                <w:rFonts w:ascii="Times New Roman" w:hAnsi="Times New Roman"/>
                <w:sz w:val="22"/>
                <w:szCs w:val="22"/>
              </w:rPr>
            </w:pPr>
            <w:r>
              <w:rPr>
                <w:rFonts w:ascii="Times New Roman" w:hAnsi="Times New Roman"/>
                <w:sz w:val="22"/>
                <w:szCs w:val="22"/>
                <w:lang w:eastAsia="cs-CZ"/>
              </w:rPr>
              <w:t>18.4.2016</w:t>
            </w:r>
          </w:p>
          <w:p w14:paraId="5A902A37" w14:textId="77777777" w:rsidR="005D3E2A" w:rsidRPr="00DD47DF" w:rsidRDefault="005D3E2A" w:rsidP="00B67B43">
            <w:pPr>
              <w:pStyle w:val="DAVA"/>
              <w:spacing w:before="80" w:after="80"/>
              <w:rPr>
                <w:rFonts w:ascii="Times New Roman" w:hAnsi="Times New Roman"/>
                <w:sz w:val="22"/>
                <w:szCs w:val="22"/>
              </w:rPr>
            </w:pPr>
            <w:r w:rsidRPr="00DD47DF">
              <w:rPr>
                <w:rFonts w:ascii="Times New Roman" w:hAnsi="Times New Roman"/>
                <w:sz w:val="22"/>
                <w:szCs w:val="22"/>
              </w:rPr>
              <w:t>MMR předloží Evropské komisi informaci o pokroku ve věci zpoždění s rozhodovací činností ÚOHS.</w:t>
            </w:r>
          </w:p>
          <w:p w14:paraId="67B0644F" w14:textId="77777777" w:rsidR="005D3E2A" w:rsidRPr="00DD47DF" w:rsidRDefault="005D3E2A" w:rsidP="00CE43D2">
            <w:pPr>
              <w:pStyle w:val="DAVA"/>
              <w:spacing w:before="80" w:after="80"/>
              <w:rPr>
                <w:rFonts w:ascii="Times New Roman" w:hAnsi="Times New Roman"/>
                <w:sz w:val="22"/>
                <w:szCs w:val="22"/>
              </w:rPr>
            </w:pPr>
            <w:r w:rsidRPr="00DD47DF">
              <w:rPr>
                <w:rFonts w:ascii="Times New Roman" w:hAnsi="Times New Roman"/>
                <w:sz w:val="22"/>
                <w:szCs w:val="22"/>
              </w:rPr>
              <w:t xml:space="preserve">30. 6. 2016 Zpráva o pokroku v rámci činnosti UOHS zahrnující body 1), 2) a 3)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5050CDA" w14:textId="77777777" w:rsidR="005D3E2A" w:rsidRPr="00DD47DF" w:rsidRDefault="005D3E2A" w:rsidP="00CE43D2">
            <w:pPr>
              <w:pStyle w:val="Tabulka"/>
              <w:widowControl w:val="0"/>
              <w:jc w:val="left"/>
              <w:rPr>
                <w:rFonts w:cs="Calibri"/>
              </w:rPr>
            </w:pPr>
            <w:r w:rsidRPr="00DD47DF">
              <w:lastRenderedPageBreak/>
              <w:t>18.4.2016</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5DCB0573" w14:textId="77777777" w:rsidR="005D3E2A" w:rsidRPr="00DD47DF" w:rsidRDefault="005D3E2A" w:rsidP="00CE43D2">
            <w:pPr>
              <w:pStyle w:val="DAVA"/>
              <w:spacing w:before="80" w:after="80"/>
              <w:rPr>
                <w:rFonts w:cs="Arial"/>
                <w:sz w:val="22"/>
                <w:szCs w:val="22"/>
              </w:rPr>
            </w:pPr>
            <w:r w:rsidRPr="00DD47DF">
              <w:rPr>
                <w:rFonts w:ascii="Times New Roman" w:hAnsi="Times New Roman"/>
                <w:sz w:val="22"/>
                <w:szCs w:val="22"/>
              </w:rPr>
              <w:t>MMR, UOHS</w:t>
            </w:r>
          </w:p>
        </w:tc>
      </w:tr>
      <w:tr w:rsidR="005D3E2A" w:rsidRPr="00DD47DF" w14:paraId="5E4C3AAC" w14:textId="77777777" w:rsidTr="00D43AF5">
        <w:trPr>
          <w:trHeight w:val="414"/>
        </w:trPr>
        <w:tc>
          <w:tcPr>
            <w:tcW w:w="0" w:type="auto"/>
            <w:vMerge/>
            <w:tcBorders>
              <w:left w:val="single" w:sz="4" w:space="0" w:color="auto"/>
              <w:right w:val="single" w:sz="4" w:space="0" w:color="auto"/>
            </w:tcBorders>
            <w:shd w:val="clear" w:color="auto" w:fill="auto"/>
          </w:tcPr>
          <w:p w14:paraId="2EA9C8AD" w14:textId="77777777" w:rsidR="005D3E2A" w:rsidRPr="00DD47DF" w:rsidRDefault="005D3E2A" w:rsidP="006D2F5F">
            <w:pPr>
              <w:pStyle w:val="Tabulka"/>
              <w:jc w:val="left"/>
              <w:rPr>
                <w:rFonts w:cs="Calibri"/>
                <w:b/>
              </w:rPr>
            </w:pPr>
          </w:p>
        </w:tc>
        <w:tc>
          <w:tcPr>
            <w:tcW w:w="0" w:type="auto"/>
            <w:vMerge/>
            <w:tcBorders>
              <w:left w:val="single" w:sz="4" w:space="0" w:color="auto"/>
              <w:right w:val="single" w:sz="4" w:space="0" w:color="auto"/>
            </w:tcBorders>
            <w:shd w:val="clear" w:color="auto" w:fill="auto"/>
          </w:tcPr>
          <w:p w14:paraId="42845536" w14:textId="77777777" w:rsidR="005D3E2A" w:rsidRPr="00DD47DF" w:rsidRDefault="005D3E2A" w:rsidP="006D2F5F">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C5D394" w14:textId="77777777" w:rsidR="005D3E2A" w:rsidRPr="00DD47DF" w:rsidRDefault="005D3E2A" w:rsidP="005D2C44">
            <w:pPr>
              <w:pStyle w:val="DAVA"/>
              <w:spacing w:before="80" w:after="80"/>
              <w:rPr>
                <w:rFonts w:ascii="Times New Roman" w:hAnsi="Times New Roman"/>
                <w:sz w:val="22"/>
                <w:szCs w:val="22"/>
              </w:rPr>
            </w:pPr>
            <w:r w:rsidRPr="00DD47DF">
              <w:rPr>
                <w:rFonts w:ascii="Times New Roman" w:hAnsi="Times New Roman"/>
                <w:sz w:val="22"/>
                <w:szCs w:val="22"/>
              </w:rPr>
              <w:t xml:space="preserve">MMR zpracuje každý rok zprávu o činnosti a pokroku tzv. Progress report, který bude sloužit jako hlavní nástroj identifikace nejčastějších pochybení a problémů v rámci zadávání. Po provedení identifikace problémů  budou </w:t>
            </w:r>
            <w:r w:rsidRPr="00DD47DF">
              <w:rPr>
                <w:rFonts w:ascii="Times New Roman" w:hAnsi="Times New Roman"/>
                <w:sz w:val="22"/>
                <w:szCs w:val="22"/>
              </w:rPr>
              <w:lastRenderedPageBreak/>
              <w:t>vydefinována i opatření.</w:t>
            </w:r>
          </w:p>
          <w:p w14:paraId="6552C23C" w14:textId="77777777" w:rsidR="005D3E2A" w:rsidRPr="00DD47DF" w:rsidRDefault="005D3E2A" w:rsidP="005D2C44">
            <w:pPr>
              <w:pStyle w:val="DAVA"/>
              <w:spacing w:before="80" w:after="80"/>
              <w:rPr>
                <w:rFonts w:ascii="Times New Roman" w:hAnsi="Times New Roman"/>
                <w:sz w:val="22"/>
                <w:szCs w:val="22"/>
              </w:rPr>
            </w:pPr>
            <w:r w:rsidRPr="00DD47DF">
              <w:rPr>
                <w:rFonts w:ascii="Times New Roman" w:hAnsi="Times New Roman"/>
                <w:sz w:val="22"/>
                <w:szCs w:val="22"/>
              </w:rPr>
              <w:t>Zpráva bude obsahovat:</w:t>
            </w:r>
          </w:p>
          <w:p w14:paraId="32F26019" w14:textId="77777777" w:rsidR="005D3E2A" w:rsidRPr="00DD47DF" w:rsidRDefault="005D3E2A" w:rsidP="00DD47DF">
            <w:pPr>
              <w:pStyle w:val="DAVA"/>
              <w:numPr>
                <w:ilvl w:val="0"/>
                <w:numId w:val="124"/>
              </w:numPr>
              <w:spacing w:before="80" w:after="80"/>
              <w:ind w:left="568"/>
              <w:rPr>
                <w:rFonts w:ascii="Times New Roman" w:hAnsi="Times New Roman"/>
                <w:sz w:val="22"/>
                <w:szCs w:val="22"/>
                <w:lang w:eastAsia="cs-CZ"/>
              </w:rPr>
            </w:pPr>
            <w:r w:rsidRPr="00DD47DF">
              <w:rPr>
                <w:rFonts w:ascii="Times New Roman" w:hAnsi="Times New Roman"/>
                <w:sz w:val="22"/>
                <w:szCs w:val="22"/>
              </w:rPr>
              <w:t xml:space="preserve">seznam analyzovaných podkladů - rozhodnutí UOHS, soudů, </w:t>
            </w:r>
            <w:r w:rsidRPr="00DD47DF">
              <w:rPr>
                <w:rFonts w:ascii="Times New Roman" w:hAnsi="Times New Roman"/>
                <w:sz w:val="22"/>
                <w:szCs w:val="22"/>
                <w:lang w:eastAsia="cs-CZ"/>
              </w:rPr>
              <w:t xml:space="preserve">Soudního dvora EU </w:t>
            </w:r>
            <w:r w:rsidRPr="00DD47DF">
              <w:rPr>
                <w:rFonts w:ascii="Times New Roman" w:hAnsi="Times New Roman"/>
                <w:sz w:val="22"/>
                <w:szCs w:val="22"/>
              </w:rPr>
              <w:t xml:space="preserve">auditních zpráv, </w:t>
            </w:r>
            <w:r w:rsidRPr="00DD47DF">
              <w:rPr>
                <w:rFonts w:ascii="Times New Roman" w:hAnsi="Times New Roman"/>
                <w:sz w:val="22"/>
                <w:szCs w:val="22"/>
                <w:lang w:eastAsia="cs-CZ"/>
              </w:rPr>
              <w:t xml:space="preserve">které v ČR budou provádět auditoři z EÚD a EK, se zaměřením na analýzu negativních a pozitivních zjištění </w:t>
            </w:r>
          </w:p>
          <w:p w14:paraId="175D72EE" w14:textId="77777777" w:rsidR="005D3E2A" w:rsidRPr="00DD47DF" w:rsidRDefault="005D3E2A" w:rsidP="00DD47DF">
            <w:pPr>
              <w:pStyle w:val="DAVA"/>
              <w:numPr>
                <w:ilvl w:val="0"/>
                <w:numId w:val="124"/>
              </w:numPr>
              <w:spacing w:before="80" w:after="80"/>
              <w:ind w:left="568"/>
              <w:rPr>
                <w:rFonts w:ascii="Times New Roman" w:hAnsi="Times New Roman"/>
                <w:sz w:val="22"/>
                <w:szCs w:val="22"/>
              </w:rPr>
            </w:pPr>
            <w:r w:rsidRPr="00DD47DF">
              <w:rPr>
                <w:rFonts w:ascii="Times New Roman" w:hAnsi="Times New Roman"/>
                <w:sz w:val="22"/>
                <w:szCs w:val="22"/>
              </w:rPr>
              <w:t>Vyhodnocení souladu nastavení metodického prostředí s aplikační praxí a relevantní legislativou</w:t>
            </w:r>
          </w:p>
          <w:p w14:paraId="770ED1C0" w14:textId="77777777" w:rsidR="005D3E2A" w:rsidRPr="00DD47DF" w:rsidRDefault="005D3E2A" w:rsidP="00DD47DF">
            <w:pPr>
              <w:pStyle w:val="DAVA"/>
              <w:numPr>
                <w:ilvl w:val="0"/>
                <w:numId w:val="124"/>
              </w:numPr>
              <w:spacing w:before="80" w:after="80"/>
              <w:ind w:left="568"/>
              <w:rPr>
                <w:rFonts w:ascii="Times New Roman" w:hAnsi="Times New Roman"/>
                <w:sz w:val="22"/>
                <w:szCs w:val="22"/>
                <w:lang w:eastAsia="cs-CZ"/>
              </w:rPr>
            </w:pPr>
            <w:r w:rsidRPr="00DD47DF">
              <w:rPr>
                <w:rFonts w:ascii="Times New Roman" w:hAnsi="Times New Roman"/>
                <w:sz w:val="22"/>
                <w:szCs w:val="22"/>
                <w:lang w:eastAsia="cs-CZ"/>
              </w:rPr>
              <w:t>Vyhodnocení aplikační praxe v oblasti kontrol</w:t>
            </w:r>
          </w:p>
          <w:p w14:paraId="0E91A2EC" w14:textId="77777777" w:rsidR="005D3E2A" w:rsidRPr="00DD47DF" w:rsidRDefault="005D3E2A" w:rsidP="00DD47DF">
            <w:pPr>
              <w:pStyle w:val="DAVA"/>
              <w:numPr>
                <w:ilvl w:val="0"/>
                <w:numId w:val="124"/>
              </w:numPr>
              <w:spacing w:before="80" w:after="80"/>
              <w:ind w:left="568"/>
              <w:rPr>
                <w:rFonts w:ascii="Times New Roman" w:hAnsi="Times New Roman"/>
                <w:sz w:val="22"/>
                <w:szCs w:val="22"/>
                <w:lang w:eastAsia="cs-CZ"/>
              </w:rPr>
            </w:pPr>
            <w:r w:rsidRPr="00DD47DF">
              <w:rPr>
                <w:rFonts w:ascii="Times New Roman" w:hAnsi="Times New Roman"/>
                <w:sz w:val="22"/>
                <w:szCs w:val="22"/>
                <w:lang w:eastAsia="cs-CZ"/>
              </w:rPr>
              <w:t xml:space="preserve">Vyhodnocení funkčnosti systému prevence </w:t>
            </w:r>
          </w:p>
          <w:p w14:paraId="0423E811" w14:textId="77777777" w:rsidR="005D3E2A" w:rsidRPr="00DD47DF" w:rsidRDefault="005D3E2A" w:rsidP="00DD47DF">
            <w:pPr>
              <w:pStyle w:val="DAVA"/>
              <w:numPr>
                <w:ilvl w:val="0"/>
                <w:numId w:val="124"/>
              </w:numPr>
              <w:spacing w:before="80" w:after="80"/>
              <w:ind w:left="568"/>
              <w:rPr>
                <w:rFonts w:ascii="Times New Roman" w:hAnsi="Times New Roman"/>
                <w:sz w:val="22"/>
                <w:szCs w:val="22"/>
                <w:lang w:eastAsia="cs-CZ"/>
              </w:rPr>
            </w:pPr>
            <w:r w:rsidRPr="00DD47DF">
              <w:rPr>
                <w:rFonts w:ascii="Times New Roman" w:hAnsi="Times New Roman"/>
                <w:sz w:val="22"/>
                <w:szCs w:val="22"/>
              </w:rPr>
              <w:t>Seznam přijatých opatření (zpracovaná metodická doporučení, případné úpravy legislativních předpisů či metodik)</w:t>
            </w:r>
          </w:p>
          <w:p w14:paraId="708A8DB8" w14:textId="77777777" w:rsidR="005D3E2A" w:rsidRPr="00DD47DF" w:rsidRDefault="005D3E2A" w:rsidP="00DD47DF">
            <w:pPr>
              <w:pStyle w:val="DAVA"/>
              <w:numPr>
                <w:ilvl w:val="0"/>
                <w:numId w:val="124"/>
              </w:numPr>
              <w:spacing w:before="80" w:after="80"/>
              <w:ind w:left="568"/>
              <w:rPr>
                <w:rFonts w:ascii="Times New Roman" w:hAnsi="Times New Roman"/>
                <w:sz w:val="22"/>
                <w:szCs w:val="22"/>
                <w:lang w:eastAsia="cs-CZ"/>
              </w:rPr>
            </w:pPr>
            <w:r w:rsidRPr="00DD47DF">
              <w:rPr>
                <w:rFonts w:ascii="Times New Roman" w:hAnsi="Times New Roman"/>
                <w:sz w:val="22"/>
                <w:szCs w:val="22"/>
              </w:rPr>
              <w:t xml:space="preserve">analýzu dopadů přijatých opatření a analýzu příčin chybovosti.  </w:t>
            </w:r>
          </w:p>
          <w:p w14:paraId="0E6BB8DE" w14:textId="77777777" w:rsidR="005D3E2A" w:rsidRPr="00DD47DF" w:rsidRDefault="005D3E2A" w:rsidP="00DD47DF">
            <w:pPr>
              <w:pStyle w:val="Tabulka"/>
              <w:widowControl w:val="0"/>
              <w:numPr>
                <w:ilvl w:val="0"/>
                <w:numId w:val="124"/>
              </w:numPr>
              <w:ind w:left="568"/>
              <w:jc w:val="left"/>
            </w:pPr>
            <w:r w:rsidRPr="00DD47DF">
              <w:t>Návrhy opatření legislativního i nelegislativního charakteru vydefinovaného na základě výše uvedených bodů, včetně harmonogramu.</w:t>
            </w:r>
          </w:p>
          <w:p w14:paraId="559FDB36" w14:textId="77777777" w:rsidR="005D3E2A" w:rsidRPr="00DD47DF" w:rsidRDefault="005D3E2A" w:rsidP="00DD47DF">
            <w:pPr>
              <w:pStyle w:val="DAVA"/>
              <w:spacing w:before="80" w:after="80"/>
              <w:ind w:left="568"/>
              <w:rPr>
                <w:rFonts w:ascii="Times New Roman" w:hAnsi="Times New Roman"/>
                <w:sz w:val="22"/>
                <w:szCs w:val="22"/>
              </w:rPr>
            </w:pPr>
            <w:r w:rsidRPr="00DD47DF">
              <w:rPr>
                <w:rFonts w:ascii="Times New Roman" w:hAnsi="Times New Roman"/>
                <w:sz w:val="22"/>
                <w:szCs w:val="22"/>
              </w:rPr>
              <w:t>31. 12. 2015</w:t>
            </w:r>
          </w:p>
          <w:p w14:paraId="70A99A27" w14:textId="77777777" w:rsidR="005D3E2A" w:rsidRPr="00DD47DF" w:rsidRDefault="005D3E2A" w:rsidP="00DD47DF">
            <w:pPr>
              <w:pStyle w:val="Tabulka"/>
              <w:widowControl w:val="0"/>
              <w:ind w:left="568"/>
              <w:jc w:val="left"/>
              <w:rPr>
                <w:rFonts w:cs="Calibri"/>
              </w:rPr>
            </w:pPr>
            <w:r w:rsidRPr="00DD47DF">
              <w:t>31. 12. 2016</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58BCDD1" w14:textId="77777777" w:rsidR="005D3E2A" w:rsidRPr="00DD47DF" w:rsidRDefault="005D3E2A" w:rsidP="005D2C44">
            <w:pPr>
              <w:pStyle w:val="DAVA"/>
              <w:spacing w:before="80" w:after="80"/>
              <w:rPr>
                <w:rFonts w:ascii="Times New Roman" w:hAnsi="Times New Roman"/>
                <w:sz w:val="22"/>
                <w:szCs w:val="22"/>
                <w:lang w:val="en-GB"/>
              </w:rPr>
            </w:pPr>
            <w:r w:rsidRPr="00DD47DF">
              <w:rPr>
                <w:rFonts w:ascii="Times New Roman" w:hAnsi="Times New Roman"/>
                <w:sz w:val="22"/>
                <w:szCs w:val="22"/>
                <w:lang w:val="en-GB"/>
              </w:rPr>
              <w:lastRenderedPageBreak/>
              <w:t>31. 12. 2016</w:t>
            </w:r>
          </w:p>
          <w:p w14:paraId="4F63AA4F" w14:textId="77777777" w:rsidR="005D3E2A" w:rsidRPr="00DD47DF" w:rsidRDefault="005D3E2A" w:rsidP="006D2F5F">
            <w:pPr>
              <w:pStyle w:val="Tabulka"/>
              <w:widowControl w:val="0"/>
              <w:jc w:val="left"/>
            </w:pP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3D897B4E" w14:textId="77777777" w:rsidR="005D3E2A" w:rsidRPr="00DD47DF" w:rsidRDefault="005D3E2A" w:rsidP="006D2F5F">
            <w:pPr>
              <w:pStyle w:val="Tabulka"/>
              <w:widowControl w:val="0"/>
              <w:jc w:val="left"/>
            </w:pPr>
            <w:r w:rsidRPr="00DD47DF">
              <w:t xml:space="preserve"> MMR, ŘO</w:t>
            </w:r>
          </w:p>
        </w:tc>
      </w:tr>
      <w:tr w:rsidR="005D3E2A" w:rsidRPr="00DD47DF" w14:paraId="01579822" w14:textId="77777777" w:rsidTr="00D43AF5">
        <w:trPr>
          <w:trHeight w:val="414"/>
        </w:trPr>
        <w:tc>
          <w:tcPr>
            <w:tcW w:w="0" w:type="auto"/>
            <w:vMerge/>
            <w:tcBorders>
              <w:left w:val="single" w:sz="4" w:space="0" w:color="auto"/>
              <w:right w:val="single" w:sz="4" w:space="0" w:color="auto"/>
            </w:tcBorders>
            <w:shd w:val="clear" w:color="auto" w:fill="auto"/>
          </w:tcPr>
          <w:p w14:paraId="2D73C26F" w14:textId="77777777" w:rsidR="005D3E2A" w:rsidRPr="00DD47DF" w:rsidRDefault="005D3E2A" w:rsidP="006D2F5F">
            <w:pPr>
              <w:pStyle w:val="Tabulka"/>
              <w:jc w:val="left"/>
              <w:rPr>
                <w:rFonts w:cs="Calibri"/>
                <w:b/>
              </w:rPr>
            </w:pPr>
          </w:p>
        </w:tc>
        <w:tc>
          <w:tcPr>
            <w:tcW w:w="0" w:type="auto"/>
            <w:vMerge/>
            <w:tcBorders>
              <w:left w:val="single" w:sz="4" w:space="0" w:color="auto"/>
              <w:right w:val="single" w:sz="4" w:space="0" w:color="auto"/>
            </w:tcBorders>
            <w:shd w:val="clear" w:color="auto" w:fill="auto"/>
          </w:tcPr>
          <w:p w14:paraId="4CF6F005" w14:textId="77777777" w:rsidR="005D3E2A" w:rsidRPr="00DD47DF" w:rsidRDefault="005D3E2A" w:rsidP="006D2F5F">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62C589" w14:textId="77777777" w:rsidR="005D3E2A" w:rsidRPr="00DD47DF" w:rsidRDefault="005D3E2A" w:rsidP="00A07474">
            <w:pPr>
              <w:pStyle w:val="DAVA"/>
              <w:spacing w:before="80" w:after="80"/>
              <w:rPr>
                <w:rFonts w:ascii="Times New Roman" w:hAnsi="Times New Roman"/>
                <w:sz w:val="22"/>
                <w:szCs w:val="22"/>
              </w:rPr>
            </w:pPr>
            <w:r w:rsidRPr="00DD47DF">
              <w:rPr>
                <w:rFonts w:ascii="Times New Roman" w:hAnsi="Times New Roman"/>
                <w:sz w:val="22"/>
                <w:szCs w:val="22"/>
              </w:rPr>
              <w:t>Zajištění souladu nastavení metodického prostředí napříč ŘO s aplikační praxí a relevantní legislativou:</w:t>
            </w:r>
          </w:p>
          <w:p w14:paraId="4040EAD1" w14:textId="77777777" w:rsidR="005D3E2A" w:rsidRPr="00DD47DF" w:rsidRDefault="005D3E2A" w:rsidP="00DD47DF">
            <w:pPr>
              <w:pStyle w:val="DAVA"/>
              <w:numPr>
                <w:ilvl w:val="0"/>
                <w:numId w:val="125"/>
              </w:numPr>
              <w:spacing w:before="80" w:after="80"/>
              <w:ind w:left="426"/>
              <w:rPr>
                <w:rFonts w:ascii="Times New Roman" w:hAnsi="Times New Roman"/>
                <w:sz w:val="22"/>
                <w:szCs w:val="22"/>
              </w:rPr>
            </w:pPr>
            <w:r w:rsidRPr="00DD47DF">
              <w:rPr>
                <w:rFonts w:ascii="Times New Roman" w:hAnsi="Times New Roman"/>
                <w:sz w:val="22"/>
                <w:szCs w:val="22"/>
                <w:lang w:eastAsia="cs-CZ"/>
              </w:rPr>
              <w:lastRenderedPageBreak/>
              <w:t>Gestor ZVZ ověří pomocí připravených kontrolních listů, zda každý jeden řídící orgán převzal Metodický pokyn pro oblast zadávání zakázek pro programové období 2014-2020 do své řízené dokumentace programu.</w:t>
            </w:r>
          </w:p>
          <w:p w14:paraId="157D29CC" w14:textId="77777777" w:rsidR="005D3E2A" w:rsidRPr="00DD47DF" w:rsidRDefault="005D3E2A" w:rsidP="00DD47DF">
            <w:pPr>
              <w:pStyle w:val="DAVA"/>
              <w:numPr>
                <w:ilvl w:val="0"/>
                <w:numId w:val="125"/>
              </w:numPr>
              <w:spacing w:before="80" w:after="80"/>
              <w:ind w:left="426"/>
              <w:rPr>
                <w:rFonts w:ascii="Times New Roman" w:hAnsi="Times New Roman"/>
                <w:sz w:val="22"/>
                <w:szCs w:val="22"/>
              </w:rPr>
            </w:pPr>
            <w:r w:rsidRPr="00DD47DF">
              <w:rPr>
                <w:rFonts w:ascii="Times New Roman" w:hAnsi="Times New Roman"/>
                <w:sz w:val="22"/>
                <w:szCs w:val="22"/>
              </w:rPr>
              <w:t>Každoročně v rámci výše uvedené Progress report bude vyhodnocena potřebnost provedení aktualizace Metodického pokynu pro oblast zadávání veřejných zakázek pro programové období 2014-2020.</w:t>
            </w:r>
            <w:r w:rsidRPr="00DD47DF">
              <w:rPr>
                <w:rFonts w:cs="Arial"/>
                <w:sz w:val="18"/>
                <w:szCs w:val="18"/>
              </w:rPr>
              <w:t xml:space="preserve"> </w:t>
            </w:r>
            <w:r w:rsidRPr="00DD47DF">
              <w:rPr>
                <w:rFonts w:ascii="Times New Roman" w:hAnsi="Times New Roman"/>
                <w:sz w:val="22"/>
                <w:szCs w:val="22"/>
              </w:rPr>
              <w:t>V případě, že bude shledána nutnost této aktualizace, bude provedena nejpozději do pěti měsíců od vydání progress report.</w:t>
            </w:r>
          </w:p>
          <w:p w14:paraId="7DB930BA" w14:textId="77777777" w:rsidR="005D3E2A" w:rsidRPr="00DD47DF" w:rsidRDefault="005D3E2A" w:rsidP="002F70BB">
            <w:pPr>
              <w:pStyle w:val="DAVA"/>
              <w:rPr>
                <w:rFonts w:ascii="Times New Roman" w:hAnsi="Times New Roman"/>
                <w:sz w:val="22"/>
                <w:szCs w:val="22"/>
              </w:rPr>
            </w:pPr>
            <w:r w:rsidRPr="00DD47DF">
              <w:rPr>
                <w:rFonts w:ascii="Times New Roman" w:hAnsi="Times New Roman"/>
                <w:sz w:val="22"/>
                <w:szCs w:val="22"/>
              </w:rPr>
              <w:t xml:space="preserve">30. 6. 2015 </w:t>
            </w:r>
          </w:p>
          <w:p w14:paraId="448F438F" w14:textId="77777777" w:rsidR="005D3E2A" w:rsidRPr="00DD47DF" w:rsidRDefault="005D3E2A" w:rsidP="002F70BB">
            <w:pPr>
              <w:pStyle w:val="DAVA"/>
              <w:rPr>
                <w:rFonts w:ascii="Times New Roman" w:hAnsi="Times New Roman"/>
                <w:sz w:val="22"/>
                <w:szCs w:val="22"/>
              </w:rPr>
            </w:pPr>
            <w:r w:rsidRPr="00DD47DF">
              <w:rPr>
                <w:rFonts w:ascii="Times New Roman" w:hAnsi="Times New Roman"/>
                <w:sz w:val="22"/>
                <w:szCs w:val="22"/>
              </w:rPr>
              <w:t>(v návaznosti na schvalování programů nejpozději do 31.12. 2015)</w:t>
            </w:r>
          </w:p>
          <w:p w14:paraId="471FA5AE" w14:textId="77777777" w:rsidR="005D3E2A" w:rsidRPr="00DD47DF" w:rsidRDefault="005D3E2A" w:rsidP="002F70BB">
            <w:pPr>
              <w:pStyle w:val="DAVA"/>
              <w:rPr>
                <w:rFonts w:ascii="Times New Roman" w:hAnsi="Times New Roman"/>
                <w:sz w:val="22"/>
                <w:szCs w:val="22"/>
                <w:lang w:val="en-GB"/>
              </w:rPr>
            </w:pPr>
            <w:r w:rsidRPr="00DD47DF">
              <w:rPr>
                <w:rFonts w:ascii="Times New Roman" w:hAnsi="Times New Roman"/>
                <w:sz w:val="22"/>
                <w:szCs w:val="22"/>
                <w:lang w:val="en-GB"/>
              </w:rPr>
              <w:t xml:space="preserve">31. 12. 2015 </w:t>
            </w:r>
          </w:p>
          <w:p w14:paraId="2423F129" w14:textId="77777777" w:rsidR="005D3E2A" w:rsidRPr="00DD47DF" w:rsidRDefault="005D3E2A" w:rsidP="00CE43D2">
            <w:pPr>
              <w:pStyle w:val="DAVA"/>
              <w:rPr>
                <w:rFonts w:ascii="Times New Roman" w:hAnsi="Times New Roman"/>
                <w:sz w:val="22"/>
                <w:szCs w:val="22"/>
                <w:lang w:val="en-GB"/>
              </w:rPr>
            </w:pPr>
            <w:r w:rsidRPr="00DD47DF">
              <w:rPr>
                <w:rFonts w:ascii="Times New Roman" w:hAnsi="Times New Roman"/>
                <w:sz w:val="22"/>
                <w:szCs w:val="22"/>
                <w:lang w:val="en-GB"/>
              </w:rPr>
              <w:t>31. 12. 2016</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1E7696B" w14:textId="77777777" w:rsidR="005D3E2A" w:rsidRPr="00DD47DF" w:rsidRDefault="005D3E2A" w:rsidP="00F91E8F">
            <w:pPr>
              <w:pStyle w:val="DAVA"/>
              <w:spacing w:before="80" w:after="80"/>
              <w:rPr>
                <w:rFonts w:cs="Arial"/>
                <w:sz w:val="18"/>
                <w:szCs w:val="18"/>
                <w:lang w:eastAsia="cs-CZ"/>
              </w:rPr>
            </w:pPr>
            <w:r w:rsidRPr="00DD47DF">
              <w:rPr>
                <w:rFonts w:cs="Arial"/>
                <w:sz w:val="18"/>
                <w:szCs w:val="18"/>
                <w:lang w:eastAsia="cs-CZ"/>
              </w:rPr>
              <w:lastRenderedPageBreak/>
              <w:t xml:space="preserve"> </w:t>
            </w:r>
            <w:r w:rsidRPr="00DD47DF">
              <w:rPr>
                <w:rFonts w:ascii="Times New Roman" w:hAnsi="Times New Roman"/>
                <w:sz w:val="22"/>
                <w:szCs w:val="22"/>
                <w:lang w:val="en-GB"/>
              </w:rPr>
              <w:t>31. 12. 2016</w:t>
            </w:r>
          </w:p>
          <w:p w14:paraId="75C3F832" w14:textId="77777777" w:rsidR="005D3E2A" w:rsidRPr="00DD47DF" w:rsidRDefault="005D3E2A" w:rsidP="006D2F5F">
            <w:pPr>
              <w:pStyle w:val="Tabulka"/>
              <w:widowControl w:val="0"/>
              <w:jc w:val="left"/>
              <w:rPr>
                <w:rFonts w:cs="Calibri"/>
              </w:rPr>
            </w:pP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7A159D8E" w14:textId="77777777" w:rsidR="005D3E2A" w:rsidRPr="00DD47DF" w:rsidRDefault="005D3E2A" w:rsidP="00A07474">
            <w:pPr>
              <w:pStyle w:val="DAVA"/>
              <w:spacing w:before="80" w:after="80"/>
              <w:rPr>
                <w:rFonts w:ascii="Times New Roman" w:hAnsi="Times New Roman"/>
                <w:sz w:val="22"/>
                <w:szCs w:val="22"/>
              </w:rPr>
            </w:pPr>
            <w:r w:rsidRPr="00DD47DF">
              <w:rPr>
                <w:rFonts w:cs="Arial"/>
                <w:sz w:val="22"/>
                <w:szCs w:val="22"/>
              </w:rPr>
              <w:t xml:space="preserve"> </w:t>
            </w:r>
            <w:r w:rsidRPr="00DD47DF">
              <w:rPr>
                <w:rFonts w:ascii="Times New Roman" w:hAnsi="Times New Roman"/>
                <w:sz w:val="22"/>
                <w:szCs w:val="22"/>
              </w:rPr>
              <w:t xml:space="preserve">MMR, ŘO </w:t>
            </w:r>
          </w:p>
          <w:p w14:paraId="2A4A597B" w14:textId="77777777" w:rsidR="005D3E2A" w:rsidRPr="00DD47DF" w:rsidRDefault="005D3E2A" w:rsidP="006D2F5F">
            <w:pPr>
              <w:pStyle w:val="Tabulka"/>
              <w:widowControl w:val="0"/>
              <w:jc w:val="left"/>
              <w:rPr>
                <w:rFonts w:cs="Calibri"/>
              </w:rPr>
            </w:pPr>
          </w:p>
        </w:tc>
      </w:tr>
      <w:tr w:rsidR="005D3E2A" w:rsidRPr="00DD47DF" w14:paraId="699FE714" w14:textId="77777777" w:rsidTr="00D43AF5">
        <w:trPr>
          <w:trHeight w:val="414"/>
        </w:trPr>
        <w:tc>
          <w:tcPr>
            <w:tcW w:w="0" w:type="auto"/>
            <w:vMerge/>
            <w:tcBorders>
              <w:left w:val="single" w:sz="4" w:space="0" w:color="auto"/>
              <w:right w:val="single" w:sz="4" w:space="0" w:color="auto"/>
            </w:tcBorders>
            <w:shd w:val="clear" w:color="auto" w:fill="auto"/>
          </w:tcPr>
          <w:p w14:paraId="1873F8AA" w14:textId="77777777" w:rsidR="005D3E2A" w:rsidRPr="00DD47DF" w:rsidRDefault="005D3E2A" w:rsidP="006D2F5F">
            <w:pPr>
              <w:pStyle w:val="Tabulka"/>
              <w:jc w:val="left"/>
              <w:rPr>
                <w:rFonts w:cs="Calibri"/>
                <w:b/>
              </w:rPr>
            </w:pPr>
          </w:p>
        </w:tc>
        <w:tc>
          <w:tcPr>
            <w:tcW w:w="0" w:type="auto"/>
            <w:vMerge/>
            <w:tcBorders>
              <w:left w:val="single" w:sz="4" w:space="0" w:color="auto"/>
              <w:right w:val="single" w:sz="4" w:space="0" w:color="auto"/>
            </w:tcBorders>
            <w:shd w:val="clear" w:color="auto" w:fill="auto"/>
          </w:tcPr>
          <w:p w14:paraId="341760F6" w14:textId="77777777" w:rsidR="005D3E2A" w:rsidRPr="00DD47DF" w:rsidRDefault="005D3E2A" w:rsidP="006D2F5F">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EF7C1E" w14:textId="77777777" w:rsidR="005D3E2A" w:rsidRPr="00DD47DF" w:rsidRDefault="005D3E2A" w:rsidP="00A07474">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Sjednocení a zlepšení aplikační praxe v oblasti kontrol.</w:t>
            </w:r>
          </w:p>
          <w:p w14:paraId="21797CAE" w14:textId="77777777" w:rsidR="005D3E2A" w:rsidRPr="00DD47DF" w:rsidRDefault="005D3E2A" w:rsidP="00A07474">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Na základě analýz jednotlivých zjištění budou vydávána doporučení pro ŘO ve věci kontroly veřejných zakázek.</w:t>
            </w:r>
          </w:p>
          <w:p w14:paraId="4CB0DF20" w14:textId="77777777" w:rsidR="005D3E2A" w:rsidRPr="00DD47DF" w:rsidRDefault="005D3E2A" w:rsidP="00A07474">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Metodická doporučení budou projednávána na PS Veřejné zakázky.</w:t>
            </w:r>
          </w:p>
          <w:p w14:paraId="386CA624" w14:textId="77777777" w:rsidR="005D3E2A" w:rsidRPr="00DD47DF" w:rsidRDefault="005D3E2A" w:rsidP="00A07474">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Posuny v rámci této oblasti budou součástí Progress report.</w:t>
            </w:r>
          </w:p>
          <w:p w14:paraId="3B2E92E9" w14:textId="77777777" w:rsidR="005D3E2A" w:rsidRPr="00DD47DF" w:rsidRDefault="005D3E2A" w:rsidP="002F70BB">
            <w:pPr>
              <w:pStyle w:val="DAVA"/>
              <w:rPr>
                <w:rFonts w:ascii="Times New Roman" w:hAnsi="Times New Roman"/>
                <w:sz w:val="22"/>
                <w:szCs w:val="22"/>
                <w:lang w:val="en-GB"/>
              </w:rPr>
            </w:pPr>
            <w:r w:rsidRPr="00DD47DF">
              <w:rPr>
                <w:rFonts w:ascii="Times New Roman" w:hAnsi="Times New Roman"/>
                <w:sz w:val="22"/>
                <w:szCs w:val="22"/>
                <w:lang w:val="en-GB"/>
              </w:rPr>
              <w:lastRenderedPageBreak/>
              <w:t>31. 12. 2015</w:t>
            </w:r>
          </w:p>
          <w:p w14:paraId="04C6DAB3" w14:textId="77777777" w:rsidR="005D3E2A" w:rsidRPr="00DD47DF" w:rsidRDefault="005D3E2A" w:rsidP="00A07474">
            <w:pPr>
              <w:pStyle w:val="DAVA"/>
              <w:spacing w:before="80" w:after="80"/>
              <w:rPr>
                <w:rFonts w:ascii="Times New Roman" w:hAnsi="Times New Roman"/>
                <w:sz w:val="22"/>
                <w:szCs w:val="22"/>
              </w:rPr>
            </w:pPr>
            <w:r w:rsidRPr="00DD47DF">
              <w:rPr>
                <w:rFonts w:ascii="Times New Roman" w:hAnsi="Times New Roman"/>
                <w:sz w:val="22"/>
                <w:szCs w:val="22"/>
              </w:rPr>
              <w:t>31.12. 2016</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BC0C7A3" w14:textId="77777777" w:rsidR="005D3E2A" w:rsidRPr="00DD47DF" w:rsidRDefault="005D3E2A" w:rsidP="00A07474">
            <w:pPr>
              <w:pStyle w:val="DAVA"/>
              <w:rPr>
                <w:rFonts w:ascii="Times New Roman" w:hAnsi="Times New Roman"/>
                <w:sz w:val="22"/>
                <w:szCs w:val="22"/>
                <w:lang w:val="en-GB"/>
              </w:rPr>
            </w:pPr>
            <w:r w:rsidRPr="00DD47DF">
              <w:rPr>
                <w:rFonts w:ascii="Times New Roman" w:hAnsi="Times New Roman"/>
                <w:sz w:val="22"/>
                <w:szCs w:val="22"/>
                <w:lang w:val="en-GB"/>
              </w:rPr>
              <w:lastRenderedPageBreak/>
              <w:t>31. 12. 2016</w:t>
            </w:r>
          </w:p>
          <w:p w14:paraId="0DB7A46A" w14:textId="77777777" w:rsidR="005D3E2A" w:rsidRPr="00DD47DF" w:rsidRDefault="005D3E2A" w:rsidP="00A14707">
            <w:pPr>
              <w:pStyle w:val="DAVA"/>
              <w:spacing w:before="80" w:after="80"/>
              <w:rPr>
                <w:rFonts w:ascii="Times New Roman" w:hAnsi="Times New Roman"/>
                <w:sz w:val="22"/>
                <w:szCs w:val="22"/>
              </w:rPr>
            </w:pP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592B3512" w14:textId="77777777" w:rsidR="005D3E2A" w:rsidRPr="00DD47DF" w:rsidRDefault="005D3E2A" w:rsidP="00D43AF5">
            <w:pPr>
              <w:pStyle w:val="DAVA"/>
              <w:spacing w:before="80" w:after="80"/>
              <w:rPr>
                <w:rFonts w:ascii="Times New Roman" w:hAnsi="Times New Roman"/>
                <w:sz w:val="22"/>
                <w:szCs w:val="22"/>
              </w:rPr>
            </w:pPr>
            <w:r w:rsidRPr="00DD47DF">
              <w:rPr>
                <w:rFonts w:ascii="Times New Roman" w:hAnsi="Times New Roman"/>
                <w:sz w:val="22"/>
                <w:szCs w:val="22"/>
              </w:rPr>
              <w:t>MMR</w:t>
            </w:r>
          </w:p>
        </w:tc>
      </w:tr>
      <w:tr w:rsidR="005D3E2A" w:rsidRPr="00DD47DF" w14:paraId="171033EB" w14:textId="77777777" w:rsidTr="00D43AF5">
        <w:trPr>
          <w:trHeight w:val="414"/>
        </w:trPr>
        <w:tc>
          <w:tcPr>
            <w:tcW w:w="0" w:type="auto"/>
            <w:vMerge/>
            <w:tcBorders>
              <w:left w:val="single" w:sz="4" w:space="0" w:color="auto"/>
              <w:right w:val="single" w:sz="4" w:space="0" w:color="auto"/>
            </w:tcBorders>
            <w:shd w:val="clear" w:color="auto" w:fill="auto"/>
          </w:tcPr>
          <w:p w14:paraId="3670C78D" w14:textId="77777777" w:rsidR="005D3E2A" w:rsidRPr="00DD47DF" w:rsidRDefault="005D3E2A" w:rsidP="006D2F5F">
            <w:pPr>
              <w:pStyle w:val="Tabulka"/>
              <w:jc w:val="left"/>
              <w:rPr>
                <w:rFonts w:cs="Calibri"/>
                <w:b/>
              </w:rPr>
            </w:pPr>
          </w:p>
        </w:tc>
        <w:tc>
          <w:tcPr>
            <w:tcW w:w="0" w:type="auto"/>
            <w:vMerge/>
            <w:tcBorders>
              <w:left w:val="single" w:sz="4" w:space="0" w:color="auto"/>
              <w:right w:val="single" w:sz="4" w:space="0" w:color="auto"/>
            </w:tcBorders>
            <w:shd w:val="clear" w:color="auto" w:fill="auto"/>
          </w:tcPr>
          <w:p w14:paraId="1FA44B89" w14:textId="77777777" w:rsidR="005D3E2A" w:rsidRPr="00DD47DF" w:rsidRDefault="005D3E2A" w:rsidP="006D2F5F">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F27C0A" w14:textId="77777777" w:rsidR="005D3E2A" w:rsidRPr="00DD47DF" w:rsidRDefault="005D3E2A" w:rsidP="00A07474">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Vytvoření efektivního systému prevence za účelem ex ante realizace preventivních opatření.</w:t>
            </w:r>
          </w:p>
          <w:p w14:paraId="7D8D9174" w14:textId="77777777" w:rsidR="005D3E2A" w:rsidRPr="00DD47DF" w:rsidRDefault="005D3E2A" w:rsidP="00DD47DF">
            <w:pPr>
              <w:pStyle w:val="DAVA"/>
              <w:numPr>
                <w:ilvl w:val="0"/>
                <w:numId w:val="126"/>
              </w:numPr>
              <w:spacing w:before="80" w:after="80"/>
              <w:ind w:left="351" w:hanging="215"/>
              <w:rPr>
                <w:rFonts w:ascii="Times New Roman" w:hAnsi="Times New Roman"/>
                <w:sz w:val="22"/>
                <w:szCs w:val="22"/>
                <w:lang w:eastAsia="cs-CZ"/>
              </w:rPr>
            </w:pPr>
            <w:r w:rsidRPr="00DD47DF">
              <w:rPr>
                <w:rFonts w:ascii="Times New Roman" w:hAnsi="Times New Roman"/>
                <w:sz w:val="22"/>
                <w:szCs w:val="22"/>
                <w:lang w:eastAsia="cs-CZ"/>
              </w:rPr>
              <w:t>PS Veřejné zakázky ze sítě expertů napříč  ŘO, členy jsou mimo ŘO a MMR i experti MF, ÚOHS a krajů. Činnost skupiny je především preventivní a slouží jako komunikační kanál.</w:t>
            </w:r>
          </w:p>
          <w:p w14:paraId="3B11F8DD" w14:textId="77777777" w:rsidR="005D3E2A" w:rsidRPr="00DD47DF" w:rsidRDefault="005D3E2A" w:rsidP="00DD47DF">
            <w:pPr>
              <w:pStyle w:val="DAVA"/>
              <w:numPr>
                <w:ilvl w:val="0"/>
                <w:numId w:val="126"/>
              </w:numPr>
              <w:spacing w:before="80" w:after="80"/>
              <w:ind w:left="351" w:hanging="215"/>
              <w:rPr>
                <w:rFonts w:ascii="Times New Roman" w:hAnsi="Times New Roman"/>
                <w:sz w:val="22"/>
                <w:szCs w:val="22"/>
                <w:lang w:eastAsia="cs-CZ"/>
              </w:rPr>
            </w:pPr>
            <w:r w:rsidRPr="00DD47DF">
              <w:rPr>
                <w:rFonts w:ascii="Times New Roman" w:hAnsi="Times New Roman"/>
                <w:sz w:val="22"/>
                <w:szCs w:val="22"/>
                <w:lang w:eastAsia="cs-CZ"/>
              </w:rPr>
              <w:t xml:space="preserve">V relevantních případech budou vydávána </w:t>
            </w:r>
            <w:r w:rsidR="001F7B00">
              <w:rPr>
                <w:rFonts w:ascii="Times New Roman" w:hAnsi="Times New Roman"/>
                <w:sz w:val="22"/>
                <w:szCs w:val="22"/>
                <w:lang w:eastAsia="cs-CZ"/>
              </w:rPr>
              <w:t>doporučení</w:t>
            </w:r>
            <w:r w:rsidRPr="00DD47DF">
              <w:rPr>
                <w:rFonts w:ascii="Times New Roman" w:hAnsi="Times New Roman"/>
                <w:sz w:val="22"/>
                <w:szCs w:val="22"/>
                <w:lang w:eastAsia="cs-CZ"/>
              </w:rPr>
              <w:t>.</w:t>
            </w:r>
            <w:r w:rsidR="001F7B00">
              <w:rPr>
                <w:rFonts w:ascii="Times New Roman" w:hAnsi="Times New Roman"/>
                <w:sz w:val="22"/>
                <w:szCs w:val="22"/>
                <w:lang w:eastAsia="cs-CZ"/>
              </w:rPr>
              <w:t xml:space="preserve"> </w:t>
            </w:r>
            <w:r w:rsidRPr="00DD47DF">
              <w:rPr>
                <w:rFonts w:ascii="Times New Roman" w:hAnsi="Times New Roman"/>
                <w:sz w:val="22"/>
                <w:szCs w:val="22"/>
                <w:lang w:eastAsia="cs-CZ"/>
              </w:rPr>
              <w:t>Doporučení budou projednávána na PS Veřejné zakázky a formalizována aktualizací Metodického pokynu pro oblast zadávání zakázek pro programové období 2014-2020, který je pro ŘO závazný.</w:t>
            </w:r>
          </w:p>
          <w:p w14:paraId="3B851B84" w14:textId="77777777" w:rsidR="005D3E2A" w:rsidRPr="00DD47DF" w:rsidRDefault="005D3E2A" w:rsidP="00DD47DF">
            <w:pPr>
              <w:pStyle w:val="DAVA"/>
              <w:numPr>
                <w:ilvl w:val="0"/>
                <w:numId w:val="126"/>
              </w:numPr>
              <w:spacing w:before="80" w:after="80"/>
              <w:ind w:left="351" w:hanging="215"/>
              <w:rPr>
                <w:rFonts w:ascii="Times New Roman" w:hAnsi="Times New Roman"/>
                <w:sz w:val="22"/>
                <w:szCs w:val="22"/>
                <w:lang w:eastAsia="cs-CZ"/>
              </w:rPr>
            </w:pPr>
            <w:r w:rsidRPr="00DD47DF">
              <w:rPr>
                <w:rFonts w:ascii="Times New Roman" w:hAnsi="Times New Roman"/>
                <w:sz w:val="22"/>
                <w:szCs w:val="22"/>
                <w:lang w:eastAsia="cs-CZ"/>
              </w:rPr>
              <w:t xml:space="preserve">Zprostředkovaně přes ŘO budou vydávána doporučení pro příjemce (zadavatele)  jak správně postupovat při zadávání vz a jakých postupů se naopak vyvarovat. </w:t>
            </w:r>
          </w:p>
          <w:p w14:paraId="7C7D59A3" w14:textId="77777777" w:rsidR="005D3E2A" w:rsidRPr="00DD47DF" w:rsidRDefault="005D3E2A" w:rsidP="00DD47DF">
            <w:pPr>
              <w:pStyle w:val="DAVA"/>
              <w:numPr>
                <w:ilvl w:val="0"/>
                <w:numId w:val="126"/>
              </w:numPr>
              <w:spacing w:before="80" w:after="80"/>
              <w:ind w:left="351" w:hanging="215"/>
              <w:rPr>
                <w:rFonts w:ascii="Times New Roman" w:hAnsi="Times New Roman"/>
                <w:sz w:val="22"/>
                <w:szCs w:val="22"/>
                <w:lang w:eastAsia="cs-CZ"/>
              </w:rPr>
            </w:pPr>
            <w:r w:rsidRPr="00DD47DF">
              <w:rPr>
                <w:rFonts w:ascii="Times New Roman" w:hAnsi="Times New Roman"/>
                <w:sz w:val="22"/>
                <w:szCs w:val="22"/>
                <w:lang w:eastAsia="cs-CZ"/>
              </w:rPr>
              <w:t>V mezidobí provádění aktualizací budou (mohou být) v urgentních případech vydávána metodická stanoviska ministra pro místní rozvoj, která budou pro ŘO závazná. Každý rok zpracuje MMR zprávu o činnosti skupiny a zejména o obsahu a způsobu realizace jednotlivých doporučení. Zpráva bude součásti Progress report</w:t>
            </w:r>
          </w:p>
          <w:p w14:paraId="6FE4B561" w14:textId="77777777" w:rsidR="005D3E2A" w:rsidRPr="00DD47DF" w:rsidRDefault="005D3E2A" w:rsidP="002F70BB">
            <w:pPr>
              <w:pStyle w:val="DAVA"/>
              <w:spacing w:before="80" w:after="80"/>
              <w:rPr>
                <w:rFonts w:ascii="Times New Roman" w:hAnsi="Times New Roman"/>
                <w:sz w:val="22"/>
                <w:szCs w:val="22"/>
                <w:lang w:val="en-GB"/>
              </w:rPr>
            </w:pPr>
            <w:r w:rsidRPr="00DD47DF">
              <w:rPr>
                <w:rFonts w:ascii="Times New Roman" w:hAnsi="Times New Roman"/>
                <w:sz w:val="22"/>
                <w:szCs w:val="22"/>
                <w:lang w:val="en-GB"/>
              </w:rPr>
              <w:lastRenderedPageBreak/>
              <w:t>31. 12. 2015</w:t>
            </w:r>
          </w:p>
          <w:p w14:paraId="340F2B1F" w14:textId="77777777" w:rsidR="005D3E2A" w:rsidRPr="00DD47DF" w:rsidRDefault="005D3E2A" w:rsidP="002F70BB">
            <w:pPr>
              <w:pStyle w:val="DAVA"/>
              <w:spacing w:before="80" w:after="80"/>
              <w:rPr>
                <w:rFonts w:cs="Arial"/>
                <w:sz w:val="18"/>
                <w:szCs w:val="18"/>
                <w:lang w:val="en-GB"/>
              </w:rPr>
            </w:pPr>
            <w:r w:rsidRPr="00DD47DF">
              <w:rPr>
                <w:rFonts w:ascii="Times New Roman" w:hAnsi="Times New Roman"/>
                <w:sz w:val="22"/>
                <w:szCs w:val="22"/>
                <w:lang w:val="en-GB"/>
              </w:rPr>
              <w:t>31. 12. 2016</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4F618DB" w14:textId="77777777" w:rsidR="005D3E2A" w:rsidRPr="00DD47DF" w:rsidRDefault="005D3E2A" w:rsidP="00A07474">
            <w:pPr>
              <w:pStyle w:val="DAVA"/>
              <w:rPr>
                <w:rFonts w:ascii="Times New Roman" w:hAnsi="Times New Roman"/>
                <w:sz w:val="22"/>
                <w:szCs w:val="22"/>
                <w:lang w:val="en-GB"/>
              </w:rPr>
            </w:pPr>
            <w:r w:rsidRPr="00DD47DF">
              <w:rPr>
                <w:rFonts w:ascii="Times New Roman" w:hAnsi="Times New Roman"/>
                <w:sz w:val="22"/>
                <w:szCs w:val="22"/>
                <w:lang w:val="en-GB"/>
              </w:rPr>
              <w:lastRenderedPageBreak/>
              <w:t>31. 12. 2016</w:t>
            </w:r>
          </w:p>
          <w:p w14:paraId="3024662C" w14:textId="77777777" w:rsidR="005D3E2A" w:rsidRPr="00DD47DF" w:rsidRDefault="005D3E2A" w:rsidP="00A07474">
            <w:pPr>
              <w:pStyle w:val="DAVA"/>
              <w:rPr>
                <w:rFonts w:ascii="Times New Roman" w:hAnsi="Times New Roman"/>
                <w:sz w:val="22"/>
                <w:szCs w:val="22"/>
              </w:rPr>
            </w:pP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7F706CF0" w14:textId="77777777" w:rsidR="005D3E2A" w:rsidRPr="00DD47DF" w:rsidRDefault="005D3E2A" w:rsidP="00A07474">
            <w:pPr>
              <w:pStyle w:val="DAVA"/>
              <w:spacing w:before="80" w:after="80"/>
              <w:rPr>
                <w:rFonts w:ascii="Times New Roman" w:hAnsi="Times New Roman"/>
                <w:sz w:val="22"/>
                <w:szCs w:val="22"/>
              </w:rPr>
            </w:pPr>
            <w:r w:rsidRPr="00DD47DF">
              <w:rPr>
                <w:rFonts w:ascii="Times New Roman" w:hAnsi="Times New Roman"/>
                <w:sz w:val="22"/>
                <w:szCs w:val="22"/>
              </w:rPr>
              <w:t>MMR, ŘO</w:t>
            </w:r>
          </w:p>
        </w:tc>
      </w:tr>
      <w:tr w:rsidR="00DD47DF" w:rsidRPr="00DD47DF" w14:paraId="132DB2FF" w14:textId="77777777" w:rsidTr="00DD47DF">
        <w:trPr>
          <w:trHeight w:val="414"/>
        </w:trPr>
        <w:tc>
          <w:tcPr>
            <w:tcW w:w="0" w:type="auto"/>
            <w:vMerge/>
            <w:tcBorders>
              <w:left w:val="single" w:sz="4" w:space="0" w:color="auto"/>
              <w:right w:val="single" w:sz="4" w:space="0" w:color="auto"/>
            </w:tcBorders>
            <w:shd w:val="clear" w:color="auto" w:fill="auto"/>
          </w:tcPr>
          <w:p w14:paraId="63A4743E" w14:textId="77777777" w:rsidR="00DD47DF" w:rsidRPr="00DD47DF" w:rsidRDefault="00DD47DF" w:rsidP="006D2F5F">
            <w:pPr>
              <w:pStyle w:val="Tabulka"/>
              <w:jc w:val="left"/>
              <w:rPr>
                <w:rFonts w:cs="Calibri"/>
                <w:b/>
              </w:rPr>
            </w:pPr>
          </w:p>
        </w:tc>
        <w:tc>
          <w:tcPr>
            <w:tcW w:w="0" w:type="auto"/>
            <w:vMerge/>
            <w:tcBorders>
              <w:left w:val="single" w:sz="4" w:space="0" w:color="auto"/>
              <w:right w:val="single" w:sz="4" w:space="0" w:color="auto"/>
            </w:tcBorders>
            <w:shd w:val="clear" w:color="auto" w:fill="auto"/>
          </w:tcPr>
          <w:p w14:paraId="370C5F5E" w14:textId="77777777" w:rsidR="00DD47DF" w:rsidRPr="00DD47DF" w:rsidRDefault="00DD47DF" w:rsidP="006D2F5F">
            <w:pPr>
              <w:pStyle w:val="Tabulka"/>
              <w:widowControl w:val="0"/>
              <w:jc w:val="left"/>
              <w:rPr>
                <w:rFonts w:cs="Calibri"/>
              </w:rPr>
            </w:pPr>
          </w:p>
        </w:tc>
        <w:tc>
          <w:tcPr>
            <w:tcW w:w="0" w:type="auto"/>
            <w:vMerge w:val="restart"/>
            <w:tcBorders>
              <w:top w:val="single" w:sz="4" w:space="0" w:color="auto"/>
              <w:left w:val="single" w:sz="4" w:space="0" w:color="auto"/>
              <w:right w:val="single" w:sz="4" w:space="0" w:color="auto"/>
            </w:tcBorders>
            <w:shd w:val="clear" w:color="auto" w:fill="auto"/>
          </w:tcPr>
          <w:p w14:paraId="70B361C0" w14:textId="77777777" w:rsidR="00DD47DF" w:rsidRPr="00DD47DF" w:rsidRDefault="00DD47DF" w:rsidP="00A07474">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 xml:space="preserve">Opatření ke zlepšení systému šíření informací: </w:t>
            </w:r>
          </w:p>
          <w:p w14:paraId="2CBA0354" w14:textId="77777777" w:rsidR="00DD47DF" w:rsidRPr="00DD47DF" w:rsidRDefault="00DD47DF" w:rsidP="00A07474">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Ke zlepšení systému šíření informací a zvýšení informovanosti všech subjektů v oblasti zadávání budou přijata následující opatření:</w:t>
            </w:r>
          </w:p>
          <w:p w14:paraId="771E7BAA" w14:textId="77777777" w:rsidR="00DD47DF" w:rsidRPr="00DD47DF" w:rsidRDefault="00DD47DF" w:rsidP="00A07474">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1)Technická úprava Info-fóra na Portálu o veřejných zakázkách a koncesích za účelem zlepšení uživatelské přívětivosti a snadného vyhledávání týkající dobré a špatné praxe při přípravě a vedení zadávacího řízení na základě klíčových slov.</w:t>
            </w:r>
          </w:p>
          <w:p w14:paraId="677B13E7" w14:textId="77777777" w:rsidR="00DD47DF" w:rsidRPr="00DD47DF" w:rsidRDefault="00DD47DF" w:rsidP="00A07474">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 xml:space="preserve"> Portál je veřejně přístupný pro subjekty implementační struktury i příjemce (zadavatele). </w:t>
            </w:r>
          </w:p>
          <w:p w14:paraId="77B77B87" w14:textId="77777777" w:rsidR="00DD47DF" w:rsidRPr="00DD47DF" w:rsidRDefault="00DD47DF" w:rsidP="00A07474">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2) Rozšíření databáze gestora ZVZ (uvedené v bodě 7 nelegislativních opatření v předchozí tabulce) o další stěžejní Rozhodnutí Úřadu pro ochranu hospodářské soutěže, českých soudů a Soudního dvora EU a vybraných anonymizovaných  nejčastějších auditních zjištění v této oblasti tak, aby databáze tvořila ucelený rámec pro celou oblast zadávání.</w:t>
            </w:r>
          </w:p>
        </w:tc>
        <w:tc>
          <w:tcPr>
            <w:tcW w:w="1984" w:type="dxa"/>
            <w:vMerge w:val="restart"/>
            <w:tcBorders>
              <w:top w:val="single" w:sz="4" w:space="0" w:color="auto"/>
              <w:left w:val="single" w:sz="4" w:space="0" w:color="auto"/>
              <w:right w:val="single" w:sz="4" w:space="0" w:color="auto"/>
            </w:tcBorders>
            <w:shd w:val="clear" w:color="auto" w:fill="auto"/>
          </w:tcPr>
          <w:p w14:paraId="550AD87C" w14:textId="77777777" w:rsidR="00DD47DF" w:rsidRPr="00DD47DF" w:rsidRDefault="00DD47DF" w:rsidP="00D43AF5">
            <w:pPr>
              <w:pStyle w:val="DAVA"/>
              <w:spacing w:before="80" w:after="80"/>
              <w:rPr>
                <w:rFonts w:ascii="Times New Roman" w:hAnsi="Times New Roman"/>
                <w:sz w:val="22"/>
                <w:szCs w:val="22"/>
              </w:rPr>
            </w:pPr>
            <w:r w:rsidRPr="00DD47DF">
              <w:rPr>
                <w:rFonts w:ascii="Times New Roman" w:hAnsi="Times New Roman"/>
                <w:sz w:val="22"/>
                <w:szCs w:val="22"/>
                <w:lang w:eastAsia="cs-CZ"/>
              </w:rPr>
              <w:t>31. 12. 2015</w:t>
            </w:r>
          </w:p>
        </w:tc>
        <w:tc>
          <w:tcPr>
            <w:tcW w:w="2617" w:type="dxa"/>
            <w:tcBorders>
              <w:top w:val="single" w:sz="4" w:space="0" w:color="auto"/>
              <w:left w:val="single" w:sz="4" w:space="0" w:color="auto"/>
              <w:bottom w:val="nil"/>
              <w:right w:val="single" w:sz="4" w:space="0" w:color="auto"/>
            </w:tcBorders>
            <w:shd w:val="clear" w:color="auto" w:fill="auto"/>
          </w:tcPr>
          <w:p w14:paraId="1C20035C" w14:textId="77777777" w:rsidR="00DD47DF" w:rsidRPr="00DD47DF" w:rsidRDefault="00DD47DF" w:rsidP="00D43AF5">
            <w:pPr>
              <w:pStyle w:val="DAVA"/>
              <w:spacing w:before="80" w:after="80"/>
              <w:rPr>
                <w:rFonts w:ascii="Times New Roman" w:hAnsi="Times New Roman"/>
                <w:sz w:val="22"/>
                <w:szCs w:val="22"/>
              </w:rPr>
            </w:pPr>
            <w:r w:rsidRPr="00DD47DF">
              <w:rPr>
                <w:rFonts w:ascii="Times New Roman" w:hAnsi="Times New Roman"/>
                <w:sz w:val="22"/>
                <w:szCs w:val="22"/>
              </w:rPr>
              <w:t>MMR</w:t>
            </w:r>
          </w:p>
        </w:tc>
      </w:tr>
      <w:tr w:rsidR="00DD47DF" w:rsidRPr="00DD47DF" w14:paraId="3892D9CF" w14:textId="77777777" w:rsidTr="00DD47DF">
        <w:trPr>
          <w:trHeight w:val="414"/>
        </w:trPr>
        <w:tc>
          <w:tcPr>
            <w:tcW w:w="0" w:type="auto"/>
            <w:vMerge/>
            <w:tcBorders>
              <w:left w:val="single" w:sz="4" w:space="0" w:color="auto"/>
              <w:right w:val="single" w:sz="4" w:space="0" w:color="auto"/>
            </w:tcBorders>
            <w:shd w:val="clear" w:color="auto" w:fill="auto"/>
          </w:tcPr>
          <w:p w14:paraId="5B389A8E" w14:textId="77777777" w:rsidR="00DD47DF" w:rsidRPr="00DD47DF" w:rsidRDefault="00DD47DF" w:rsidP="006D2F5F">
            <w:pPr>
              <w:pStyle w:val="Tabulka"/>
              <w:jc w:val="left"/>
              <w:rPr>
                <w:rFonts w:cs="Calibri"/>
                <w:b/>
              </w:rPr>
            </w:pPr>
          </w:p>
        </w:tc>
        <w:tc>
          <w:tcPr>
            <w:tcW w:w="0" w:type="auto"/>
            <w:vMerge/>
            <w:tcBorders>
              <w:left w:val="single" w:sz="4" w:space="0" w:color="auto"/>
              <w:bottom w:val="single" w:sz="4" w:space="0" w:color="auto"/>
              <w:right w:val="single" w:sz="4" w:space="0" w:color="auto"/>
            </w:tcBorders>
            <w:shd w:val="clear" w:color="auto" w:fill="auto"/>
          </w:tcPr>
          <w:p w14:paraId="258E2316" w14:textId="77777777" w:rsidR="00DD47DF" w:rsidRPr="00DD47DF" w:rsidRDefault="00DD47DF" w:rsidP="006D2F5F">
            <w:pPr>
              <w:pStyle w:val="Tabulka"/>
              <w:widowControl w:val="0"/>
              <w:jc w:val="left"/>
              <w:rPr>
                <w:rFonts w:cs="Calibri"/>
              </w:rPr>
            </w:pPr>
          </w:p>
        </w:tc>
        <w:tc>
          <w:tcPr>
            <w:tcW w:w="0" w:type="auto"/>
            <w:vMerge/>
            <w:tcBorders>
              <w:left w:val="single" w:sz="4" w:space="0" w:color="auto"/>
              <w:bottom w:val="single" w:sz="4" w:space="0" w:color="auto"/>
              <w:right w:val="single" w:sz="4" w:space="0" w:color="auto"/>
            </w:tcBorders>
            <w:shd w:val="clear" w:color="auto" w:fill="auto"/>
          </w:tcPr>
          <w:p w14:paraId="58E4D33D" w14:textId="77777777" w:rsidR="00DD47DF" w:rsidRPr="00DD47DF" w:rsidRDefault="00DD47DF" w:rsidP="00A147B1">
            <w:pPr>
              <w:pStyle w:val="Tabulka"/>
              <w:widowControl w:val="0"/>
              <w:jc w:val="left"/>
              <w:rPr>
                <w:rFonts w:cs="Calibri"/>
              </w:rPr>
            </w:pPr>
          </w:p>
        </w:tc>
        <w:tc>
          <w:tcPr>
            <w:tcW w:w="1984" w:type="dxa"/>
            <w:vMerge/>
            <w:tcBorders>
              <w:left w:val="single" w:sz="4" w:space="0" w:color="auto"/>
              <w:bottom w:val="single" w:sz="4" w:space="0" w:color="auto"/>
              <w:right w:val="single" w:sz="4" w:space="0" w:color="auto"/>
            </w:tcBorders>
            <w:shd w:val="clear" w:color="auto" w:fill="auto"/>
          </w:tcPr>
          <w:p w14:paraId="5D88B99A" w14:textId="77777777" w:rsidR="00DD47DF" w:rsidRPr="00DD47DF" w:rsidRDefault="00DD47DF" w:rsidP="00A147B1">
            <w:pPr>
              <w:pStyle w:val="Tabulka"/>
              <w:widowControl w:val="0"/>
              <w:jc w:val="left"/>
              <w:rPr>
                <w:rFonts w:cs="Calibri"/>
              </w:rPr>
            </w:pPr>
          </w:p>
        </w:tc>
        <w:tc>
          <w:tcPr>
            <w:tcW w:w="2617" w:type="dxa"/>
            <w:tcBorders>
              <w:top w:val="nil"/>
              <w:left w:val="single" w:sz="4" w:space="0" w:color="auto"/>
              <w:bottom w:val="single" w:sz="4" w:space="0" w:color="auto"/>
              <w:right w:val="single" w:sz="4" w:space="0" w:color="auto"/>
            </w:tcBorders>
            <w:shd w:val="clear" w:color="auto" w:fill="auto"/>
          </w:tcPr>
          <w:p w14:paraId="61453F1B" w14:textId="77777777" w:rsidR="00DD47DF" w:rsidRPr="00DD47DF" w:rsidRDefault="00DD47DF" w:rsidP="00A147B1">
            <w:pPr>
              <w:pStyle w:val="Tabulka"/>
              <w:widowControl w:val="0"/>
              <w:jc w:val="left"/>
              <w:rPr>
                <w:rFonts w:cs="Calibri"/>
              </w:rPr>
            </w:pPr>
          </w:p>
        </w:tc>
      </w:tr>
      <w:tr w:rsidR="00CD6752" w:rsidRPr="00DD47DF" w14:paraId="652D3B26" w14:textId="77777777" w:rsidTr="00CD6752">
        <w:trPr>
          <w:trHeight w:val="739"/>
        </w:trPr>
        <w:tc>
          <w:tcPr>
            <w:tcW w:w="0" w:type="auto"/>
            <w:vMerge/>
            <w:tcBorders>
              <w:left w:val="single" w:sz="4" w:space="0" w:color="auto"/>
              <w:right w:val="single" w:sz="4" w:space="0" w:color="auto"/>
            </w:tcBorders>
            <w:shd w:val="clear" w:color="auto" w:fill="auto"/>
          </w:tcPr>
          <w:p w14:paraId="74BA9C5C" w14:textId="77777777" w:rsidR="00CD6752" w:rsidRPr="00DD47DF" w:rsidRDefault="00CD6752" w:rsidP="006D2F5F">
            <w:pPr>
              <w:pStyle w:val="Tabulka"/>
              <w:jc w:val="left"/>
              <w:rPr>
                <w:rFonts w:cs="Calibri"/>
                <w:b/>
              </w:rPr>
            </w:pPr>
          </w:p>
        </w:tc>
        <w:tc>
          <w:tcPr>
            <w:tcW w:w="0" w:type="auto"/>
            <w:vMerge w:val="restart"/>
            <w:tcBorders>
              <w:top w:val="single" w:sz="4" w:space="0" w:color="auto"/>
              <w:left w:val="single" w:sz="4" w:space="0" w:color="auto"/>
              <w:right w:val="single" w:sz="4" w:space="0" w:color="auto"/>
            </w:tcBorders>
            <w:shd w:val="clear" w:color="auto" w:fill="auto"/>
          </w:tcPr>
          <w:p w14:paraId="360D5E2C" w14:textId="77777777" w:rsidR="00CD6752" w:rsidRPr="00DD47DF" w:rsidRDefault="00CD6752" w:rsidP="00C27B91">
            <w:pPr>
              <w:pStyle w:val="Tabulka"/>
              <w:widowControl w:val="0"/>
              <w:jc w:val="left"/>
              <w:rPr>
                <w:rFonts w:cs="Calibri"/>
              </w:rPr>
            </w:pPr>
            <w:r w:rsidRPr="00DD47DF">
              <w:t>Opatření pro odbornou přípravu a šíření informací pro zaměstnance podílející se na provádění fondů ESI</w:t>
            </w:r>
          </w:p>
          <w:p w14:paraId="39E2956D" w14:textId="77777777" w:rsidR="00CD6752" w:rsidRPr="00CD6752" w:rsidRDefault="00CD6752" w:rsidP="00C27B91">
            <w:pPr>
              <w:pStyle w:val="Tabulka"/>
              <w:widowControl w:val="0"/>
              <w:jc w:val="left"/>
              <w:rPr>
                <w:rFonts w:cs="Calibri"/>
                <w:highlight w:val="yellow"/>
              </w:rPr>
            </w:pPr>
          </w:p>
        </w:tc>
        <w:tc>
          <w:tcPr>
            <w:tcW w:w="0" w:type="auto"/>
            <w:tcBorders>
              <w:top w:val="single" w:sz="4" w:space="0" w:color="auto"/>
              <w:left w:val="single" w:sz="4" w:space="0" w:color="auto"/>
              <w:right w:val="single" w:sz="4" w:space="0" w:color="auto"/>
            </w:tcBorders>
            <w:shd w:val="clear" w:color="auto" w:fill="auto"/>
          </w:tcPr>
          <w:p w14:paraId="448B4F76" w14:textId="77777777" w:rsidR="00CD6752" w:rsidRPr="00CD6752" w:rsidRDefault="00CD6752" w:rsidP="006D2F5F">
            <w:pPr>
              <w:pStyle w:val="Tabulka"/>
              <w:widowControl w:val="0"/>
              <w:jc w:val="left"/>
              <w:rPr>
                <w:rFonts w:cs="Calibri"/>
                <w:highlight w:val="yellow"/>
              </w:rPr>
            </w:pPr>
            <w:r w:rsidRPr="00DD47DF">
              <w:t xml:space="preserve">Zpracování závěrečné evaluace Systému vzdělávání 2007-2013 </w:t>
            </w:r>
          </w:p>
        </w:tc>
        <w:tc>
          <w:tcPr>
            <w:tcW w:w="1984" w:type="dxa"/>
            <w:tcBorders>
              <w:top w:val="single" w:sz="4" w:space="0" w:color="auto"/>
              <w:left w:val="single" w:sz="4" w:space="0" w:color="auto"/>
              <w:right w:val="single" w:sz="4" w:space="0" w:color="auto"/>
            </w:tcBorders>
            <w:shd w:val="clear" w:color="auto" w:fill="auto"/>
          </w:tcPr>
          <w:p w14:paraId="2F744C0B" w14:textId="77777777" w:rsidR="00CD6752" w:rsidRPr="00CD6752" w:rsidRDefault="00CD6752" w:rsidP="006D2F5F">
            <w:pPr>
              <w:pStyle w:val="Tabulka"/>
              <w:widowControl w:val="0"/>
              <w:jc w:val="left"/>
              <w:rPr>
                <w:rFonts w:cs="Calibri"/>
                <w:highlight w:val="yellow"/>
              </w:rPr>
            </w:pPr>
            <w:r w:rsidRPr="00DD47DF">
              <w:t>31.12. 2015</w:t>
            </w:r>
          </w:p>
        </w:tc>
        <w:tc>
          <w:tcPr>
            <w:tcW w:w="2617" w:type="dxa"/>
            <w:tcBorders>
              <w:top w:val="single" w:sz="4" w:space="0" w:color="auto"/>
              <w:left w:val="single" w:sz="4" w:space="0" w:color="auto"/>
              <w:right w:val="single" w:sz="4" w:space="0" w:color="auto"/>
            </w:tcBorders>
            <w:shd w:val="clear" w:color="auto" w:fill="auto"/>
          </w:tcPr>
          <w:p w14:paraId="1B96043C" w14:textId="77777777" w:rsidR="00CD6752" w:rsidRPr="00CD6752" w:rsidRDefault="00CD6752" w:rsidP="00A031A3">
            <w:pPr>
              <w:pStyle w:val="Tabulka"/>
              <w:widowControl w:val="0"/>
              <w:jc w:val="left"/>
              <w:rPr>
                <w:rFonts w:cs="Calibri"/>
                <w:highlight w:val="yellow"/>
              </w:rPr>
            </w:pPr>
            <w:r w:rsidRPr="00DD47DF">
              <w:t>MMR</w:t>
            </w:r>
          </w:p>
        </w:tc>
      </w:tr>
      <w:tr w:rsidR="00CD6752" w:rsidRPr="00DD47DF" w14:paraId="07F0F947" w14:textId="77777777" w:rsidTr="00335A15">
        <w:trPr>
          <w:trHeight w:val="414"/>
        </w:trPr>
        <w:tc>
          <w:tcPr>
            <w:tcW w:w="0" w:type="auto"/>
            <w:vMerge/>
            <w:tcBorders>
              <w:left w:val="single" w:sz="4" w:space="0" w:color="auto"/>
              <w:right w:val="single" w:sz="4" w:space="0" w:color="auto"/>
            </w:tcBorders>
            <w:shd w:val="clear" w:color="auto" w:fill="auto"/>
          </w:tcPr>
          <w:p w14:paraId="13431A57" w14:textId="77777777" w:rsidR="00CD6752" w:rsidRPr="00DD47DF" w:rsidRDefault="00CD6752" w:rsidP="006D2F5F">
            <w:pPr>
              <w:pStyle w:val="Tabulka"/>
              <w:widowControl w:val="0"/>
              <w:jc w:val="left"/>
              <w:rPr>
                <w:rFonts w:cs="Calibri"/>
                <w:b/>
              </w:rPr>
            </w:pPr>
          </w:p>
        </w:tc>
        <w:tc>
          <w:tcPr>
            <w:tcW w:w="0" w:type="auto"/>
            <w:vMerge/>
            <w:tcBorders>
              <w:left w:val="single" w:sz="4" w:space="0" w:color="auto"/>
              <w:right w:val="single" w:sz="4" w:space="0" w:color="auto"/>
            </w:tcBorders>
            <w:shd w:val="clear" w:color="auto" w:fill="auto"/>
          </w:tcPr>
          <w:p w14:paraId="105646E9" w14:textId="77777777" w:rsidR="00CD6752" w:rsidRPr="00DD47DF" w:rsidRDefault="00CD6752" w:rsidP="00C27B91">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EB212D" w14:textId="77777777" w:rsidR="00CD6752" w:rsidRPr="00DD47DF" w:rsidRDefault="00CD6752" w:rsidP="00D43AF5">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 xml:space="preserve">Vytvoření Systému vzdělávání 2014-2020, který bude vycházet z již osvědčeného Systému vzdělávání 2007-2013 a bude dále inovován. Moduly vzdělávání v oblasti veřejných zakázek </w:t>
            </w:r>
            <w:r w:rsidRPr="00DD47DF">
              <w:rPr>
                <w:rFonts w:ascii="Times New Roman" w:hAnsi="Times New Roman"/>
                <w:sz w:val="22"/>
                <w:szCs w:val="22"/>
                <w:lang w:eastAsia="cs-CZ"/>
              </w:rPr>
              <w:lastRenderedPageBreak/>
              <w:t xml:space="preserve">budou: </w:t>
            </w:r>
          </w:p>
          <w:p w14:paraId="4F648E98" w14:textId="77777777" w:rsidR="00CD6752" w:rsidRPr="00DD47DF" w:rsidRDefault="00CD6752" w:rsidP="008616CF">
            <w:pPr>
              <w:pStyle w:val="DAVA"/>
              <w:numPr>
                <w:ilvl w:val="0"/>
                <w:numId w:val="102"/>
              </w:numPr>
              <w:spacing w:before="80" w:after="80"/>
              <w:ind w:left="351"/>
              <w:rPr>
                <w:rFonts w:ascii="Times New Roman" w:hAnsi="Times New Roman"/>
                <w:sz w:val="22"/>
                <w:szCs w:val="22"/>
                <w:lang w:eastAsia="cs-CZ"/>
              </w:rPr>
            </w:pPr>
            <w:r w:rsidRPr="00DD47DF">
              <w:rPr>
                <w:rFonts w:ascii="Times New Roman" w:hAnsi="Times New Roman"/>
                <w:sz w:val="22"/>
                <w:szCs w:val="22"/>
                <w:lang w:eastAsia="cs-CZ"/>
              </w:rPr>
              <w:t>Základní pojmy ZVZ</w:t>
            </w:r>
          </w:p>
          <w:p w14:paraId="5FBF2F7D" w14:textId="77777777" w:rsidR="00CD6752" w:rsidRPr="00DD47DF" w:rsidRDefault="00CD6752" w:rsidP="008616CF">
            <w:pPr>
              <w:pStyle w:val="DAVA"/>
              <w:numPr>
                <w:ilvl w:val="0"/>
                <w:numId w:val="102"/>
              </w:numPr>
              <w:spacing w:before="80" w:after="80"/>
              <w:ind w:left="351"/>
              <w:rPr>
                <w:rFonts w:ascii="Times New Roman" w:hAnsi="Times New Roman"/>
                <w:sz w:val="22"/>
                <w:szCs w:val="22"/>
                <w:lang w:eastAsia="cs-CZ"/>
              </w:rPr>
            </w:pPr>
            <w:r w:rsidRPr="00DD47DF">
              <w:rPr>
                <w:rFonts w:ascii="Times New Roman" w:hAnsi="Times New Roman"/>
                <w:sz w:val="22"/>
                <w:szCs w:val="22"/>
                <w:lang w:eastAsia="cs-CZ"/>
              </w:rPr>
              <w:t>Příprava zadávacích podmínek, definování předmětu veřejné zakázky</w:t>
            </w:r>
          </w:p>
          <w:p w14:paraId="448DB92F" w14:textId="77777777" w:rsidR="00CD6752" w:rsidRPr="00DD47DF" w:rsidRDefault="00CD6752" w:rsidP="008616CF">
            <w:pPr>
              <w:pStyle w:val="DAVA"/>
              <w:numPr>
                <w:ilvl w:val="0"/>
                <w:numId w:val="102"/>
              </w:numPr>
              <w:spacing w:before="80" w:after="80"/>
              <w:ind w:left="351"/>
              <w:rPr>
                <w:rFonts w:ascii="Times New Roman" w:hAnsi="Times New Roman"/>
                <w:sz w:val="22"/>
                <w:szCs w:val="22"/>
                <w:lang w:eastAsia="cs-CZ"/>
              </w:rPr>
            </w:pPr>
            <w:r w:rsidRPr="00DD47DF">
              <w:rPr>
                <w:rFonts w:ascii="Times New Roman" w:hAnsi="Times New Roman"/>
                <w:sz w:val="22"/>
                <w:szCs w:val="22"/>
                <w:lang w:eastAsia="cs-CZ"/>
              </w:rPr>
              <w:t>Hodnotící kritéria</w:t>
            </w:r>
          </w:p>
          <w:p w14:paraId="0C0613B3" w14:textId="77777777" w:rsidR="00CD6752" w:rsidRPr="00DD47DF" w:rsidRDefault="00CD6752" w:rsidP="008616CF">
            <w:pPr>
              <w:pStyle w:val="DAVA"/>
              <w:numPr>
                <w:ilvl w:val="0"/>
                <w:numId w:val="102"/>
              </w:numPr>
              <w:spacing w:before="80" w:after="80"/>
              <w:ind w:left="351"/>
              <w:rPr>
                <w:rFonts w:ascii="Times New Roman" w:hAnsi="Times New Roman"/>
                <w:sz w:val="22"/>
                <w:szCs w:val="22"/>
                <w:lang w:eastAsia="cs-CZ"/>
              </w:rPr>
            </w:pPr>
            <w:r w:rsidRPr="00DD47DF">
              <w:rPr>
                <w:rFonts w:ascii="Times New Roman" w:hAnsi="Times New Roman"/>
                <w:sz w:val="22"/>
                <w:szCs w:val="22"/>
                <w:lang w:eastAsia="cs-CZ"/>
              </w:rPr>
              <w:t>Kvalifikační předpoklady</w:t>
            </w:r>
          </w:p>
          <w:p w14:paraId="602E6269" w14:textId="77777777" w:rsidR="00CD6752" w:rsidRPr="00DD47DF" w:rsidRDefault="00CD6752" w:rsidP="008616CF">
            <w:pPr>
              <w:pStyle w:val="DAVA"/>
              <w:numPr>
                <w:ilvl w:val="0"/>
                <w:numId w:val="102"/>
              </w:numPr>
              <w:spacing w:before="80" w:after="80"/>
              <w:ind w:left="351"/>
              <w:rPr>
                <w:rFonts w:ascii="Times New Roman" w:hAnsi="Times New Roman"/>
                <w:sz w:val="22"/>
                <w:szCs w:val="22"/>
                <w:lang w:eastAsia="cs-CZ"/>
              </w:rPr>
            </w:pPr>
            <w:r w:rsidRPr="00DD47DF">
              <w:rPr>
                <w:rFonts w:ascii="Times New Roman" w:hAnsi="Times New Roman"/>
                <w:sz w:val="22"/>
                <w:szCs w:val="22"/>
                <w:lang w:eastAsia="cs-CZ"/>
              </w:rPr>
              <w:t>Nejčastější chyby zadavatelů v zadávacím řízení</w:t>
            </w:r>
          </w:p>
          <w:p w14:paraId="6E8252AC" w14:textId="77777777" w:rsidR="00CD6752" w:rsidRPr="00DD47DF" w:rsidRDefault="00CD6752" w:rsidP="008616CF">
            <w:pPr>
              <w:pStyle w:val="DAVA"/>
              <w:numPr>
                <w:ilvl w:val="0"/>
                <w:numId w:val="102"/>
              </w:numPr>
              <w:spacing w:before="80" w:after="80"/>
              <w:ind w:left="351"/>
              <w:rPr>
                <w:rFonts w:ascii="Times New Roman" w:hAnsi="Times New Roman"/>
                <w:sz w:val="22"/>
                <w:szCs w:val="22"/>
                <w:lang w:eastAsia="cs-CZ"/>
              </w:rPr>
            </w:pPr>
            <w:r w:rsidRPr="00DD47DF">
              <w:rPr>
                <w:rFonts w:ascii="Times New Roman" w:hAnsi="Times New Roman"/>
                <w:sz w:val="22"/>
                <w:szCs w:val="22"/>
                <w:lang w:eastAsia="cs-CZ"/>
              </w:rPr>
              <w:t>Výjimky ze ZVZ</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8AA8C58" w14:textId="77777777" w:rsidR="00CD6752" w:rsidRPr="00DD47DF" w:rsidRDefault="00CD6752" w:rsidP="00A031A3">
            <w:pPr>
              <w:pStyle w:val="Tabulka"/>
              <w:widowControl w:val="0"/>
              <w:jc w:val="left"/>
              <w:rPr>
                <w:rFonts w:cs="Calibri"/>
              </w:rPr>
            </w:pPr>
            <w:r w:rsidRPr="00DD47DF">
              <w:lastRenderedPageBreak/>
              <w:t>31. 12. 2015</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61D6C92F" w14:textId="77777777" w:rsidR="00CD6752" w:rsidRPr="00DD47DF" w:rsidRDefault="00CD6752" w:rsidP="00A031A3">
            <w:pPr>
              <w:pStyle w:val="Tabulka"/>
              <w:widowControl w:val="0"/>
              <w:jc w:val="left"/>
              <w:rPr>
                <w:rFonts w:cs="Calibri"/>
              </w:rPr>
            </w:pPr>
            <w:r w:rsidRPr="00DD47DF">
              <w:t>MMR</w:t>
            </w:r>
          </w:p>
        </w:tc>
      </w:tr>
      <w:tr w:rsidR="00CD6752" w:rsidRPr="00DD47DF" w14:paraId="4AEFBF09" w14:textId="77777777" w:rsidTr="00335A15">
        <w:trPr>
          <w:trHeight w:val="414"/>
        </w:trPr>
        <w:tc>
          <w:tcPr>
            <w:tcW w:w="0" w:type="auto"/>
            <w:vMerge/>
            <w:tcBorders>
              <w:left w:val="single" w:sz="4" w:space="0" w:color="auto"/>
              <w:right w:val="single" w:sz="4" w:space="0" w:color="auto"/>
            </w:tcBorders>
            <w:shd w:val="clear" w:color="auto" w:fill="auto"/>
          </w:tcPr>
          <w:p w14:paraId="4297CD2B" w14:textId="77777777" w:rsidR="00CD6752" w:rsidRPr="00DD47DF" w:rsidRDefault="00CD6752" w:rsidP="006D2F5F">
            <w:pPr>
              <w:pStyle w:val="Tabulka"/>
              <w:widowControl w:val="0"/>
              <w:jc w:val="left"/>
              <w:rPr>
                <w:rFonts w:cs="Calibri"/>
                <w:b/>
              </w:rPr>
            </w:pPr>
          </w:p>
        </w:tc>
        <w:tc>
          <w:tcPr>
            <w:tcW w:w="0" w:type="auto"/>
            <w:vMerge/>
            <w:tcBorders>
              <w:left w:val="single" w:sz="4" w:space="0" w:color="auto"/>
              <w:right w:val="single" w:sz="4" w:space="0" w:color="auto"/>
            </w:tcBorders>
            <w:shd w:val="clear" w:color="auto" w:fill="auto"/>
          </w:tcPr>
          <w:p w14:paraId="54A6C32F" w14:textId="77777777" w:rsidR="00CD6752" w:rsidRPr="00DD47DF" w:rsidRDefault="00CD6752" w:rsidP="00C27B91">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9AD6BD" w14:textId="77777777" w:rsidR="00CD6752" w:rsidRPr="00DD47DF" w:rsidRDefault="00CD6752" w:rsidP="00335A15">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Zajištění proškolení všech relevantních zaměstnanců ŘO a ZS zabývajících se zadáváním veřejných zakázek v souvislosti s přijetím nového Metodického pokynu k zadávání Veřejných zakázek:</w:t>
            </w:r>
          </w:p>
          <w:p w14:paraId="7B2CE361" w14:textId="77777777" w:rsidR="00CD6752" w:rsidRPr="00DD47DF" w:rsidRDefault="00CD6752" w:rsidP="00335A15">
            <w:pPr>
              <w:pStyle w:val="DAVA"/>
              <w:spacing w:before="80" w:after="80"/>
              <w:rPr>
                <w:rFonts w:ascii="Times New Roman" w:hAnsi="Times New Roman"/>
                <w:sz w:val="22"/>
                <w:szCs w:val="22"/>
              </w:rPr>
            </w:pPr>
            <w:r w:rsidRPr="00DD47DF">
              <w:rPr>
                <w:rFonts w:ascii="Times New Roman" w:hAnsi="Times New Roman"/>
                <w:sz w:val="22"/>
                <w:szCs w:val="22"/>
                <w:lang w:eastAsia="cs-CZ"/>
              </w:rPr>
              <w:t>1) Gestor ZVZ proškolí řídící orgány a zprostředkující subjekty v zadávání veřejných zakázek podle postupů stanovených v ZVZ a podle postupů stanovených v Metodickém pokynu pro oblast zadávání zakázek pro programové období 2014-2020 (prezenční vzdělávací akce).</w:t>
            </w:r>
            <w:r w:rsidRPr="00DD47DF">
              <w:rPr>
                <w:rFonts w:ascii="Times New Roman" w:hAnsi="Times New Roman"/>
                <w:sz w:val="22"/>
                <w:szCs w:val="22"/>
              </w:rPr>
              <w:t xml:space="preserve"> </w:t>
            </w:r>
          </w:p>
          <w:p w14:paraId="041BEE76" w14:textId="77777777" w:rsidR="00CD6752" w:rsidRPr="00DD47DF" w:rsidRDefault="00CD6752" w:rsidP="00D43AF5">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2) Ve spolupráci s NOK a  ŘO a na jeho žádost bude gestor ZVZ stejným způsobem vzdělávat také příjemce (zadavatele).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E97DFD6" w14:textId="77777777" w:rsidR="00CD6752" w:rsidRPr="00DD47DF" w:rsidRDefault="00CD6752" w:rsidP="00A031A3">
            <w:pPr>
              <w:pStyle w:val="Tabulka"/>
              <w:widowControl w:val="0"/>
              <w:jc w:val="left"/>
            </w:pPr>
            <w:r>
              <w:t xml:space="preserve"> 30. 6. 2015</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6372ECB5" w14:textId="77777777" w:rsidR="00CD6752" w:rsidRPr="00DD47DF" w:rsidRDefault="00CD6752" w:rsidP="00A031A3">
            <w:pPr>
              <w:pStyle w:val="Tabulka"/>
              <w:widowControl w:val="0"/>
              <w:jc w:val="left"/>
            </w:pPr>
            <w:r w:rsidRPr="00DD47DF">
              <w:t>MMR, ŘO</w:t>
            </w:r>
          </w:p>
        </w:tc>
      </w:tr>
      <w:tr w:rsidR="00CD6752" w:rsidRPr="00DD47DF" w14:paraId="5AE1A3BF" w14:textId="77777777" w:rsidTr="004E1D61">
        <w:trPr>
          <w:trHeight w:val="414"/>
        </w:trPr>
        <w:tc>
          <w:tcPr>
            <w:tcW w:w="0" w:type="auto"/>
            <w:vMerge/>
            <w:tcBorders>
              <w:left w:val="single" w:sz="4" w:space="0" w:color="auto"/>
              <w:right w:val="single" w:sz="4" w:space="0" w:color="auto"/>
            </w:tcBorders>
            <w:shd w:val="clear" w:color="auto" w:fill="auto"/>
          </w:tcPr>
          <w:p w14:paraId="6A808998" w14:textId="77777777" w:rsidR="00CD6752" w:rsidRPr="00DD47DF" w:rsidRDefault="00CD6752" w:rsidP="006D2F5F">
            <w:pPr>
              <w:pStyle w:val="Tabulka"/>
              <w:widowControl w:val="0"/>
              <w:jc w:val="left"/>
              <w:rPr>
                <w:rFonts w:cs="Calibri"/>
                <w:b/>
              </w:rPr>
            </w:pPr>
          </w:p>
        </w:tc>
        <w:tc>
          <w:tcPr>
            <w:tcW w:w="0" w:type="auto"/>
            <w:vMerge/>
            <w:tcBorders>
              <w:left w:val="single" w:sz="4" w:space="0" w:color="auto"/>
              <w:right w:val="single" w:sz="4" w:space="0" w:color="auto"/>
            </w:tcBorders>
            <w:shd w:val="clear" w:color="auto" w:fill="auto"/>
          </w:tcPr>
          <w:p w14:paraId="602B7771" w14:textId="77777777" w:rsidR="00CD6752" w:rsidRPr="00DD47DF" w:rsidRDefault="00CD6752" w:rsidP="00C27B91">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92011D" w14:textId="77777777" w:rsidR="00CD6752" w:rsidRPr="00DD47DF" w:rsidRDefault="00CD6752" w:rsidP="00335A15">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 xml:space="preserve">Gestor ZVZ vytipuje v nových zadávacích směrnicích EU novou právní úpravu, kterou považuje za problematickou/rizikovou (např. s ohledem na to, že dříve nebyla používána, nebo je významněji pozměněna oproti </w:t>
            </w:r>
            <w:r w:rsidRPr="00DD47DF">
              <w:rPr>
                <w:rFonts w:ascii="Times New Roman" w:hAnsi="Times New Roman"/>
                <w:sz w:val="22"/>
                <w:szCs w:val="22"/>
                <w:lang w:eastAsia="cs-CZ"/>
              </w:rPr>
              <w:lastRenderedPageBreak/>
              <w:t>předchozímu období), a uskuteční vzdělávací akce na toto téma pro subjekty implementační struktury.</w:t>
            </w:r>
          </w:p>
          <w:p w14:paraId="4241B849" w14:textId="77777777" w:rsidR="00CD6752" w:rsidRPr="00DD47DF" w:rsidRDefault="00CD6752" w:rsidP="00335A15">
            <w:pPr>
              <w:pStyle w:val="DAVA"/>
              <w:rPr>
                <w:rFonts w:ascii="Times New Roman" w:hAnsi="Times New Roman"/>
                <w:sz w:val="22"/>
                <w:szCs w:val="22"/>
              </w:rPr>
            </w:pPr>
            <w:r w:rsidRPr="00DD47DF">
              <w:rPr>
                <w:rFonts w:ascii="Times New Roman" w:hAnsi="Times New Roman"/>
                <w:sz w:val="22"/>
                <w:szCs w:val="22"/>
              </w:rPr>
              <w:t>31. 12. 2015</w:t>
            </w:r>
          </w:p>
          <w:p w14:paraId="6E47A102" w14:textId="77777777" w:rsidR="00CD6752" w:rsidRPr="00DD47DF" w:rsidRDefault="00CD6752" w:rsidP="00D43AF5">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31. 12. 2016</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CF8B76C" w14:textId="77777777" w:rsidR="00CD6752" w:rsidRPr="00DD47DF" w:rsidRDefault="00CD6752" w:rsidP="00A031A3">
            <w:pPr>
              <w:pStyle w:val="Tabulka"/>
              <w:widowControl w:val="0"/>
              <w:jc w:val="left"/>
            </w:pPr>
            <w:r w:rsidRPr="00DD47DF">
              <w:rPr>
                <w:rFonts w:cs="Arial"/>
              </w:rPr>
              <w:lastRenderedPageBreak/>
              <w:t>31. 12. 2016</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7CA18113" w14:textId="77777777" w:rsidR="00CD6752" w:rsidRPr="00DD47DF" w:rsidRDefault="00CD6752" w:rsidP="00A031A3">
            <w:pPr>
              <w:pStyle w:val="Tabulka"/>
              <w:widowControl w:val="0"/>
              <w:jc w:val="left"/>
            </w:pPr>
            <w:r w:rsidRPr="00DD47DF">
              <w:rPr>
                <w:rFonts w:cs="Arial"/>
              </w:rPr>
              <w:t>MMR</w:t>
            </w:r>
          </w:p>
        </w:tc>
      </w:tr>
      <w:tr w:rsidR="00CD6752" w:rsidRPr="00DD47DF" w14:paraId="764F74C4" w14:textId="77777777" w:rsidTr="00CE492D">
        <w:trPr>
          <w:trHeight w:val="414"/>
        </w:trPr>
        <w:tc>
          <w:tcPr>
            <w:tcW w:w="0" w:type="auto"/>
            <w:vMerge/>
            <w:tcBorders>
              <w:left w:val="single" w:sz="4" w:space="0" w:color="auto"/>
              <w:bottom w:val="single" w:sz="4" w:space="0" w:color="auto"/>
              <w:right w:val="single" w:sz="4" w:space="0" w:color="auto"/>
            </w:tcBorders>
            <w:shd w:val="clear" w:color="auto" w:fill="auto"/>
          </w:tcPr>
          <w:p w14:paraId="1D53BB51" w14:textId="77777777" w:rsidR="00CD6752" w:rsidRPr="00DD47DF" w:rsidRDefault="00CD6752" w:rsidP="006D2F5F">
            <w:pPr>
              <w:pStyle w:val="Tabulka"/>
              <w:widowControl w:val="0"/>
              <w:jc w:val="left"/>
              <w:rPr>
                <w:rFonts w:cs="Calibri"/>
                <w:b/>
              </w:rPr>
            </w:pPr>
          </w:p>
        </w:tc>
        <w:tc>
          <w:tcPr>
            <w:tcW w:w="0" w:type="auto"/>
            <w:vMerge/>
            <w:tcBorders>
              <w:left w:val="single" w:sz="4" w:space="0" w:color="auto"/>
              <w:bottom w:val="single" w:sz="4" w:space="0" w:color="auto"/>
              <w:right w:val="single" w:sz="4" w:space="0" w:color="auto"/>
            </w:tcBorders>
            <w:shd w:val="clear" w:color="auto" w:fill="auto"/>
          </w:tcPr>
          <w:p w14:paraId="3045DF9A" w14:textId="77777777" w:rsidR="00CD6752" w:rsidRPr="00DD47DF" w:rsidRDefault="00CD6752" w:rsidP="00C27B91">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9FF43C" w14:textId="77777777" w:rsidR="00CD6752" w:rsidRPr="00DD47DF" w:rsidRDefault="00CD6752" w:rsidP="004E1D61">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Podání žádosti k projektu Akademie veřejného investování:</w:t>
            </w:r>
          </w:p>
          <w:p w14:paraId="2A695ABE" w14:textId="77777777" w:rsidR="00CD6752" w:rsidRPr="00DD47DF" w:rsidRDefault="00CD6752" w:rsidP="004E1D61">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(náplní projektu bude zejména následující: spolupráce s ŘO, žadateli a příjemci při přípravě a realizaci projektů z ESIF, sdílení best practice, školení realizačního týmu a týmu odborníků, školení žadatelů a příjemců, odborné konference a pracovní setkání)</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6CB06AA" w14:textId="77777777" w:rsidR="00CD6752" w:rsidRPr="00DD47DF" w:rsidRDefault="00CD6752" w:rsidP="004E1D61">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31. 7. 2016</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55CB60DA" w14:textId="77777777" w:rsidR="00CD6752" w:rsidRPr="00DD47DF" w:rsidRDefault="00CD6752" w:rsidP="004E1D61">
            <w:pPr>
              <w:pStyle w:val="DAVA"/>
              <w:spacing w:before="80" w:after="80"/>
              <w:rPr>
                <w:rFonts w:ascii="Times New Roman" w:hAnsi="Times New Roman"/>
                <w:sz w:val="22"/>
                <w:szCs w:val="22"/>
              </w:rPr>
            </w:pPr>
            <w:r w:rsidRPr="00DD47DF">
              <w:rPr>
                <w:rFonts w:ascii="Times New Roman" w:hAnsi="Times New Roman"/>
                <w:sz w:val="22"/>
                <w:szCs w:val="22"/>
              </w:rPr>
              <w:t>MMR</w:t>
            </w:r>
          </w:p>
        </w:tc>
      </w:tr>
      <w:tr w:rsidR="00CD6752" w:rsidRPr="00DD47DF" w14:paraId="5C5DD68F" w14:textId="77777777" w:rsidTr="00110890">
        <w:trPr>
          <w:trHeight w:val="414"/>
        </w:trPr>
        <w:tc>
          <w:tcPr>
            <w:tcW w:w="0" w:type="auto"/>
            <w:vMerge w:val="restart"/>
            <w:tcBorders>
              <w:left w:val="single" w:sz="4" w:space="0" w:color="auto"/>
              <w:right w:val="single" w:sz="4" w:space="0" w:color="auto"/>
            </w:tcBorders>
            <w:shd w:val="clear" w:color="auto" w:fill="auto"/>
          </w:tcPr>
          <w:p w14:paraId="613F80C8" w14:textId="77777777" w:rsidR="00CD6752" w:rsidRPr="00DD47DF" w:rsidRDefault="00CD6752" w:rsidP="006D2F5F">
            <w:pPr>
              <w:pStyle w:val="Tabulka"/>
              <w:widowControl w:val="0"/>
              <w:jc w:val="left"/>
              <w:rPr>
                <w:rFonts w:cs="Calibri"/>
                <w:b/>
              </w:rPr>
            </w:pPr>
          </w:p>
        </w:tc>
        <w:tc>
          <w:tcPr>
            <w:tcW w:w="0" w:type="auto"/>
            <w:vMerge w:val="restart"/>
            <w:tcBorders>
              <w:left w:val="single" w:sz="4" w:space="0" w:color="auto"/>
              <w:right w:val="single" w:sz="4" w:space="0" w:color="auto"/>
            </w:tcBorders>
            <w:shd w:val="clear" w:color="auto" w:fill="auto"/>
          </w:tcPr>
          <w:p w14:paraId="5C3C62FA" w14:textId="77777777" w:rsidR="00CD6752" w:rsidRPr="00DD47DF" w:rsidRDefault="00CD6752" w:rsidP="00110890">
            <w:pPr>
              <w:pStyle w:val="Tabulka"/>
              <w:widowControl w:val="0"/>
              <w:jc w:val="left"/>
              <w:rPr>
                <w:rFonts w:cs="Calibri"/>
              </w:rPr>
            </w:pPr>
            <w:r w:rsidRPr="00DD47DF">
              <w:rPr>
                <w:rFonts w:cs="Calibri"/>
              </w:rPr>
              <w:t>Opatření k posílení správní kapacity pro provádění a uplatňování právních předpisů Unie o veřejných zakázkách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AE075C" w14:textId="77777777" w:rsidR="00CD6752" w:rsidRPr="00DD47DF" w:rsidRDefault="00CD6752" w:rsidP="00110890">
            <w:pPr>
              <w:pStyle w:val="DAVA"/>
              <w:spacing w:before="80" w:after="80"/>
              <w:rPr>
                <w:rFonts w:cs="Calibri"/>
              </w:rPr>
            </w:pPr>
            <w:r w:rsidRPr="00DD47DF">
              <w:rPr>
                <w:rFonts w:ascii="Times New Roman" w:hAnsi="Times New Roman"/>
                <w:sz w:val="22"/>
                <w:szCs w:val="22"/>
                <w:lang w:eastAsia="cs-CZ"/>
              </w:rPr>
              <w:t>Přijetí d</w:t>
            </w:r>
            <w:r>
              <w:rPr>
                <w:rFonts w:ascii="Times New Roman" w:hAnsi="Times New Roman"/>
                <w:sz w:val="22"/>
                <w:szCs w:val="22"/>
                <w:lang w:eastAsia="cs-CZ"/>
              </w:rPr>
              <w:t>alších 4 pracovníků gestorem PP</w:t>
            </w:r>
            <w:r w:rsidRPr="00DD47DF">
              <w:rPr>
                <w:rFonts w:ascii="Times New Roman" w:hAnsi="Times New Roman"/>
                <w:sz w:val="22"/>
                <w:szCs w:val="22"/>
                <w:lang w:eastAsia="cs-CZ"/>
              </w:rPr>
              <w:t xml:space="preserve"> (některé výše uvedené činnosti metodického charakteru budou zajišťovat i další pracovníci gestora ZVZ, kteří nejsou přímo vyčlenění na agendu ESI fondů, protože jde o obecnou metodickou činnost, kterou gestor ZVZ provádí v rámci své působnosti)</w:t>
            </w:r>
            <w:r>
              <w:rPr>
                <w:rFonts w:ascii="Times New Roman" w:hAnsi="Times New Roman"/>
                <w:sz w:val="22"/>
                <w:szCs w:val="22"/>
                <w:lang w:eastAsia="cs-CZ"/>
              </w:rPr>
              <w: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65D158A" w14:textId="77777777" w:rsidR="00CD6752" w:rsidRPr="00DD47DF" w:rsidRDefault="00CD6752" w:rsidP="00110890">
            <w:pPr>
              <w:pStyle w:val="DAVA"/>
              <w:spacing w:before="80" w:after="80"/>
              <w:rPr>
                <w:rFonts w:cs="Calibri"/>
              </w:rPr>
            </w:pPr>
            <w:r w:rsidRPr="00DD47DF">
              <w:rPr>
                <w:rFonts w:ascii="Times New Roman" w:hAnsi="Times New Roman"/>
                <w:sz w:val="22"/>
                <w:szCs w:val="22"/>
                <w:lang w:eastAsia="cs-CZ"/>
              </w:rPr>
              <w:t>30. 6. 2015</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0C0FFCB1" w14:textId="77777777" w:rsidR="00CD6752" w:rsidRPr="00DD47DF" w:rsidRDefault="00CD6752" w:rsidP="00110890">
            <w:pPr>
              <w:pStyle w:val="DAVA"/>
              <w:spacing w:before="80" w:after="80"/>
              <w:rPr>
                <w:rFonts w:cs="Calibri"/>
              </w:rPr>
            </w:pPr>
            <w:r w:rsidRPr="00DD47DF">
              <w:rPr>
                <w:rFonts w:ascii="Times New Roman" w:hAnsi="Times New Roman"/>
                <w:sz w:val="22"/>
                <w:szCs w:val="22"/>
              </w:rPr>
              <w:t>MMR</w:t>
            </w:r>
          </w:p>
        </w:tc>
      </w:tr>
      <w:tr w:rsidR="00CD6752" w:rsidRPr="00DD47DF" w14:paraId="68382B47" w14:textId="77777777" w:rsidTr="00CE492D">
        <w:trPr>
          <w:trHeight w:val="414"/>
        </w:trPr>
        <w:tc>
          <w:tcPr>
            <w:tcW w:w="0" w:type="auto"/>
            <w:vMerge/>
            <w:tcBorders>
              <w:left w:val="single" w:sz="4" w:space="0" w:color="auto"/>
              <w:bottom w:val="single" w:sz="4" w:space="0" w:color="auto"/>
              <w:right w:val="single" w:sz="4" w:space="0" w:color="auto"/>
            </w:tcBorders>
            <w:shd w:val="clear" w:color="auto" w:fill="auto"/>
          </w:tcPr>
          <w:p w14:paraId="16FD1800" w14:textId="77777777" w:rsidR="00CD6752" w:rsidRPr="00DD47DF" w:rsidRDefault="00CD6752" w:rsidP="006D2F5F">
            <w:pPr>
              <w:pStyle w:val="Tabulka"/>
              <w:widowControl w:val="0"/>
              <w:jc w:val="left"/>
              <w:rPr>
                <w:rFonts w:cs="Calibri"/>
                <w:b/>
              </w:rPr>
            </w:pPr>
          </w:p>
        </w:tc>
        <w:tc>
          <w:tcPr>
            <w:tcW w:w="0" w:type="auto"/>
            <w:vMerge/>
            <w:tcBorders>
              <w:left w:val="single" w:sz="4" w:space="0" w:color="auto"/>
              <w:bottom w:val="single" w:sz="4" w:space="0" w:color="auto"/>
              <w:right w:val="single" w:sz="4" w:space="0" w:color="auto"/>
            </w:tcBorders>
            <w:shd w:val="clear" w:color="auto" w:fill="auto"/>
          </w:tcPr>
          <w:p w14:paraId="068E68A2" w14:textId="77777777" w:rsidR="00CD6752" w:rsidRPr="00DD47DF" w:rsidRDefault="00CD6752" w:rsidP="00110890">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50BDE9" w14:textId="77777777" w:rsidR="00CD6752" w:rsidRPr="00DD47DF" w:rsidRDefault="00CD6752" w:rsidP="00110890">
            <w:pPr>
              <w:pStyle w:val="Tabulka"/>
              <w:widowControl w:val="0"/>
              <w:jc w:val="left"/>
              <w:rPr>
                <w:rFonts w:cs="Calibri"/>
              </w:rPr>
            </w:pPr>
            <w:r w:rsidRPr="00DD47DF">
              <w:rPr>
                <w:rFonts w:cs="Calibri"/>
              </w:rPr>
              <w:t xml:space="preserve">Provedení interního vyhodnocení zajištění administrativní kapacity v oblasti veřejných </w:t>
            </w:r>
            <w:r>
              <w:rPr>
                <w:rFonts w:cs="Calibri"/>
              </w:rPr>
              <w:t>zakázek a event. doplnění stavu</w:t>
            </w:r>
            <w:r w:rsidRPr="00DD47DF">
              <w:rPr>
                <w:rFonts w:cs="Calibri"/>
              </w:rPr>
              <w: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49249D1" w14:textId="77777777" w:rsidR="00CD6752" w:rsidRPr="00DD47DF" w:rsidRDefault="00CD6752" w:rsidP="00110890">
            <w:pPr>
              <w:pStyle w:val="Tabulka"/>
              <w:widowControl w:val="0"/>
              <w:jc w:val="left"/>
              <w:rPr>
                <w:rFonts w:cs="Calibri"/>
              </w:rPr>
            </w:pPr>
            <w:r w:rsidRPr="00DD47DF">
              <w:rPr>
                <w:rFonts w:cs="Calibri"/>
              </w:rPr>
              <w:t>31.12.2015</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0B26BD48" w14:textId="77777777" w:rsidR="00CD6752" w:rsidRPr="00DD47DF" w:rsidRDefault="00CD6752" w:rsidP="00110890">
            <w:pPr>
              <w:pStyle w:val="Tabulka"/>
              <w:widowControl w:val="0"/>
              <w:jc w:val="left"/>
              <w:rPr>
                <w:rFonts w:cs="Calibri"/>
              </w:rPr>
            </w:pPr>
            <w:r w:rsidRPr="00DD47DF">
              <w:rPr>
                <w:rFonts w:cs="Calibri"/>
              </w:rPr>
              <w:t>ŘO</w:t>
            </w:r>
          </w:p>
        </w:tc>
      </w:tr>
      <w:tr w:rsidR="00CD6752" w:rsidRPr="00DD47DF" w14:paraId="1989A1D3" w14:textId="77777777" w:rsidTr="00DD47DF">
        <w:trPr>
          <w:trHeight w:val="986"/>
        </w:trPr>
        <w:tc>
          <w:tcPr>
            <w:tcW w:w="0" w:type="auto"/>
            <w:vMerge w:val="restart"/>
            <w:tcBorders>
              <w:top w:val="single" w:sz="4" w:space="0" w:color="auto"/>
              <w:left w:val="single" w:sz="4" w:space="0" w:color="auto"/>
              <w:right w:val="single" w:sz="4" w:space="0" w:color="auto"/>
            </w:tcBorders>
            <w:shd w:val="clear" w:color="auto" w:fill="auto"/>
          </w:tcPr>
          <w:p w14:paraId="4DE11E81" w14:textId="77777777" w:rsidR="00CD6752" w:rsidRPr="00DD47DF" w:rsidRDefault="00CD6752" w:rsidP="006D2F5F">
            <w:pPr>
              <w:pStyle w:val="Tabulka"/>
              <w:widowControl w:val="0"/>
              <w:jc w:val="left"/>
              <w:rPr>
                <w:rFonts w:cs="Calibri"/>
                <w:b/>
              </w:rPr>
            </w:pPr>
            <w:r w:rsidRPr="00DD47DF">
              <w:rPr>
                <w:rFonts w:cs="Calibri"/>
                <w:b/>
              </w:rPr>
              <w:t xml:space="preserve">Existence opatření pro účinné uplatňování právních předpisů Unie o veřejné </w:t>
            </w:r>
            <w:r w:rsidRPr="00DD47DF">
              <w:rPr>
                <w:rFonts w:cs="Calibri"/>
                <w:b/>
              </w:rPr>
              <w:lastRenderedPageBreak/>
              <w:t xml:space="preserve">podpoře v oblasti fondů ESI </w:t>
            </w:r>
          </w:p>
        </w:tc>
        <w:tc>
          <w:tcPr>
            <w:tcW w:w="0" w:type="auto"/>
            <w:vMerge w:val="restart"/>
            <w:tcBorders>
              <w:top w:val="single" w:sz="4" w:space="0" w:color="auto"/>
              <w:left w:val="single" w:sz="4" w:space="0" w:color="auto"/>
              <w:right w:val="single" w:sz="4" w:space="0" w:color="auto"/>
            </w:tcBorders>
            <w:shd w:val="clear" w:color="auto" w:fill="auto"/>
          </w:tcPr>
          <w:p w14:paraId="505C214A" w14:textId="77777777" w:rsidR="00CD6752" w:rsidRPr="00DD47DF" w:rsidRDefault="00CD6752" w:rsidP="006D2F5F">
            <w:pPr>
              <w:pStyle w:val="Tabulka"/>
              <w:widowControl w:val="0"/>
              <w:jc w:val="left"/>
              <w:rPr>
                <w:rFonts w:cs="Calibri"/>
              </w:rPr>
            </w:pPr>
            <w:r w:rsidRPr="00DD47DF">
              <w:rPr>
                <w:rFonts w:cs="Calibri"/>
              </w:rPr>
              <w:lastRenderedPageBreak/>
              <w:t>Opatření pro účinné uplatňování pravidel Unie o státních podporách</w:t>
            </w:r>
          </w:p>
        </w:tc>
        <w:tc>
          <w:tcPr>
            <w:tcW w:w="0" w:type="auto"/>
            <w:tcBorders>
              <w:top w:val="single" w:sz="4" w:space="0" w:color="auto"/>
              <w:left w:val="single" w:sz="4" w:space="0" w:color="auto"/>
              <w:right w:val="single" w:sz="4" w:space="0" w:color="auto"/>
            </w:tcBorders>
            <w:shd w:val="clear" w:color="auto" w:fill="auto"/>
          </w:tcPr>
          <w:p w14:paraId="7975F955" w14:textId="77777777" w:rsidR="00CD6752" w:rsidRPr="00DD47DF" w:rsidRDefault="00CD6752" w:rsidP="00C13923">
            <w:pPr>
              <w:spacing w:before="80" w:after="80"/>
              <w:rPr>
                <w:sz w:val="22"/>
                <w:szCs w:val="22"/>
              </w:rPr>
            </w:pPr>
            <w:r w:rsidRPr="00DD47DF">
              <w:rPr>
                <w:sz w:val="22"/>
                <w:szCs w:val="22"/>
              </w:rPr>
              <w:t>Zpracování metodického doporučení pro oblast veřejné podpory.</w:t>
            </w:r>
          </w:p>
          <w:p w14:paraId="3DEB2FD5" w14:textId="77777777" w:rsidR="00CD6752" w:rsidRPr="00DD47DF" w:rsidRDefault="00CD6752" w:rsidP="00C13923">
            <w:pPr>
              <w:spacing w:before="80" w:after="80"/>
              <w:rPr>
                <w:rFonts w:cs="Calibri"/>
              </w:rPr>
            </w:pPr>
            <w:r w:rsidRPr="00DD47DF">
              <w:rPr>
                <w:sz w:val="22"/>
                <w:szCs w:val="22"/>
              </w:rPr>
              <w:t>Finální verze do 15. 4. 2015</w:t>
            </w:r>
          </w:p>
        </w:tc>
        <w:tc>
          <w:tcPr>
            <w:tcW w:w="1984" w:type="dxa"/>
            <w:tcBorders>
              <w:top w:val="single" w:sz="4" w:space="0" w:color="auto"/>
              <w:left w:val="single" w:sz="4" w:space="0" w:color="auto"/>
              <w:right w:val="single" w:sz="4" w:space="0" w:color="auto"/>
            </w:tcBorders>
            <w:shd w:val="clear" w:color="auto" w:fill="auto"/>
          </w:tcPr>
          <w:p w14:paraId="0296E542" w14:textId="77777777" w:rsidR="00CD6752" w:rsidRPr="00DD47DF" w:rsidRDefault="00CD6752" w:rsidP="009F44B2">
            <w:pPr>
              <w:pStyle w:val="Tabulka"/>
              <w:widowControl w:val="0"/>
              <w:jc w:val="left"/>
              <w:rPr>
                <w:rFonts w:cs="Calibri"/>
              </w:rPr>
            </w:pPr>
            <w:r w:rsidRPr="00DD47DF">
              <w:rPr>
                <w:rFonts w:cs="Calibri"/>
              </w:rPr>
              <w:t>15.4.2015</w:t>
            </w:r>
          </w:p>
        </w:tc>
        <w:tc>
          <w:tcPr>
            <w:tcW w:w="2617" w:type="dxa"/>
            <w:tcBorders>
              <w:top w:val="single" w:sz="4" w:space="0" w:color="auto"/>
              <w:left w:val="single" w:sz="4" w:space="0" w:color="auto"/>
              <w:right w:val="single" w:sz="4" w:space="0" w:color="auto"/>
            </w:tcBorders>
            <w:shd w:val="clear" w:color="auto" w:fill="auto"/>
          </w:tcPr>
          <w:p w14:paraId="71E5D783" w14:textId="77777777" w:rsidR="00CD6752" w:rsidRPr="00DD47DF" w:rsidRDefault="00CD6752" w:rsidP="006D2F5F">
            <w:pPr>
              <w:pStyle w:val="Tabulka"/>
              <w:widowControl w:val="0"/>
              <w:jc w:val="left"/>
              <w:rPr>
                <w:rFonts w:cs="Calibri"/>
              </w:rPr>
            </w:pPr>
            <w:r w:rsidRPr="00DD47DF">
              <w:rPr>
                <w:rFonts w:cs="Calibri"/>
              </w:rPr>
              <w:t>MMR</w:t>
            </w:r>
          </w:p>
        </w:tc>
      </w:tr>
      <w:tr w:rsidR="00CD6752" w:rsidRPr="00DD47DF" w14:paraId="2A966CBF" w14:textId="77777777" w:rsidTr="00A147B1">
        <w:trPr>
          <w:trHeight w:val="2397"/>
        </w:trPr>
        <w:tc>
          <w:tcPr>
            <w:tcW w:w="0" w:type="auto"/>
            <w:vMerge/>
            <w:tcBorders>
              <w:left w:val="single" w:sz="4" w:space="0" w:color="auto"/>
              <w:right w:val="single" w:sz="4" w:space="0" w:color="auto"/>
            </w:tcBorders>
            <w:shd w:val="clear" w:color="auto" w:fill="auto"/>
          </w:tcPr>
          <w:p w14:paraId="5011CEFA" w14:textId="77777777" w:rsidR="00CD6752" w:rsidRPr="00DD47DF" w:rsidRDefault="00CD6752" w:rsidP="006D2F5F">
            <w:pPr>
              <w:pStyle w:val="Tabulka"/>
              <w:widowControl w:val="0"/>
              <w:jc w:val="left"/>
              <w:rPr>
                <w:rFonts w:cs="Calibri"/>
                <w:b/>
              </w:rPr>
            </w:pPr>
          </w:p>
        </w:tc>
        <w:tc>
          <w:tcPr>
            <w:tcW w:w="0" w:type="auto"/>
            <w:vMerge/>
            <w:tcBorders>
              <w:top w:val="single" w:sz="4" w:space="0" w:color="auto"/>
              <w:left w:val="single" w:sz="4" w:space="0" w:color="auto"/>
              <w:right w:val="single" w:sz="4" w:space="0" w:color="auto"/>
            </w:tcBorders>
            <w:shd w:val="clear" w:color="auto" w:fill="auto"/>
          </w:tcPr>
          <w:p w14:paraId="563E36EB" w14:textId="77777777" w:rsidR="00CD6752" w:rsidRPr="00DD47DF" w:rsidRDefault="00CD6752" w:rsidP="006D2F5F">
            <w:pPr>
              <w:pStyle w:val="Tabulka"/>
              <w:widowControl w:val="0"/>
              <w:jc w:val="left"/>
              <w:rPr>
                <w:rFonts w:cs="Calibri"/>
              </w:rPr>
            </w:pPr>
          </w:p>
        </w:tc>
        <w:tc>
          <w:tcPr>
            <w:tcW w:w="0" w:type="auto"/>
            <w:tcBorders>
              <w:top w:val="single" w:sz="4" w:space="0" w:color="auto"/>
              <w:left w:val="single" w:sz="4" w:space="0" w:color="auto"/>
              <w:right w:val="single" w:sz="4" w:space="0" w:color="auto"/>
            </w:tcBorders>
            <w:shd w:val="clear" w:color="auto" w:fill="auto"/>
          </w:tcPr>
          <w:p w14:paraId="2BCDB701" w14:textId="77777777" w:rsidR="00CD6752" w:rsidRPr="00DD47DF" w:rsidRDefault="00CD6752" w:rsidP="002E1FCF">
            <w:pPr>
              <w:pStyle w:val="Tabulka"/>
              <w:widowControl w:val="0"/>
              <w:jc w:val="left"/>
              <w:rPr>
                <w:rFonts w:cs="Calibri"/>
              </w:rPr>
            </w:pPr>
            <w:r w:rsidRPr="00DD47DF">
              <w:t>Zajistit zapracování oblasti VP (v souladu s připravovanou metodikou) do dokumentace k programům, tj. podrobný popis činností, kterými bude zajištěno dodržování pravidel kumulace, principu Deggendorf, kontrola a případné vymáhání neoprávněné podpory, spolupráce s centrálními koordinačními orgány při hlášení a oznamování podpor apod. Manuál interních postupů bude vydán k 30.6.2015.</w:t>
            </w:r>
          </w:p>
        </w:tc>
        <w:tc>
          <w:tcPr>
            <w:tcW w:w="1984" w:type="dxa"/>
            <w:tcBorders>
              <w:top w:val="single" w:sz="4" w:space="0" w:color="auto"/>
              <w:left w:val="single" w:sz="4" w:space="0" w:color="auto"/>
              <w:right w:val="single" w:sz="4" w:space="0" w:color="auto"/>
            </w:tcBorders>
            <w:shd w:val="clear" w:color="auto" w:fill="auto"/>
          </w:tcPr>
          <w:p w14:paraId="0DF26ED8" w14:textId="77777777" w:rsidR="00CD6752" w:rsidRPr="00DD47DF" w:rsidRDefault="00CD6752" w:rsidP="00A147B1">
            <w:pPr>
              <w:pStyle w:val="Tabulka"/>
              <w:widowControl w:val="0"/>
              <w:jc w:val="left"/>
              <w:rPr>
                <w:rFonts w:cs="Calibri"/>
              </w:rPr>
            </w:pPr>
            <w:r w:rsidRPr="00DD47DF">
              <w:rPr>
                <w:rFonts w:cs="Calibri"/>
              </w:rPr>
              <w:t>30.6.2015</w:t>
            </w:r>
          </w:p>
        </w:tc>
        <w:tc>
          <w:tcPr>
            <w:tcW w:w="2617" w:type="dxa"/>
            <w:tcBorders>
              <w:top w:val="single" w:sz="4" w:space="0" w:color="auto"/>
              <w:left w:val="single" w:sz="4" w:space="0" w:color="auto"/>
              <w:right w:val="single" w:sz="4" w:space="0" w:color="auto"/>
            </w:tcBorders>
            <w:shd w:val="clear" w:color="auto" w:fill="auto"/>
          </w:tcPr>
          <w:p w14:paraId="289300E7" w14:textId="77777777" w:rsidR="00CD6752" w:rsidRPr="00DD47DF" w:rsidRDefault="00CD6752" w:rsidP="00A147B1">
            <w:pPr>
              <w:pStyle w:val="Tabulka"/>
              <w:widowControl w:val="0"/>
              <w:jc w:val="left"/>
              <w:rPr>
                <w:rFonts w:cs="Calibri"/>
              </w:rPr>
            </w:pPr>
            <w:r w:rsidRPr="00DD47DF">
              <w:rPr>
                <w:rFonts w:cs="Calibri"/>
              </w:rPr>
              <w:t>ŘO</w:t>
            </w:r>
          </w:p>
        </w:tc>
      </w:tr>
      <w:tr w:rsidR="00CD6752" w:rsidRPr="00DD47DF" w14:paraId="38B2037D" w14:textId="77777777" w:rsidTr="001C2A07">
        <w:trPr>
          <w:trHeight w:val="2397"/>
        </w:trPr>
        <w:tc>
          <w:tcPr>
            <w:tcW w:w="0" w:type="auto"/>
            <w:vMerge/>
            <w:tcBorders>
              <w:left w:val="single" w:sz="4" w:space="0" w:color="auto"/>
              <w:right w:val="single" w:sz="4" w:space="0" w:color="auto"/>
            </w:tcBorders>
            <w:shd w:val="clear" w:color="auto" w:fill="auto"/>
          </w:tcPr>
          <w:p w14:paraId="67D69228" w14:textId="77777777" w:rsidR="00CD6752" w:rsidRPr="00DD47DF" w:rsidRDefault="00CD6752" w:rsidP="006D2F5F">
            <w:pPr>
              <w:pStyle w:val="Tabulka"/>
              <w:widowControl w:val="0"/>
              <w:jc w:val="left"/>
              <w:rPr>
                <w:rFonts w:cs="Calibri"/>
                <w:b/>
              </w:rPr>
            </w:pPr>
          </w:p>
        </w:tc>
        <w:tc>
          <w:tcPr>
            <w:tcW w:w="0" w:type="auto"/>
            <w:vMerge/>
            <w:tcBorders>
              <w:left w:val="single" w:sz="4" w:space="0" w:color="auto"/>
              <w:right w:val="single" w:sz="4" w:space="0" w:color="auto"/>
            </w:tcBorders>
            <w:shd w:val="clear" w:color="auto" w:fill="auto"/>
          </w:tcPr>
          <w:p w14:paraId="2DB20045" w14:textId="77777777" w:rsidR="00CD6752" w:rsidRPr="00DD47DF" w:rsidRDefault="00CD6752" w:rsidP="006D2F5F">
            <w:pPr>
              <w:pStyle w:val="Tabulka"/>
              <w:widowControl w:val="0"/>
              <w:jc w:val="left"/>
              <w:rPr>
                <w:rFonts w:cs="Calibri"/>
              </w:rPr>
            </w:pPr>
          </w:p>
        </w:tc>
        <w:tc>
          <w:tcPr>
            <w:tcW w:w="0" w:type="auto"/>
            <w:tcBorders>
              <w:top w:val="single" w:sz="4" w:space="0" w:color="auto"/>
              <w:left w:val="single" w:sz="4" w:space="0" w:color="auto"/>
              <w:right w:val="single" w:sz="4" w:space="0" w:color="auto"/>
            </w:tcBorders>
            <w:shd w:val="clear" w:color="auto" w:fill="auto"/>
          </w:tcPr>
          <w:p w14:paraId="20C11496" w14:textId="77777777" w:rsidR="00CD6752" w:rsidRPr="00DD47DF" w:rsidRDefault="00CD6752" w:rsidP="006D2F5F">
            <w:pPr>
              <w:pStyle w:val="Tabulka"/>
              <w:widowControl w:val="0"/>
              <w:jc w:val="left"/>
              <w:rPr>
                <w:rFonts w:cs="Calibri"/>
              </w:rPr>
            </w:pPr>
            <w:r w:rsidRPr="00DD47DF">
              <w:rPr>
                <w:rFonts w:cs="Calibri"/>
              </w:rPr>
              <w:t>Zajistit soulad programu s pravidly VP. Do každé výzvy zapracovat pravidla VP. Průběžně analyzovat soulad s pravidly VP při tvorbě programů. Pravidla postupně zapracovat do dokumentace k výzvám vždy před jejich vyhlášením v souladu s postupy a lhůtami dle interního manuálu. Plnit průběžně dle harmonogramu výzev, první výzvy do 30. 6. 2015, další průběžně</w:t>
            </w:r>
          </w:p>
        </w:tc>
        <w:tc>
          <w:tcPr>
            <w:tcW w:w="1984" w:type="dxa"/>
            <w:tcBorders>
              <w:top w:val="single" w:sz="4" w:space="0" w:color="auto"/>
              <w:left w:val="single" w:sz="4" w:space="0" w:color="auto"/>
              <w:right w:val="single" w:sz="4" w:space="0" w:color="auto"/>
            </w:tcBorders>
            <w:shd w:val="clear" w:color="auto" w:fill="auto"/>
          </w:tcPr>
          <w:p w14:paraId="2A3F76D7" w14:textId="77777777" w:rsidR="00CD6752" w:rsidRPr="00DD47DF" w:rsidRDefault="00CD6752" w:rsidP="002E1FCF">
            <w:pPr>
              <w:pStyle w:val="Tabulka"/>
              <w:widowControl w:val="0"/>
              <w:jc w:val="left"/>
              <w:rPr>
                <w:rFonts w:cs="Calibri"/>
              </w:rPr>
            </w:pPr>
            <w:r w:rsidRPr="00DD47DF">
              <w:rPr>
                <w:rFonts w:cs="Calibri"/>
              </w:rPr>
              <w:t>30.6.2016</w:t>
            </w:r>
          </w:p>
        </w:tc>
        <w:tc>
          <w:tcPr>
            <w:tcW w:w="2617" w:type="dxa"/>
            <w:tcBorders>
              <w:top w:val="single" w:sz="4" w:space="0" w:color="auto"/>
              <w:left w:val="single" w:sz="4" w:space="0" w:color="auto"/>
              <w:right w:val="single" w:sz="4" w:space="0" w:color="auto"/>
            </w:tcBorders>
            <w:shd w:val="clear" w:color="auto" w:fill="auto"/>
          </w:tcPr>
          <w:p w14:paraId="5FBEE05C" w14:textId="77777777" w:rsidR="00CD6752" w:rsidRPr="00DD47DF" w:rsidRDefault="00CD6752" w:rsidP="006D2F5F">
            <w:pPr>
              <w:pStyle w:val="Tabulka"/>
              <w:widowControl w:val="0"/>
              <w:jc w:val="left"/>
              <w:rPr>
                <w:rFonts w:cs="Calibri"/>
              </w:rPr>
            </w:pPr>
            <w:r w:rsidRPr="00DD47DF">
              <w:rPr>
                <w:rFonts w:cs="Calibri"/>
              </w:rPr>
              <w:t>ŘO</w:t>
            </w:r>
          </w:p>
        </w:tc>
      </w:tr>
      <w:tr w:rsidR="00CD6752" w:rsidRPr="00DD47DF" w14:paraId="5EE90A53" w14:textId="77777777" w:rsidTr="008A20D2">
        <w:trPr>
          <w:trHeight w:val="414"/>
        </w:trPr>
        <w:tc>
          <w:tcPr>
            <w:tcW w:w="0" w:type="auto"/>
            <w:vMerge/>
            <w:tcBorders>
              <w:left w:val="single" w:sz="4" w:space="0" w:color="auto"/>
              <w:right w:val="single" w:sz="4" w:space="0" w:color="auto"/>
            </w:tcBorders>
            <w:shd w:val="clear" w:color="auto" w:fill="auto"/>
          </w:tcPr>
          <w:p w14:paraId="203C92A0" w14:textId="77777777" w:rsidR="00CD6752" w:rsidRPr="00DD47DF" w:rsidRDefault="00CD6752" w:rsidP="006D2F5F">
            <w:pPr>
              <w:pStyle w:val="Tabulka"/>
              <w:widowControl w:val="0"/>
              <w:jc w:val="left"/>
              <w:rPr>
                <w:rFonts w:cs="Calibri"/>
                <w:b/>
              </w:rPr>
            </w:pPr>
          </w:p>
        </w:tc>
        <w:tc>
          <w:tcPr>
            <w:tcW w:w="0" w:type="auto"/>
            <w:vMerge/>
            <w:tcBorders>
              <w:left w:val="single" w:sz="4" w:space="0" w:color="auto"/>
              <w:right w:val="single" w:sz="4" w:space="0" w:color="auto"/>
            </w:tcBorders>
            <w:shd w:val="clear" w:color="auto" w:fill="auto"/>
          </w:tcPr>
          <w:p w14:paraId="4ED1D127" w14:textId="77777777" w:rsidR="00CD6752" w:rsidRPr="00DD47DF" w:rsidRDefault="00CD6752" w:rsidP="006D2F5F">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519484" w14:textId="77777777" w:rsidR="00CD6752" w:rsidRPr="00DD47DF" w:rsidRDefault="00CD6752" w:rsidP="009F44B2">
            <w:pPr>
              <w:pStyle w:val="Tabulka"/>
              <w:widowControl w:val="0"/>
              <w:jc w:val="left"/>
              <w:rPr>
                <w:rFonts w:cs="Calibri"/>
              </w:rPr>
            </w:pPr>
            <w:r w:rsidRPr="00DD47DF">
              <w:rPr>
                <w:rFonts w:cs="Calibri"/>
              </w:rPr>
              <w:t>Zajistit soulad jednotlivých výzev s pravidly pro VP. První výzvy do 30. 6. 2015, další průběžně dle harmonogramu</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EBB7380" w14:textId="77777777" w:rsidR="00CD6752" w:rsidRPr="00DD47DF" w:rsidRDefault="00CD6752" w:rsidP="002E1FCF">
            <w:pPr>
              <w:pStyle w:val="Tabulka"/>
              <w:widowControl w:val="0"/>
              <w:jc w:val="left"/>
              <w:rPr>
                <w:rFonts w:cs="Calibri"/>
              </w:rPr>
            </w:pPr>
            <w:r w:rsidRPr="00DD47DF">
              <w:rPr>
                <w:rFonts w:cs="Calibri"/>
              </w:rPr>
              <w:t>30.6.2016</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284AF6C1" w14:textId="77777777" w:rsidR="00CD6752" w:rsidRPr="00DD47DF" w:rsidRDefault="00CD6752" w:rsidP="006D2F5F">
            <w:pPr>
              <w:pStyle w:val="Tabulka"/>
              <w:widowControl w:val="0"/>
              <w:jc w:val="left"/>
              <w:rPr>
                <w:rFonts w:cs="Calibri"/>
              </w:rPr>
            </w:pPr>
            <w:r w:rsidRPr="00DD47DF">
              <w:rPr>
                <w:rFonts w:cs="Calibri"/>
              </w:rPr>
              <w:t>ŘO</w:t>
            </w:r>
          </w:p>
        </w:tc>
      </w:tr>
      <w:tr w:rsidR="00CD6752" w:rsidRPr="00DD47DF" w14:paraId="0DDBF620" w14:textId="77777777" w:rsidTr="008A20D2">
        <w:trPr>
          <w:trHeight w:val="414"/>
        </w:trPr>
        <w:tc>
          <w:tcPr>
            <w:tcW w:w="0" w:type="auto"/>
            <w:vMerge/>
            <w:tcBorders>
              <w:left w:val="single" w:sz="4" w:space="0" w:color="auto"/>
              <w:right w:val="single" w:sz="4" w:space="0" w:color="auto"/>
            </w:tcBorders>
            <w:shd w:val="clear" w:color="auto" w:fill="auto"/>
          </w:tcPr>
          <w:p w14:paraId="2D3E058B" w14:textId="77777777" w:rsidR="00CD6752" w:rsidRPr="00DD47DF" w:rsidRDefault="00CD6752" w:rsidP="006D2F5F">
            <w:pPr>
              <w:pStyle w:val="Tabulka"/>
              <w:widowControl w:val="0"/>
              <w:jc w:val="left"/>
              <w:rPr>
                <w:rFonts w:cs="Calibri"/>
                <w:b/>
              </w:rPr>
            </w:pPr>
          </w:p>
        </w:tc>
        <w:tc>
          <w:tcPr>
            <w:tcW w:w="0" w:type="auto"/>
            <w:vMerge/>
            <w:tcBorders>
              <w:left w:val="single" w:sz="4" w:space="0" w:color="auto"/>
              <w:bottom w:val="single" w:sz="4" w:space="0" w:color="auto"/>
              <w:right w:val="single" w:sz="4" w:space="0" w:color="auto"/>
            </w:tcBorders>
            <w:shd w:val="clear" w:color="auto" w:fill="auto"/>
          </w:tcPr>
          <w:p w14:paraId="3F6774D8" w14:textId="77777777" w:rsidR="00CD6752" w:rsidRPr="00DD47DF" w:rsidRDefault="00CD6752" w:rsidP="006D2F5F">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FA6A04" w14:textId="77777777" w:rsidR="00CD6752" w:rsidRPr="00DD47DF" w:rsidRDefault="00CD6752" w:rsidP="006D2F5F">
            <w:pPr>
              <w:pStyle w:val="Tabulka"/>
              <w:widowControl w:val="0"/>
              <w:jc w:val="left"/>
              <w:rPr>
                <w:rFonts w:cs="Calibri"/>
              </w:rPr>
            </w:pPr>
            <w:r w:rsidRPr="00DD47DF">
              <w:rPr>
                <w:rFonts w:cs="Calibri"/>
              </w:rPr>
              <w:t>Zajistit průběžně následnou kontrolu souladu projektů s pravidly pro VP</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7C21CB4" w14:textId="77777777" w:rsidR="00CD6752" w:rsidRPr="00DD47DF" w:rsidRDefault="00CD6752" w:rsidP="00EC2EF9">
            <w:pPr>
              <w:pStyle w:val="Tabulka"/>
              <w:widowControl w:val="0"/>
              <w:jc w:val="left"/>
              <w:rPr>
                <w:rFonts w:cs="Calibri"/>
              </w:rPr>
            </w:pPr>
            <w:r w:rsidRPr="00DD47DF">
              <w:rPr>
                <w:rFonts w:cs="Calibri"/>
              </w:rPr>
              <w:t>31.12.2016</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1CD40BF8" w14:textId="77777777" w:rsidR="00CD6752" w:rsidRPr="00DD47DF" w:rsidRDefault="00CD6752" w:rsidP="006D2F5F">
            <w:pPr>
              <w:pStyle w:val="Tabulka"/>
              <w:widowControl w:val="0"/>
              <w:jc w:val="left"/>
              <w:rPr>
                <w:rFonts w:cs="Calibri"/>
              </w:rPr>
            </w:pPr>
            <w:r w:rsidRPr="00DD47DF">
              <w:rPr>
                <w:rFonts w:cs="Calibri"/>
              </w:rPr>
              <w:t>ŘO</w:t>
            </w:r>
          </w:p>
        </w:tc>
      </w:tr>
      <w:tr w:rsidR="00CD6752" w:rsidRPr="00DD47DF" w14:paraId="0C00272D" w14:textId="77777777" w:rsidTr="001C2A07">
        <w:trPr>
          <w:trHeight w:val="1840"/>
        </w:trPr>
        <w:tc>
          <w:tcPr>
            <w:tcW w:w="0" w:type="auto"/>
            <w:vMerge/>
            <w:tcBorders>
              <w:left w:val="single" w:sz="4" w:space="0" w:color="auto"/>
              <w:right w:val="single" w:sz="4" w:space="0" w:color="auto"/>
            </w:tcBorders>
            <w:shd w:val="clear" w:color="auto" w:fill="auto"/>
          </w:tcPr>
          <w:p w14:paraId="4A7DD29C" w14:textId="77777777" w:rsidR="00CD6752" w:rsidRPr="00DD47DF" w:rsidRDefault="00CD6752" w:rsidP="006D2F5F">
            <w:pPr>
              <w:pStyle w:val="Tabulka"/>
              <w:widowControl w:val="0"/>
              <w:jc w:val="left"/>
              <w:rPr>
                <w:rFonts w:cs="Calibri"/>
                <w:b/>
              </w:rPr>
            </w:pPr>
          </w:p>
        </w:tc>
        <w:tc>
          <w:tcPr>
            <w:tcW w:w="0" w:type="auto"/>
            <w:vMerge w:val="restart"/>
            <w:tcBorders>
              <w:top w:val="single" w:sz="4" w:space="0" w:color="auto"/>
              <w:left w:val="single" w:sz="4" w:space="0" w:color="auto"/>
              <w:right w:val="single" w:sz="4" w:space="0" w:color="auto"/>
            </w:tcBorders>
            <w:shd w:val="clear" w:color="auto" w:fill="auto"/>
          </w:tcPr>
          <w:p w14:paraId="58059239" w14:textId="77777777" w:rsidR="00CD6752" w:rsidRPr="00DD47DF" w:rsidRDefault="00CD6752" w:rsidP="006D2F5F">
            <w:pPr>
              <w:pStyle w:val="Tabulka"/>
              <w:widowControl w:val="0"/>
              <w:jc w:val="left"/>
              <w:rPr>
                <w:rFonts w:cs="Calibri"/>
              </w:rPr>
            </w:pPr>
            <w:r w:rsidRPr="00DD47DF">
              <w:rPr>
                <w:rFonts w:cs="Calibri"/>
              </w:rPr>
              <w:t xml:space="preserve">Opatření k zajištění správní kapacity pro provádění a uplatňování právních předpisů Unie o státních podporách </w:t>
            </w:r>
          </w:p>
        </w:tc>
        <w:tc>
          <w:tcPr>
            <w:tcW w:w="0" w:type="auto"/>
            <w:tcBorders>
              <w:top w:val="single" w:sz="4" w:space="0" w:color="auto"/>
              <w:left w:val="single" w:sz="4" w:space="0" w:color="auto"/>
              <w:right w:val="single" w:sz="4" w:space="0" w:color="auto"/>
            </w:tcBorders>
            <w:shd w:val="clear" w:color="auto" w:fill="auto"/>
          </w:tcPr>
          <w:p w14:paraId="68C76F98" w14:textId="77777777" w:rsidR="00CD6752" w:rsidRPr="00DD47DF" w:rsidRDefault="00CD6752" w:rsidP="001C2A07">
            <w:pPr>
              <w:pStyle w:val="Tabulka"/>
              <w:widowControl w:val="0"/>
              <w:jc w:val="left"/>
              <w:rPr>
                <w:rFonts w:cs="Calibri"/>
                <w:sz w:val="24"/>
              </w:rPr>
            </w:pPr>
            <w:r w:rsidRPr="00DD47DF">
              <w:rPr>
                <w:rFonts w:cs="Arial"/>
              </w:rPr>
              <w:t xml:space="preserve">Zhodnocení naplňování správní kapacity pro oblast veřejné podpory </w:t>
            </w:r>
            <w:r w:rsidRPr="00260D88">
              <w:rPr>
                <w:rFonts w:cs="Arial"/>
              </w:rPr>
              <w:t xml:space="preserve">a </w:t>
            </w:r>
            <w:r w:rsidRPr="00DD47DF">
              <w:rPr>
                <w:rFonts w:cs="Arial"/>
              </w:rPr>
              <w:t>případné doplnění této kapacity</w:t>
            </w:r>
          </w:p>
        </w:tc>
        <w:tc>
          <w:tcPr>
            <w:tcW w:w="1984" w:type="dxa"/>
            <w:tcBorders>
              <w:top w:val="single" w:sz="4" w:space="0" w:color="auto"/>
              <w:left w:val="single" w:sz="4" w:space="0" w:color="auto"/>
              <w:right w:val="single" w:sz="4" w:space="0" w:color="auto"/>
            </w:tcBorders>
            <w:shd w:val="clear" w:color="auto" w:fill="auto"/>
          </w:tcPr>
          <w:p w14:paraId="461100B8" w14:textId="77777777" w:rsidR="00CD6752" w:rsidRPr="00DD47DF" w:rsidRDefault="00CD6752" w:rsidP="006D2F5F">
            <w:pPr>
              <w:pStyle w:val="Tabulka"/>
              <w:widowControl w:val="0"/>
              <w:jc w:val="left"/>
            </w:pPr>
            <w:r w:rsidRPr="00DD47DF">
              <w:rPr>
                <w:rFonts w:cs="Calibri"/>
              </w:rPr>
              <w:t>30.6.2016</w:t>
            </w:r>
          </w:p>
        </w:tc>
        <w:tc>
          <w:tcPr>
            <w:tcW w:w="2617" w:type="dxa"/>
            <w:tcBorders>
              <w:top w:val="single" w:sz="4" w:space="0" w:color="auto"/>
              <w:left w:val="single" w:sz="4" w:space="0" w:color="auto"/>
              <w:right w:val="single" w:sz="4" w:space="0" w:color="auto"/>
            </w:tcBorders>
            <w:shd w:val="clear" w:color="auto" w:fill="auto"/>
          </w:tcPr>
          <w:p w14:paraId="15557F45" w14:textId="77777777" w:rsidR="00CD6752" w:rsidRPr="00DD47DF" w:rsidRDefault="00CD6752" w:rsidP="002D4CC1">
            <w:pPr>
              <w:pStyle w:val="Tabulka"/>
              <w:widowControl w:val="0"/>
              <w:jc w:val="left"/>
            </w:pPr>
            <w:r w:rsidRPr="00DD47DF">
              <w:t>MMR</w:t>
            </w:r>
            <w:r w:rsidR="002D4CC1">
              <w:t>, ŘO</w:t>
            </w:r>
          </w:p>
        </w:tc>
      </w:tr>
      <w:tr w:rsidR="00CD6752" w:rsidRPr="00DD47DF" w14:paraId="7A720794" w14:textId="77777777" w:rsidTr="00CE43D2">
        <w:trPr>
          <w:trHeight w:val="675"/>
        </w:trPr>
        <w:tc>
          <w:tcPr>
            <w:tcW w:w="0" w:type="auto"/>
            <w:vMerge/>
            <w:tcBorders>
              <w:left w:val="single" w:sz="4" w:space="0" w:color="auto"/>
              <w:bottom w:val="single" w:sz="4" w:space="0" w:color="auto"/>
              <w:right w:val="single" w:sz="4" w:space="0" w:color="auto"/>
            </w:tcBorders>
            <w:shd w:val="clear" w:color="auto" w:fill="auto"/>
          </w:tcPr>
          <w:p w14:paraId="7CEBAA28" w14:textId="77777777" w:rsidR="00CD6752" w:rsidRPr="00DD47DF" w:rsidRDefault="00CD6752" w:rsidP="006D2F5F">
            <w:pPr>
              <w:pStyle w:val="Tabulka"/>
              <w:widowControl w:val="0"/>
              <w:jc w:val="left"/>
              <w:rPr>
                <w:rFonts w:cs="Calibri"/>
                <w:b/>
              </w:rPr>
            </w:pPr>
          </w:p>
        </w:tc>
        <w:tc>
          <w:tcPr>
            <w:tcW w:w="0" w:type="auto"/>
            <w:vMerge/>
            <w:tcBorders>
              <w:left w:val="single" w:sz="4" w:space="0" w:color="auto"/>
              <w:bottom w:val="single" w:sz="4" w:space="0" w:color="auto"/>
              <w:right w:val="single" w:sz="4" w:space="0" w:color="auto"/>
            </w:tcBorders>
            <w:shd w:val="clear" w:color="auto" w:fill="auto"/>
          </w:tcPr>
          <w:p w14:paraId="77EBC54D" w14:textId="77777777" w:rsidR="00CD6752" w:rsidRPr="00DD47DF" w:rsidRDefault="00CD6752" w:rsidP="006D2F5F">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FD1615" w14:textId="77777777" w:rsidR="00CD6752" w:rsidRPr="00DD47DF" w:rsidRDefault="00CD6752" w:rsidP="00A147B1">
            <w:pPr>
              <w:pStyle w:val="Tabulka"/>
              <w:widowControl w:val="0"/>
              <w:jc w:val="left"/>
              <w:rPr>
                <w:rFonts w:cs="Calibri"/>
                <w:sz w:val="24"/>
              </w:rPr>
            </w:pPr>
            <w:r w:rsidRPr="00DD47DF">
              <w:rPr>
                <w:rFonts w:cs="Calibri"/>
              </w:rPr>
              <w:t>Průběžně vyhodnocovat správní kapacitu a její případné posílení dle potřeby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A44E7E3" w14:textId="77777777" w:rsidR="00CD6752" w:rsidRPr="00DD47DF" w:rsidRDefault="00CD6752" w:rsidP="00A147B1">
            <w:pPr>
              <w:pStyle w:val="Tabulka"/>
              <w:widowControl w:val="0"/>
              <w:jc w:val="left"/>
            </w:pPr>
            <w:r w:rsidRPr="00DD47DF">
              <w:rPr>
                <w:rFonts w:cs="Calibri"/>
              </w:rPr>
              <w:t>31.12.2016</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5080DB83" w14:textId="77777777" w:rsidR="00CD6752" w:rsidRPr="00DD47DF" w:rsidRDefault="00CD6752" w:rsidP="00A147B1">
            <w:pPr>
              <w:pStyle w:val="Tabulka"/>
              <w:widowControl w:val="0"/>
              <w:jc w:val="left"/>
            </w:pPr>
            <w:r w:rsidRPr="00DD47DF">
              <w:rPr>
                <w:rFonts w:cs="Calibri"/>
              </w:rPr>
              <w:t>ŘO</w:t>
            </w:r>
          </w:p>
        </w:tc>
      </w:tr>
      <w:tr w:rsidR="00CD6752" w:rsidRPr="00DD47DF" w14:paraId="1E986253" w14:textId="77777777" w:rsidTr="008A20D2">
        <w:trPr>
          <w:trHeight w:val="424"/>
        </w:trPr>
        <w:tc>
          <w:tcPr>
            <w:tcW w:w="0" w:type="auto"/>
            <w:vMerge w:val="restart"/>
            <w:tcBorders>
              <w:top w:val="single" w:sz="4" w:space="0" w:color="auto"/>
            </w:tcBorders>
            <w:shd w:val="clear" w:color="auto" w:fill="auto"/>
          </w:tcPr>
          <w:p w14:paraId="0399B48D" w14:textId="77777777" w:rsidR="00CD6752" w:rsidRPr="00DD47DF" w:rsidRDefault="00CD6752" w:rsidP="006D2F5F">
            <w:pPr>
              <w:pStyle w:val="Tabulka"/>
              <w:widowControl w:val="0"/>
              <w:jc w:val="left"/>
              <w:rPr>
                <w:rFonts w:cs="Calibri"/>
                <w:b/>
              </w:rPr>
            </w:pPr>
            <w:r w:rsidRPr="00DD47DF">
              <w:rPr>
                <w:rFonts w:cs="Calibri"/>
                <w:b/>
              </w:rPr>
              <w:t>Existence statistického základu nezbytného k provádění hodnocení za účelem posouzení účinnosti a dopadu programů.</w:t>
            </w:r>
          </w:p>
          <w:p w14:paraId="3AB03B65" w14:textId="77777777" w:rsidR="00CD6752" w:rsidRPr="00DD47DF" w:rsidRDefault="00CD6752" w:rsidP="006D2F5F">
            <w:pPr>
              <w:pStyle w:val="Tabulka"/>
              <w:widowControl w:val="0"/>
              <w:jc w:val="left"/>
              <w:rPr>
                <w:rFonts w:cs="Calibri"/>
                <w:b/>
              </w:rPr>
            </w:pPr>
            <w:r w:rsidRPr="00DD47DF">
              <w:rPr>
                <w:b/>
              </w:rPr>
              <w:t>Existence systému ukazatelů výsledků nezbytného k výběru opatření, jež budou nejúčinněji přispívat k dosahování požadovaných výsledků, k monitorování pokroku při dosahování výsledků a k provedení posouzení dopadů</w:t>
            </w:r>
          </w:p>
        </w:tc>
        <w:tc>
          <w:tcPr>
            <w:tcW w:w="0" w:type="auto"/>
            <w:vMerge w:val="restart"/>
            <w:tcBorders>
              <w:top w:val="single" w:sz="4" w:space="0" w:color="auto"/>
            </w:tcBorders>
            <w:shd w:val="clear" w:color="auto" w:fill="auto"/>
          </w:tcPr>
          <w:p w14:paraId="15E3780C" w14:textId="77777777" w:rsidR="00CD6752" w:rsidRPr="00DD47DF" w:rsidRDefault="00CD6752" w:rsidP="006D2F5F">
            <w:pPr>
              <w:pStyle w:val="DAVA"/>
              <w:spacing w:before="80" w:after="80"/>
              <w:rPr>
                <w:rFonts w:ascii="Times New Roman" w:hAnsi="Times New Roman"/>
                <w:sz w:val="22"/>
                <w:szCs w:val="22"/>
                <w:lang w:eastAsia="cs-CZ"/>
              </w:rPr>
            </w:pPr>
            <w:r w:rsidRPr="00DD47DF">
              <w:rPr>
                <w:rFonts w:ascii="Times New Roman" w:hAnsi="Times New Roman"/>
                <w:color w:val="000000"/>
                <w:sz w:val="22"/>
                <w:szCs w:val="22"/>
              </w:rPr>
              <w:t>Jsou vypracována opatření pro včasný sběr a agregaci statistických údajů, která obsahují tyto prvky:</w:t>
            </w:r>
          </w:p>
          <w:p w14:paraId="52811C7B" w14:textId="77777777" w:rsidR="00CD6752" w:rsidRPr="00DD47DF" w:rsidRDefault="00CD6752" w:rsidP="00F91E8F">
            <w:pPr>
              <w:pStyle w:val="Tabulka"/>
              <w:widowControl w:val="0"/>
              <w:numPr>
                <w:ilvl w:val="0"/>
                <w:numId w:val="92"/>
              </w:numPr>
              <w:jc w:val="left"/>
              <w:rPr>
                <w:rFonts w:cs="Calibri"/>
              </w:rPr>
            </w:pPr>
            <w:r w:rsidRPr="00DD47DF">
              <w:t>určení zdrojů a mechanismů pro zajištění statistického ověřování</w:t>
            </w:r>
          </w:p>
        </w:tc>
        <w:tc>
          <w:tcPr>
            <w:tcW w:w="0" w:type="auto"/>
            <w:tcBorders>
              <w:top w:val="single" w:sz="4" w:space="0" w:color="auto"/>
            </w:tcBorders>
            <w:shd w:val="clear" w:color="auto" w:fill="auto"/>
          </w:tcPr>
          <w:p w14:paraId="3E2E7665" w14:textId="77777777" w:rsidR="00CD6752" w:rsidRPr="00DD47DF" w:rsidRDefault="00CD6752" w:rsidP="006D2F5F">
            <w:pPr>
              <w:pStyle w:val="DAVA"/>
              <w:spacing w:before="0"/>
              <w:rPr>
                <w:rFonts w:ascii="Times New Roman" w:hAnsi="Times New Roman"/>
                <w:sz w:val="22"/>
                <w:szCs w:val="22"/>
                <w:lang w:eastAsia="cs-CZ"/>
              </w:rPr>
            </w:pPr>
            <w:r w:rsidRPr="00DD47DF">
              <w:rPr>
                <w:rFonts w:ascii="Times New Roman" w:hAnsi="Times New Roman"/>
                <w:sz w:val="22"/>
                <w:szCs w:val="22"/>
                <w:lang w:eastAsia="cs-CZ"/>
              </w:rPr>
              <w:t>Dopracování Národního číselníku indikátorů pro programové období 2014-2020, který zajistí jednotnou metodickou konstrukci všech indikátorů používaných napříč programy ESI fondů.</w:t>
            </w:r>
          </w:p>
          <w:p w14:paraId="1780E71F" w14:textId="77777777" w:rsidR="00CD6752" w:rsidRPr="00DD47DF" w:rsidRDefault="00CD6752" w:rsidP="006D2F5F">
            <w:pPr>
              <w:pStyle w:val="DAVA"/>
              <w:spacing w:before="0"/>
              <w:rPr>
                <w:rFonts w:ascii="Times New Roman" w:hAnsi="Times New Roman"/>
                <w:sz w:val="22"/>
                <w:szCs w:val="22"/>
                <w:lang w:eastAsia="cs-CZ"/>
              </w:rPr>
            </w:pPr>
            <w:r w:rsidRPr="00DD47DF">
              <w:rPr>
                <w:rFonts w:ascii="Times New Roman" w:hAnsi="Times New Roman"/>
                <w:sz w:val="22"/>
                <w:szCs w:val="22"/>
                <w:lang w:eastAsia="cs-CZ"/>
              </w:rPr>
              <w:t>Nastavení spolupráce s ČSÚ pro pravidelné dodávání potřebných statistických dat.</w:t>
            </w:r>
          </w:p>
        </w:tc>
        <w:tc>
          <w:tcPr>
            <w:tcW w:w="1984" w:type="dxa"/>
            <w:tcBorders>
              <w:top w:val="single" w:sz="4" w:space="0" w:color="auto"/>
            </w:tcBorders>
            <w:shd w:val="clear" w:color="auto" w:fill="auto"/>
          </w:tcPr>
          <w:p w14:paraId="472F4F5A" w14:textId="77777777" w:rsidR="00CD6752" w:rsidRPr="00DD47DF" w:rsidRDefault="00CD6752" w:rsidP="008A5AA0">
            <w:pPr>
              <w:pStyle w:val="Tabulka"/>
              <w:widowControl w:val="0"/>
              <w:jc w:val="left"/>
              <w:rPr>
                <w:rFonts w:cs="Calibri"/>
              </w:rPr>
            </w:pPr>
            <w:r w:rsidRPr="00DD47DF">
              <w:t>31.12.2015</w:t>
            </w:r>
          </w:p>
        </w:tc>
        <w:tc>
          <w:tcPr>
            <w:tcW w:w="2617" w:type="dxa"/>
            <w:tcBorders>
              <w:top w:val="single" w:sz="4" w:space="0" w:color="auto"/>
            </w:tcBorders>
            <w:shd w:val="clear" w:color="auto" w:fill="auto"/>
          </w:tcPr>
          <w:p w14:paraId="7D040748" w14:textId="77777777" w:rsidR="00CD6752" w:rsidRPr="00DD47DF" w:rsidRDefault="00CD6752" w:rsidP="006D2F5F">
            <w:pPr>
              <w:pStyle w:val="Tabulka"/>
              <w:widowControl w:val="0"/>
              <w:jc w:val="left"/>
              <w:rPr>
                <w:rFonts w:cs="Calibri"/>
              </w:rPr>
            </w:pPr>
            <w:r w:rsidRPr="00DD47DF">
              <w:t>MMR, ŘO, ČSÚ</w:t>
            </w:r>
          </w:p>
        </w:tc>
      </w:tr>
      <w:tr w:rsidR="00CD6752" w:rsidRPr="00DD47DF" w14:paraId="43DFF8F3" w14:textId="77777777" w:rsidTr="008A20D2">
        <w:trPr>
          <w:trHeight w:val="424"/>
        </w:trPr>
        <w:tc>
          <w:tcPr>
            <w:tcW w:w="0" w:type="auto"/>
            <w:vMerge/>
            <w:shd w:val="clear" w:color="auto" w:fill="auto"/>
            <w:vAlign w:val="center"/>
          </w:tcPr>
          <w:p w14:paraId="5700C5B8" w14:textId="77777777" w:rsidR="00CD6752" w:rsidRPr="00DD47DF" w:rsidRDefault="00CD6752" w:rsidP="006D2F5F">
            <w:pPr>
              <w:pStyle w:val="Tabulka"/>
              <w:rPr>
                <w:rFonts w:cs="Calibri"/>
                <w:b/>
                <w:szCs w:val="24"/>
              </w:rPr>
            </w:pPr>
          </w:p>
        </w:tc>
        <w:tc>
          <w:tcPr>
            <w:tcW w:w="0" w:type="auto"/>
            <w:vMerge/>
            <w:shd w:val="clear" w:color="auto" w:fill="auto"/>
            <w:vAlign w:val="center"/>
          </w:tcPr>
          <w:p w14:paraId="53AE0D31" w14:textId="77777777" w:rsidR="00CD6752" w:rsidRPr="00DD47DF" w:rsidRDefault="00CD6752" w:rsidP="006D2F5F">
            <w:pPr>
              <w:pStyle w:val="Tabulka"/>
              <w:jc w:val="left"/>
              <w:rPr>
                <w:rFonts w:cs="Calibri"/>
                <w:szCs w:val="24"/>
              </w:rPr>
            </w:pPr>
          </w:p>
        </w:tc>
        <w:tc>
          <w:tcPr>
            <w:tcW w:w="0" w:type="auto"/>
            <w:shd w:val="clear" w:color="auto" w:fill="auto"/>
          </w:tcPr>
          <w:p w14:paraId="573CF979" w14:textId="77777777" w:rsidR="00CD6752" w:rsidRPr="00DD47DF" w:rsidRDefault="00CD6752" w:rsidP="00CE43D2">
            <w:pPr>
              <w:pStyle w:val="DAVA"/>
              <w:spacing w:before="0"/>
              <w:rPr>
                <w:szCs w:val="22"/>
              </w:rPr>
            </w:pPr>
            <w:r w:rsidRPr="00DD47DF">
              <w:rPr>
                <w:rFonts w:ascii="Times New Roman" w:hAnsi="Times New Roman"/>
                <w:sz w:val="22"/>
                <w:szCs w:val="22"/>
                <w:lang w:eastAsia="cs-CZ"/>
              </w:rPr>
              <w:t>Ve spolupráci s dotčenými resorty a Úřadem na ochranu osobních údajů (ÚOOÚ) připravit a následně ÚOOU schválit a vydat výkladové stanovisko ke zpracování osobních údajů účastníků při poskytování finanční podpory z evropského sociálního fondu.</w:t>
            </w:r>
          </w:p>
        </w:tc>
        <w:tc>
          <w:tcPr>
            <w:tcW w:w="1984" w:type="dxa"/>
            <w:shd w:val="clear" w:color="auto" w:fill="auto"/>
          </w:tcPr>
          <w:p w14:paraId="593B8DA4" w14:textId="77777777" w:rsidR="00CD6752" w:rsidRPr="00DD47DF" w:rsidRDefault="00CD6752" w:rsidP="001B5F7D">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31.12.2015</w:t>
            </w:r>
          </w:p>
        </w:tc>
        <w:tc>
          <w:tcPr>
            <w:tcW w:w="2617" w:type="dxa"/>
            <w:shd w:val="clear" w:color="auto" w:fill="auto"/>
          </w:tcPr>
          <w:p w14:paraId="5CB5C1FD" w14:textId="77777777" w:rsidR="00CD6752" w:rsidRPr="00DD47DF" w:rsidRDefault="00CD6752" w:rsidP="006D2F5F">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MMR, Úřad vlády (Úřad pro ochranu osobních údajů) + ŘO ESF programů, které mají povinnost monitorovat účastníky projektů v rámci povinných společných indikátorů (MPSV, HMP, MŠMT)</w:t>
            </w:r>
          </w:p>
        </w:tc>
      </w:tr>
      <w:tr w:rsidR="00CD6752" w:rsidRPr="00DD47DF" w14:paraId="4149E930" w14:textId="77777777" w:rsidTr="008A20D2">
        <w:trPr>
          <w:trHeight w:val="424"/>
        </w:trPr>
        <w:tc>
          <w:tcPr>
            <w:tcW w:w="0" w:type="auto"/>
            <w:vMerge/>
            <w:shd w:val="clear" w:color="auto" w:fill="auto"/>
            <w:vAlign w:val="center"/>
          </w:tcPr>
          <w:p w14:paraId="025E6DA7" w14:textId="77777777" w:rsidR="00CD6752" w:rsidRPr="00DD47DF" w:rsidRDefault="00CD6752" w:rsidP="006D2F5F">
            <w:pPr>
              <w:pStyle w:val="Tabulka"/>
              <w:rPr>
                <w:rFonts w:cs="Calibri"/>
                <w:b/>
                <w:szCs w:val="24"/>
              </w:rPr>
            </w:pPr>
          </w:p>
        </w:tc>
        <w:tc>
          <w:tcPr>
            <w:tcW w:w="0" w:type="auto"/>
            <w:shd w:val="clear" w:color="auto" w:fill="auto"/>
          </w:tcPr>
          <w:p w14:paraId="7BA15E4E" w14:textId="77777777" w:rsidR="00CD6752" w:rsidRPr="00DD47DF" w:rsidRDefault="00CD6752" w:rsidP="006D2F5F">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Účinný systém ukazatelů výsledků, včetně:</w:t>
            </w:r>
          </w:p>
          <w:p w14:paraId="78ABD0D8" w14:textId="77777777" w:rsidR="00CD6752" w:rsidRPr="00DD47DF" w:rsidRDefault="00CD6752" w:rsidP="00F91E8F">
            <w:pPr>
              <w:pStyle w:val="Odstavecseseznamem"/>
              <w:numPr>
                <w:ilvl w:val="0"/>
                <w:numId w:val="92"/>
              </w:numPr>
              <w:overflowPunct/>
              <w:autoSpaceDE/>
              <w:autoSpaceDN/>
              <w:adjustRightInd/>
              <w:spacing w:before="80" w:after="80"/>
              <w:ind w:left="355"/>
              <w:textAlignment w:val="auto"/>
              <w:rPr>
                <w:sz w:val="22"/>
                <w:szCs w:val="22"/>
              </w:rPr>
            </w:pPr>
            <w:r w:rsidRPr="00DD47DF">
              <w:rPr>
                <w:color w:val="000000"/>
                <w:sz w:val="22"/>
                <w:szCs w:val="22"/>
              </w:rPr>
              <w:t>výběru ukazatelů výsledků pro každý program, jež budou vypovídat o motivaci k výběru strategických kroků financovaných z programu,</w:t>
            </w:r>
          </w:p>
        </w:tc>
        <w:tc>
          <w:tcPr>
            <w:tcW w:w="0" w:type="auto"/>
            <w:shd w:val="clear" w:color="auto" w:fill="auto"/>
          </w:tcPr>
          <w:p w14:paraId="7277DEA2" w14:textId="77777777" w:rsidR="00CD6752" w:rsidRPr="00DD47DF" w:rsidRDefault="00CD6752" w:rsidP="006D2F5F">
            <w:pPr>
              <w:pStyle w:val="DAVA"/>
              <w:spacing w:before="0"/>
              <w:rPr>
                <w:rFonts w:ascii="Times New Roman" w:hAnsi="Times New Roman"/>
                <w:sz w:val="22"/>
                <w:szCs w:val="22"/>
                <w:lang w:eastAsia="cs-CZ"/>
              </w:rPr>
            </w:pPr>
            <w:r w:rsidRPr="00DD47DF">
              <w:rPr>
                <w:rFonts w:ascii="Times New Roman" w:hAnsi="Times New Roman"/>
                <w:sz w:val="22"/>
                <w:szCs w:val="22"/>
                <w:lang w:eastAsia="cs-CZ"/>
              </w:rPr>
              <w:t>Dopracování Národního číselníku indikátorů pro programové období 2014-2020.</w:t>
            </w:r>
          </w:p>
          <w:p w14:paraId="7BA4E9E7" w14:textId="77777777" w:rsidR="00CD6752" w:rsidRPr="00DD47DF" w:rsidRDefault="00CD6752" w:rsidP="006D2F5F">
            <w:pPr>
              <w:pStyle w:val="DAVA"/>
              <w:spacing w:before="0"/>
              <w:rPr>
                <w:rFonts w:ascii="Times New Roman" w:hAnsi="Times New Roman"/>
                <w:sz w:val="22"/>
                <w:szCs w:val="22"/>
                <w:lang w:eastAsia="cs-CZ"/>
              </w:rPr>
            </w:pPr>
            <w:r w:rsidRPr="00DD47DF">
              <w:rPr>
                <w:rFonts w:ascii="Times New Roman" w:hAnsi="Times New Roman"/>
                <w:sz w:val="22"/>
                <w:szCs w:val="22"/>
                <w:lang w:eastAsia="cs-CZ"/>
              </w:rPr>
              <w:t>Dopracování a schválení strategie programů a potřebné navazující programové dokumentace</w:t>
            </w:r>
          </w:p>
          <w:p w14:paraId="00AE4945" w14:textId="77777777" w:rsidR="00CD6752" w:rsidRPr="00DD47DF" w:rsidRDefault="00CD6752" w:rsidP="006D2F5F">
            <w:pPr>
              <w:pStyle w:val="DAVA"/>
              <w:spacing w:before="0"/>
              <w:rPr>
                <w:rFonts w:ascii="Times New Roman" w:hAnsi="Times New Roman"/>
                <w:sz w:val="22"/>
                <w:szCs w:val="22"/>
                <w:lang w:eastAsia="cs-CZ"/>
              </w:rPr>
            </w:pPr>
            <w:r w:rsidRPr="00DD47DF">
              <w:rPr>
                <w:rFonts w:ascii="Times New Roman" w:hAnsi="Times New Roman"/>
                <w:sz w:val="22"/>
                <w:szCs w:val="22"/>
                <w:lang w:eastAsia="cs-CZ"/>
              </w:rPr>
              <w:t>Příprava a schválení evaluačních plánů programů a Dohody o partnerství, které budou definovat indikativní harmonogram plánovaných evaluačních aktivit programů.</w:t>
            </w:r>
          </w:p>
        </w:tc>
        <w:tc>
          <w:tcPr>
            <w:tcW w:w="1984" w:type="dxa"/>
            <w:shd w:val="clear" w:color="auto" w:fill="auto"/>
          </w:tcPr>
          <w:p w14:paraId="393D8368" w14:textId="77777777" w:rsidR="00CD6752" w:rsidRPr="00DD47DF" w:rsidRDefault="00CD6752" w:rsidP="001B5F7D">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30.6.2016</w:t>
            </w:r>
          </w:p>
        </w:tc>
        <w:tc>
          <w:tcPr>
            <w:tcW w:w="2617" w:type="dxa"/>
            <w:shd w:val="clear" w:color="auto" w:fill="auto"/>
          </w:tcPr>
          <w:p w14:paraId="07E6EE20" w14:textId="77777777" w:rsidR="00CD6752" w:rsidRPr="00DD47DF" w:rsidRDefault="00CD6752" w:rsidP="006D2F5F">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MMR, ŘO</w:t>
            </w:r>
            <w:r w:rsidRPr="00DD47DF" w:rsidDel="00432201">
              <w:rPr>
                <w:rFonts w:ascii="Times New Roman" w:hAnsi="Times New Roman"/>
                <w:sz w:val="22"/>
                <w:szCs w:val="22"/>
                <w:lang w:eastAsia="cs-CZ"/>
              </w:rPr>
              <w:t xml:space="preserve"> </w:t>
            </w:r>
          </w:p>
        </w:tc>
      </w:tr>
      <w:tr w:rsidR="00CD6752" w:rsidRPr="00DD47DF" w14:paraId="1FE7E7C4" w14:textId="77777777" w:rsidTr="008A20D2">
        <w:trPr>
          <w:trHeight w:val="364"/>
        </w:trPr>
        <w:tc>
          <w:tcPr>
            <w:tcW w:w="0" w:type="auto"/>
            <w:vMerge/>
            <w:shd w:val="clear" w:color="auto" w:fill="auto"/>
            <w:vAlign w:val="center"/>
          </w:tcPr>
          <w:p w14:paraId="4B83ACAE" w14:textId="77777777" w:rsidR="00CD6752" w:rsidRPr="00DD47DF" w:rsidRDefault="00CD6752" w:rsidP="006D2F5F">
            <w:pPr>
              <w:pStyle w:val="Tabulka"/>
              <w:rPr>
                <w:rFonts w:cs="Calibri"/>
                <w:b/>
                <w:szCs w:val="24"/>
              </w:rPr>
            </w:pPr>
          </w:p>
        </w:tc>
        <w:tc>
          <w:tcPr>
            <w:tcW w:w="0" w:type="auto"/>
            <w:shd w:val="clear" w:color="auto" w:fill="auto"/>
            <w:vAlign w:val="center"/>
          </w:tcPr>
          <w:p w14:paraId="15846BAD" w14:textId="77777777" w:rsidR="00CD6752" w:rsidRPr="00DD47DF" w:rsidRDefault="00CD6752" w:rsidP="006D2F5F">
            <w:pPr>
              <w:pStyle w:val="Odstavecseseznamem"/>
              <w:spacing w:before="80" w:after="80"/>
              <w:ind w:left="0"/>
              <w:contextualSpacing w:val="0"/>
              <w:rPr>
                <w:bCs/>
                <w:sz w:val="22"/>
                <w:szCs w:val="22"/>
              </w:rPr>
            </w:pPr>
            <w:r w:rsidRPr="00DD47DF">
              <w:rPr>
                <w:bCs/>
                <w:sz w:val="22"/>
                <w:szCs w:val="22"/>
              </w:rPr>
              <w:t>Účinný systém ukazatelů výsledků, včetně:</w:t>
            </w:r>
          </w:p>
          <w:p w14:paraId="142384DF" w14:textId="77777777" w:rsidR="00CD6752" w:rsidRPr="00DD47DF" w:rsidRDefault="00CD6752" w:rsidP="006D2F5F">
            <w:pPr>
              <w:pStyle w:val="Tabulka"/>
              <w:jc w:val="left"/>
              <w:rPr>
                <w:rFonts w:cs="Calibri"/>
              </w:rPr>
            </w:pPr>
            <w:r w:rsidRPr="00DD47DF">
              <w:rPr>
                <w:bCs/>
              </w:rPr>
              <w:t xml:space="preserve">vytyčení cílů pro tyto </w:t>
            </w:r>
            <w:r w:rsidRPr="00DD47DF">
              <w:rPr>
                <w:bCs/>
              </w:rPr>
              <w:lastRenderedPageBreak/>
              <w:t>ukazatele</w:t>
            </w:r>
          </w:p>
        </w:tc>
        <w:tc>
          <w:tcPr>
            <w:tcW w:w="0" w:type="auto"/>
            <w:shd w:val="clear" w:color="auto" w:fill="auto"/>
          </w:tcPr>
          <w:p w14:paraId="31AD1B41" w14:textId="77777777" w:rsidR="00CD6752" w:rsidRPr="00DD47DF" w:rsidRDefault="00CD6752" w:rsidP="006D2F5F">
            <w:pPr>
              <w:pStyle w:val="DAVA"/>
              <w:spacing w:before="0"/>
              <w:rPr>
                <w:rFonts w:ascii="Times New Roman" w:hAnsi="Times New Roman"/>
                <w:sz w:val="22"/>
                <w:szCs w:val="22"/>
                <w:lang w:eastAsia="cs-CZ"/>
              </w:rPr>
            </w:pPr>
            <w:r w:rsidRPr="00DD47DF">
              <w:rPr>
                <w:rFonts w:ascii="Times New Roman" w:hAnsi="Times New Roman"/>
                <w:sz w:val="22"/>
                <w:szCs w:val="22"/>
                <w:lang w:eastAsia="cs-CZ"/>
              </w:rPr>
              <w:lastRenderedPageBreak/>
              <w:t>Schválení programů</w:t>
            </w:r>
          </w:p>
        </w:tc>
        <w:tc>
          <w:tcPr>
            <w:tcW w:w="1984" w:type="dxa"/>
            <w:shd w:val="clear" w:color="auto" w:fill="auto"/>
          </w:tcPr>
          <w:p w14:paraId="58FB67F3" w14:textId="77777777" w:rsidR="00CD6752" w:rsidRPr="00DD47DF" w:rsidRDefault="00CD6752" w:rsidP="008A5AA0">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31.10.2015</w:t>
            </w:r>
          </w:p>
        </w:tc>
        <w:tc>
          <w:tcPr>
            <w:tcW w:w="2617" w:type="dxa"/>
            <w:shd w:val="clear" w:color="auto" w:fill="auto"/>
          </w:tcPr>
          <w:p w14:paraId="3FCFBF3A" w14:textId="77777777" w:rsidR="00CD6752" w:rsidRPr="00DD47DF" w:rsidRDefault="00CD6752" w:rsidP="006D2F5F">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MMR, ŘO, Úřad vlády, EK</w:t>
            </w:r>
          </w:p>
        </w:tc>
      </w:tr>
      <w:tr w:rsidR="00CD6752" w:rsidRPr="00DD47DF" w14:paraId="03FB5877" w14:textId="77777777" w:rsidTr="008A20D2">
        <w:trPr>
          <w:trHeight w:val="424"/>
        </w:trPr>
        <w:tc>
          <w:tcPr>
            <w:tcW w:w="0" w:type="auto"/>
            <w:vMerge/>
            <w:shd w:val="clear" w:color="auto" w:fill="auto"/>
          </w:tcPr>
          <w:p w14:paraId="1EB31FEC" w14:textId="77777777" w:rsidR="00CD6752" w:rsidRPr="00DD47DF" w:rsidRDefault="00CD6752" w:rsidP="006D2F5F">
            <w:pPr>
              <w:spacing w:before="80" w:after="80"/>
              <w:rPr>
                <w:rFonts w:cs="Calibri"/>
                <w:b/>
              </w:rPr>
            </w:pPr>
          </w:p>
        </w:tc>
        <w:tc>
          <w:tcPr>
            <w:tcW w:w="0" w:type="auto"/>
            <w:shd w:val="clear" w:color="auto" w:fill="auto"/>
          </w:tcPr>
          <w:p w14:paraId="58DC72C8" w14:textId="77777777" w:rsidR="00CD6752" w:rsidRPr="00DD47DF" w:rsidRDefault="00CD6752" w:rsidP="006D2F5F">
            <w:pPr>
              <w:pStyle w:val="Odstavecseseznamem"/>
              <w:spacing w:before="80" w:after="80"/>
              <w:ind w:left="0"/>
              <w:contextualSpacing w:val="0"/>
              <w:rPr>
                <w:color w:val="000000"/>
                <w:sz w:val="22"/>
                <w:szCs w:val="22"/>
              </w:rPr>
            </w:pPr>
            <w:r w:rsidRPr="00DD47DF">
              <w:rPr>
                <w:color w:val="000000"/>
                <w:sz w:val="22"/>
                <w:szCs w:val="22"/>
              </w:rPr>
              <w:t>Účinný systém ukazatelů výsledků, včetně:</w:t>
            </w:r>
          </w:p>
          <w:p w14:paraId="1C2C3887" w14:textId="77777777" w:rsidR="00CD6752" w:rsidRPr="00DD47DF" w:rsidRDefault="00CD6752" w:rsidP="00F91E8F">
            <w:pPr>
              <w:pStyle w:val="Tabulka"/>
              <w:numPr>
                <w:ilvl w:val="0"/>
                <w:numId w:val="92"/>
              </w:numPr>
              <w:jc w:val="left"/>
              <w:rPr>
                <w:rFonts w:cs="Calibri"/>
              </w:rPr>
            </w:pPr>
            <w:r w:rsidRPr="00DD47DF">
              <w:rPr>
                <w:color w:val="000000"/>
              </w:rPr>
              <w:t>musí být zajištěn soulad každého ukazatele s těmito podmínkami: robustností a statistickou validací, jasným normativním výkladem, souladem se strategiemi, včasným sběrem údajů,</w:t>
            </w:r>
          </w:p>
        </w:tc>
        <w:tc>
          <w:tcPr>
            <w:tcW w:w="0" w:type="auto"/>
            <w:shd w:val="clear" w:color="auto" w:fill="auto"/>
          </w:tcPr>
          <w:p w14:paraId="67814CA9" w14:textId="77777777" w:rsidR="00CD6752" w:rsidRPr="00DD47DF" w:rsidRDefault="00CD6752" w:rsidP="006D2F5F">
            <w:pPr>
              <w:pStyle w:val="DAVA"/>
              <w:spacing w:before="0"/>
              <w:rPr>
                <w:rFonts w:ascii="Times New Roman" w:hAnsi="Times New Roman"/>
                <w:sz w:val="22"/>
                <w:szCs w:val="22"/>
                <w:lang w:eastAsia="cs-CZ"/>
              </w:rPr>
            </w:pPr>
            <w:r w:rsidRPr="00DD47DF">
              <w:rPr>
                <w:rFonts w:ascii="Times New Roman" w:hAnsi="Times New Roman"/>
                <w:sz w:val="22"/>
                <w:szCs w:val="22"/>
                <w:lang w:eastAsia="cs-CZ"/>
              </w:rPr>
              <w:t>Nastavení spolupráce s ČSÚ pro pravidelné dodávání potřebných statistických dat.</w:t>
            </w:r>
          </w:p>
          <w:p w14:paraId="6666E362" w14:textId="77777777" w:rsidR="00CD6752" w:rsidRPr="00DD47DF" w:rsidRDefault="00CD6752" w:rsidP="006D2F5F">
            <w:pPr>
              <w:pStyle w:val="DAVA"/>
              <w:spacing w:before="0"/>
              <w:rPr>
                <w:rFonts w:ascii="Times New Roman" w:hAnsi="Times New Roman"/>
                <w:sz w:val="22"/>
                <w:szCs w:val="22"/>
                <w:lang w:eastAsia="cs-CZ"/>
              </w:rPr>
            </w:pPr>
            <w:r w:rsidRPr="00DD47DF">
              <w:rPr>
                <w:rFonts w:ascii="Times New Roman" w:hAnsi="Times New Roman"/>
                <w:sz w:val="22"/>
                <w:szCs w:val="22"/>
                <w:lang w:eastAsia="cs-CZ"/>
              </w:rPr>
              <w:t>Dopracování monitorovacího systému zajišťující sběr a agregaci dat z operací (MS2014+).</w:t>
            </w:r>
          </w:p>
          <w:p w14:paraId="142E0756" w14:textId="77777777" w:rsidR="00CD6752" w:rsidRPr="00DD47DF" w:rsidRDefault="00CD6752" w:rsidP="006D2F5F">
            <w:pPr>
              <w:pStyle w:val="DAVA"/>
              <w:spacing w:before="0"/>
              <w:rPr>
                <w:rFonts w:ascii="Times New Roman" w:hAnsi="Times New Roman"/>
                <w:sz w:val="22"/>
                <w:szCs w:val="22"/>
                <w:lang w:eastAsia="cs-CZ"/>
              </w:rPr>
            </w:pPr>
            <w:r w:rsidRPr="00DD47DF">
              <w:rPr>
                <w:rFonts w:ascii="Times New Roman" w:hAnsi="Times New Roman"/>
                <w:sz w:val="22"/>
                <w:szCs w:val="22"/>
                <w:lang w:eastAsia="cs-CZ"/>
              </w:rPr>
              <w:t>Ve spolupráci s ŘO OPZ připravit technické řešení sběru údajů o účastnících intervencí tzv. IS ESF2014+, které bude zajišťovat automatické provazby na vybrané datové zdroje České správy sociálního zabezpečení a Úřadu práce, které jsou nezbytné pro vyhodnocení úspěšnosti ESF intervencí.</w:t>
            </w:r>
          </w:p>
        </w:tc>
        <w:tc>
          <w:tcPr>
            <w:tcW w:w="1984" w:type="dxa"/>
            <w:shd w:val="clear" w:color="auto" w:fill="auto"/>
          </w:tcPr>
          <w:p w14:paraId="44DC34D3" w14:textId="77777777" w:rsidR="00CD6752" w:rsidRPr="00DD47DF" w:rsidRDefault="00CD6752" w:rsidP="008A5AA0">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31.3.2016</w:t>
            </w:r>
          </w:p>
        </w:tc>
        <w:tc>
          <w:tcPr>
            <w:tcW w:w="2617" w:type="dxa"/>
            <w:shd w:val="clear" w:color="auto" w:fill="auto"/>
          </w:tcPr>
          <w:p w14:paraId="4EE36089" w14:textId="77777777" w:rsidR="00CD6752" w:rsidRPr="00DD47DF" w:rsidRDefault="00CD6752" w:rsidP="006D2F5F">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MMR, ŘO, ČSÚ, ČSSZ, ÚP</w:t>
            </w:r>
          </w:p>
        </w:tc>
      </w:tr>
      <w:tr w:rsidR="00CD6752" w:rsidRPr="00DD47DF" w14:paraId="3E701FAA" w14:textId="77777777" w:rsidTr="008A20D2">
        <w:trPr>
          <w:trHeight w:val="424"/>
        </w:trPr>
        <w:tc>
          <w:tcPr>
            <w:tcW w:w="0" w:type="auto"/>
            <w:vMerge/>
            <w:shd w:val="clear" w:color="auto" w:fill="auto"/>
            <w:vAlign w:val="center"/>
          </w:tcPr>
          <w:p w14:paraId="5C7D87E6" w14:textId="77777777" w:rsidR="00CD6752" w:rsidRPr="00DD47DF" w:rsidRDefault="00CD6752" w:rsidP="006D2F5F">
            <w:pPr>
              <w:pStyle w:val="Tabulka"/>
              <w:rPr>
                <w:rFonts w:cs="Calibri"/>
                <w:b/>
                <w:szCs w:val="24"/>
              </w:rPr>
            </w:pPr>
          </w:p>
        </w:tc>
        <w:tc>
          <w:tcPr>
            <w:tcW w:w="0" w:type="auto"/>
            <w:shd w:val="clear" w:color="auto" w:fill="auto"/>
          </w:tcPr>
          <w:p w14:paraId="56D36502" w14:textId="77777777" w:rsidR="00CD6752" w:rsidRPr="00DD47DF" w:rsidRDefault="00CD6752" w:rsidP="006D2F5F">
            <w:pPr>
              <w:pStyle w:val="Odstavecseseznamem"/>
              <w:spacing w:before="80" w:after="80"/>
              <w:ind w:left="0"/>
              <w:contextualSpacing w:val="0"/>
              <w:rPr>
                <w:bCs/>
                <w:sz w:val="22"/>
                <w:szCs w:val="22"/>
              </w:rPr>
            </w:pPr>
            <w:r w:rsidRPr="00DD47DF">
              <w:rPr>
                <w:bCs/>
                <w:sz w:val="22"/>
                <w:szCs w:val="22"/>
              </w:rPr>
              <w:t>Postupy zajišťující, aby všechny operace financované z programu používaly účinný systém ukazatelů</w:t>
            </w:r>
          </w:p>
        </w:tc>
        <w:tc>
          <w:tcPr>
            <w:tcW w:w="0" w:type="auto"/>
            <w:shd w:val="clear" w:color="auto" w:fill="auto"/>
          </w:tcPr>
          <w:p w14:paraId="06D6F17F" w14:textId="77777777" w:rsidR="00CD6752" w:rsidRPr="00DD47DF" w:rsidRDefault="00CD6752" w:rsidP="00CE43D2">
            <w:pPr>
              <w:pStyle w:val="DAVA"/>
              <w:spacing w:before="0"/>
              <w:rPr>
                <w:szCs w:val="22"/>
              </w:rPr>
            </w:pPr>
            <w:r w:rsidRPr="00DD47DF">
              <w:rPr>
                <w:rFonts w:ascii="Times New Roman" w:hAnsi="Times New Roman"/>
                <w:sz w:val="22"/>
                <w:szCs w:val="22"/>
                <w:lang w:eastAsia="cs-CZ"/>
              </w:rPr>
              <w:t>Příprava programové dokumentace (příručky pro žadatele a příjemce), které budou reflektovat jich schválená závazná metodická pravidla.</w:t>
            </w:r>
          </w:p>
        </w:tc>
        <w:tc>
          <w:tcPr>
            <w:tcW w:w="1984" w:type="dxa"/>
            <w:shd w:val="clear" w:color="auto" w:fill="auto"/>
          </w:tcPr>
          <w:p w14:paraId="7EFB3A99" w14:textId="77777777" w:rsidR="00CD6752" w:rsidRPr="00DD47DF" w:rsidRDefault="00CD6752" w:rsidP="006D2F5F">
            <w:pPr>
              <w:pStyle w:val="DAVA"/>
              <w:spacing w:before="80" w:after="80"/>
              <w:rPr>
                <w:rFonts w:ascii="Times New Roman" w:hAnsi="Times New Roman"/>
                <w:sz w:val="22"/>
                <w:szCs w:val="22"/>
                <w:lang w:eastAsia="cs-CZ"/>
              </w:rPr>
            </w:pPr>
            <w:r w:rsidRPr="00DD47DF">
              <w:rPr>
                <w:rFonts w:ascii="Times New Roman" w:hAnsi="Times New Roman"/>
                <w:sz w:val="22"/>
                <w:szCs w:val="22"/>
              </w:rPr>
              <w:t>31.10. 2015</w:t>
            </w:r>
          </w:p>
        </w:tc>
        <w:tc>
          <w:tcPr>
            <w:tcW w:w="2617" w:type="dxa"/>
            <w:shd w:val="clear" w:color="auto" w:fill="auto"/>
          </w:tcPr>
          <w:p w14:paraId="0703F8E5" w14:textId="77777777" w:rsidR="00CD6752" w:rsidRPr="00DD47DF" w:rsidRDefault="00CD6752" w:rsidP="006D2F5F">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MMR, ŘO</w:t>
            </w:r>
          </w:p>
        </w:tc>
      </w:tr>
    </w:tbl>
    <w:p w14:paraId="6E7B989E" w14:textId="77777777" w:rsidR="00790A0D" w:rsidRPr="00DD47DF" w:rsidRDefault="00790A0D" w:rsidP="00790A0D"/>
    <w:p w14:paraId="169AD9C4" w14:textId="77777777" w:rsidR="007E3732" w:rsidRPr="00DD47DF" w:rsidRDefault="007E3732" w:rsidP="00EE7B37">
      <w:pPr>
        <w:pStyle w:val="Titulek"/>
        <w:keepNext/>
        <w:keepLines/>
      </w:pPr>
      <w:r w:rsidRPr="00DD47DF">
        <w:lastRenderedPageBreak/>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26</w:t>
      </w:r>
      <w:r w:rsidR="002756E7" w:rsidRPr="00DD47DF">
        <w:rPr>
          <w:noProof/>
        </w:rPr>
        <w:fldChar w:fldCharType="end"/>
      </w:r>
      <w:r w:rsidRPr="00DD47DF">
        <w:t xml:space="preserve">: </w:t>
      </w:r>
      <w:r w:rsidR="00AE778E" w:rsidRPr="00DD47DF">
        <w:t>Opatření, která je třeba přijmout, aby byly splněny tematické předběžné podmínky</w:t>
      </w:r>
    </w:p>
    <w:tbl>
      <w:tblPr>
        <w:tblW w:w="0" w:type="auto"/>
        <w:tblInd w:w="-72" w:type="dxa"/>
        <w:tblCellMar>
          <w:left w:w="70" w:type="dxa"/>
          <w:right w:w="70" w:type="dxa"/>
        </w:tblCellMar>
        <w:tblLook w:val="04A0" w:firstRow="1" w:lastRow="0" w:firstColumn="1" w:lastColumn="0" w:noHBand="0" w:noVBand="1"/>
      </w:tblPr>
      <w:tblGrid>
        <w:gridCol w:w="2419"/>
        <w:gridCol w:w="1550"/>
        <w:gridCol w:w="6946"/>
        <w:gridCol w:w="1801"/>
        <w:gridCol w:w="1640"/>
      </w:tblGrid>
      <w:tr w:rsidR="006D2F5F" w:rsidRPr="00DD47DF" w14:paraId="0E1A3ECA" w14:textId="77777777" w:rsidTr="00437632">
        <w:trPr>
          <w:trHeight w:val="915"/>
        </w:trPr>
        <w:tc>
          <w:tcPr>
            <w:tcW w:w="0" w:type="auto"/>
            <w:tcBorders>
              <w:top w:val="single" w:sz="8" w:space="0" w:color="auto"/>
              <w:left w:val="single" w:sz="8" w:space="0" w:color="auto"/>
              <w:bottom w:val="single" w:sz="8" w:space="0" w:color="auto"/>
              <w:right w:val="single" w:sz="4" w:space="0" w:color="auto"/>
            </w:tcBorders>
            <w:shd w:val="clear" w:color="auto" w:fill="B8CCE4"/>
            <w:vAlign w:val="center"/>
          </w:tcPr>
          <w:p w14:paraId="4DA0EB20" w14:textId="77777777" w:rsidR="006D2F5F" w:rsidRPr="00DD47DF" w:rsidRDefault="006D2F5F" w:rsidP="006D2F5F">
            <w:pPr>
              <w:pStyle w:val="Tabulka"/>
              <w:keepNext/>
              <w:keepLines/>
              <w:rPr>
                <w:rFonts w:cs="Calibri"/>
              </w:rPr>
            </w:pPr>
            <w:r w:rsidRPr="00DD47DF">
              <w:rPr>
                <w:rFonts w:cs="Calibri"/>
              </w:rPr>
              <w:t>Tematické předběžné podmínky</w:t>
            </w:r>
          </w:p>
        </w:tc>
        <w:tc>
          <w:tcPr>
            <w:tcW w:w="0" w:type="auto"/>
            <w:tcBorders>
              <w:top w:val="single" w:sz="8" w:space="0" w:color="auto"/>
              <w:left w:val="single" w:sz="4" w:space="0" w:color="auto"/>
              <w:bottom w:val="single" w:sz="8" w:space="0" w:color="auto"/>
              <w:right w:val="double" w:sz="6" w:space="0" w:color="auto"/>
            </w:tcBorders>
            <w:shd w:val="clear" w:color="auto" w:fill="B8CCE4"/>
            <w:vAlign w:val="center"/>
          </w:tcPr>
          <w:p w14:paraId="316909EF" w14:textId="77777777" w:rsidR="006D2F5F" w:rsidRPr="00DD47DF" w:rsidRDefault="006D2F5F" w:rsidP="006D2F5F">
            <w:pPr>
              <w:pStyle w:val="Tabulka"/>
              <w:keepNext/>
              <w:keepLines/>
              <w:rPr>
                <w:rFonts w:cs="Calibri"/>
              </w:rPr>
            </w:pPr>
            <w:r w:rsidRPr="00DD47DF">
              <w:rPr>
                <w:rFonts w:cs="Calibri"/>
              </w:rPr>
              <w:t>Nesplněná kritéria</w:t>
            </w:r>
          </w:p>
        </w:tc>
        <w:tc>
          <w:tcPr>
            <w:tcW w:w="6946" w:type="dxa"/>
            <w:tcBorders>
              <w:top w:val="single" w:sz="8" w:space="0" w:color="auto"/>
              <w:left w:val="nil"/>
              <w:bottom w:val="single" w:sz="8" w:space="0" w:color="auto"/>
              <w:right w:val="double" w:sz="6" w:space="0" w:color="auto"/>
            </w:tcBorders>
            <w:shd w:val="clear" w:color="auto" w:fill="B8CCE4"/>
            <w:vAlign w:val="center"/>
          </w:tcPr>
          <w:p w14:paraId="25AEF177" w14:textId="77777777" w:rsidR="006D2F5F" w:rsidRPr="00DD47DF" w:rsidRDefault="006D2F5F" w:rsidP="006D2F5F">
            <w:pPr>
              <w:pStyle w:val="Tabulka"/>
              <w:keepNext/>
              <w:keepLines/>
              <w:rPr>
                <w:rFonts w:cs="Calibri"/>
              </w:rPr>
            </w:pPr>
            <w:r w:rsidRPr="00DD47DF">
              <w:rPr>
                <w:rFonts w:cs="Calibri"/>
              </w:rPr>
              <w:t>Opatření, která je třeba přijmout</w:t>
            </w:r>
            <w:r w:rsidRPr="00DD47DF">
              <w:rPr>
                <w:rStyle w:val="Znakapoznpodarou"/>
                <w:rFonts w:cs="Calibri"/>
              </w:rPr>
              <w:footnoteReference w:id="106"/>
            </w:r>
          </w:p>
        </w:tc>
        <w:tc>
          <w:tcPr>
            <w:tcW w:w="1801" w:type="dxa"/>
            <w:tcBorders>
              <w:top w:val="single" w:sz="8" w:space="0" w:color="auto"/>
              <w:left w:val="nil"/>
              <w:bottom w:val="single" w:sz="8" w:space="0" w:color="auto"/>
              <w:right w:val="double" w:sz="6" w:space="0" w:color="auto"/>
            </w:tcBorders>
            <w:shd w:val="clear" w:color="auto" w:fill="B8CCE4"/>
            <w:vAlign w:val="center"/>
          </w:tcPr>
          <w:p w14:paraId="43721B53" w14:textId="77777777" w:rsidR="006D2F5F" w:rsidRPr="00DD47DF" w:rsidRDefault="006D2F5F" w:rsidP="006D2F5F">
            <w:pPr>
              <w:pStyle w:val="Tabulka"/>
              <w:keepNext/>
              <w:keepLines/>
              <w:rPr>
                <w:rFonts w:cs="Calibri"/>
              </w:rPr>
            </w:pPr>
            <w:r w:rsidRPr="00DD47DF">
              <w:rPr>
                <w:rFonts w:cs="Calibri"/>
              </w:rPr>
              <w:t>Lhůta (datum)</w:t>
            </w:r>
          </w:p>
        </w:tc>
        <w:tc>
          <w:tcPr>
            <w:tcW w:w="0" w:type="auto"/>
            <w:tcBorders>
              <w:top w:val="single" w:sz="8" w:space="0" w:color="auto"/>
              <w:left w:val="nil"/>
              <w:bottom w:val="single" w:sz="8" w:space="0" w:color="auto"/>
              <w:right w:val="single" w:sz="8" w:space="0" w:color="auto"/>
            </w:tcBorders>
            <w:shd w:val="clear" w:color="auto" w:fill="B8CCE4"/>
            <w:vAlign w:val="center"/>
          </w:tcPr>
          <w:p w14:paraId="0B8F28BB" w14:textId="77777777" w:rsidR="006D2F5F" w:rsidRPr="00DD47DF" w:rsidRDefault="006D2F5F" w:rsidP="006D2F5F">
            <w:pPr>
              <w:pStyle w:val="Tabulka"/>
              <w:keepNext/>
              <w:keepLines/>
              <w:rPr>
                <w:rFonts w:cs="Calibri"/>
              </w:rPr>
            </w:pPr>
            <w:r w:rsidRPr="00DD47DF">
              <w:rPr>
                <w:rFonts w:cs="Calibri"/>
              </w:rPr>
              <w:t>Subjekty odpovědné za plnění</w:t>
            </w:r>
          </w:p>
        </w:tc>
      </w:tr>
      <w:tr w:rsidR="00DD47DF" w:rsidRPr="00DD47DF" w14:paraId="69034EB6" w14:textId="77777777" w:rsidTr="00DD47DF">
        <w:trPr>
          <w:trHeight w:val="2991"/>
        </w:trPr>
        <w:tc>
          <w:tcPr>
            <w:tcW w:w="0" w:type="auto"/>
            <w:vMerge w:val="restart"/>
            <w:tcBorders>
              <w:top w:val="nil"/>
              <w:left w:val="single" w:sz="8" w:space="0" w:color="auto"/>
              <w:bottom w:val="single" w:sz="4" w:space="0" w:color="000000"/>
              <w:right w:val="single" w:sz="4" w:space="0" w:color="auto"/>
            </w:tcBorders>
            <w:shd w:val="clear" w:color="auto" w:fill="auto"/>
          </w:tcPr>
          <w:p w14:paraId="1FE78F58" w14:textId="77777777" w:rsidR="00DD47DF" w:rsidRPr="00DD47DF" w:rsidRDefault="00DD47DF" w:rsidP="006D2F5F">
            <w:pPr>
              <w:pStyle w:val="Tabulka"/>
              <w:jc w:val="left"/>
              <w:rPr>
                <w:rFonts w:cs="Calibri"/>
                <w:b/>
              </w:rPr>
            </w:pPr>
            <w:r w:rsidRPr="00DD47DF">
              <w:rPr>
                <w:rFonts w:cs="Calibri"/>
                <w:b/>
              </w:rPr>
              <w:t xml:space="preserve">1.1. Výzkum a inovace: Existence národní nebo regionální strategie pro inteligentní specializaci v souladu s národním programem reforem na podporu soukromých výdajů na výzkum a inovace, která je v souladu s rysy dobře fungujících celostátních nebo regionálních systémů výzkumu a inovací. </w:t>
            </w:r>
          </w:p>
          <w:p w14:paraId="1172F325" w14:textId="77777777" w:rsidR="00DD47DF" w:rsidRPr="00DD47DF" w:rsidRDefault="00DD47DF" w:rsidP="006D2F5F">
            <w:pPr>
              <w:pStyle w:val="Tabulka"/>
              <w:jc w:val="left"/>
              <w:rPr>
                <w:rFonts w:cs="Calibri"/>
                <w:b/>
              </w:rPr>
            </w:pPr>
          </w:p>
        </w:tc>
        <w:tc>
          <w:tcPr>
            <w:tcW w:w="0" w:type="auto"/>
            <w:tcBorders>
              <w:top w:val="nil"/>
              <w:left w:val="nil"/>
              <w:bottom w:val="single" w:sz="4" w:space="0" w:color="auto"/>
              <w:right w:val="single" w:sz="4" w:space="0" w:color="auto"/>
            </w:tcBorders>
            <w:shd w:val="clear" w:color="auto" w:fill="auto"/>
          </w:tcPr>
          <w:p w14:paraId="01E6938F" w14:textId="77777777" w:rsidR="00DD47DF" w:rsidRPr="00DD47DF" w:rsidRDefault="00DD47DF" w:rsidP="006D2F5F">
            <w:pPr>
              <w:pStyle w:val="Tabulka"/>
              <w:jc w:val="left"/>
              <w:rPr>
                <w:rFonts w:cs="Calibri"/>
              </w:rPr>
            </w:pPr>
            <w:r w:rsidRPr="00DD47DF">
              <w:rPr>
                <w:rFonts w:cs="Calibri"/>
              </w:rPr>
              <w:t>Je k dispozici vnitrostátní nebo regionální Strategie pro inteligentní specializaci, která:</w:t>
            </w:r>
          </w:p>
          <w:p w14:paraId="05B78282" w14:textId="77777777" w:rsidR="00DD47DF" w:rsidRPr="00DD47DF" w:rsidRDefault="00DD47DF" w:rsidP="006D2F5F">
            <w:pPr>
              <w:pStyle w:val="Tabulka"/>
              <w:jc w:val="left"/>
              <w:rPr>
                <w:rFonts w:cs="Calibri"/>
              </w:rPr>
            </w:pPr>
            <w:r w:rsidRPr="00DD47DF">
              <w:rPr>
                <w:rFonts w:cs="Calibri"/>
              </w:rPr>
              <w:t>• obsahuje mechanismus sledování</w:t>
            </w:r>
          </w:p>
        </w:tc>
        <w:tc>
          <w:tcPr>
            <w:tcW w:w="6946" w:type="dxa"/>
            <w:tcBorders>
              <w:top w:val="nil"/>
              <w:left w:val="double" w:sz="6" w:space="0" w:color="auto"/>
              <w:bottom w:val="single" w:sz="4" w:space="0" w:color="auto"/>
              <w:right w:val="double" w:sz="6" w:space="0" w:color="auto"/>
            </w:tcBorders>
            <w:shd w:val="clear" w:color="auto" w:fill="auto"/>
          </w:tcPr>
          <w:p w14:paraId="6C16797C" w14:textId="77777777" w:rsidR="00DD47DF" w:rsidRPr="00DD47DF" w:rsidRDefault="00DD47DF" w:rsidP="00C85543">
            <w:pPr>
              <w:pStyle w:val="DAVA"/>
              <w:spacing w:before="0" w:after="120" w:line="276" w:lineRule="auto"/>
              <w:rPr>
                <w:rFonts w:ascii="Times New Roman" w:hAnsi="Times New Roman"/>
                <w:sz w:val="22"/>
                <w:szCs w:val="22"/>
              </w:rPr>
            </w:pPr>
            <w:r w:rsidRPr="00DD47DF">
              <w:rPr>
                <w:rFonts w:ascii="Times New Roman" w:hAnsi="Times New Roman"/>
                <w:sz w:val="22"/>
                <w:szCs w:val="22"/>
              </w:rPr>
              <w:t>Dle vyjádření EK ze dne 12.12.2014 kritérium nesplněno dostatečně.</w:t>
            </w:r>
          </w:p>
          <w:p w14:paraId="353F8D17" w14:textId="77777777" w:rsidR="00DD47DF" w:rsidRPr="00DD47DF" w:rsidRDefault="00DD47DF" w:rsidP="00C85543">
            <w:pPr>
              <w:pStyle w:val="Tabulka"/>
              <w:jc w:val="left"/>
            </w:pPr>
            <w:r w:rsidRPr="00DD47DF">
              <w:t>Monitorování Národní RIS3 strategie je rozpracováno v subkapitole 7.2 textu Národní RIS3, s důrazem na monitorovací zprávy a roli jednotlivých orgánů při jejich zpracování a na získávání vstupů pro monitorování z úrovně operačních programů a orgánů zodpovědných za implementaci národních podpůrných nástrojů. Metodika monitorování bude na základě požadavku EK dopracována popisem role krajských subjektů při monitorování intervencí RIS3, které jsou realizovány z krajské úrovně jako součást intervencí navržených v krajských přílohách Národní RIS3. Dále bude také dopracován a aktualizován návrh monitorovacích indikátorů Národní RIS3.</w:t>
            </w:r>
          </w:p>
        </w:tc>
        <w:tc>
          <w:tcPr>
            <w:tcW w:w="1801" w:type="dxa"/>
            <w:tcBorders>
              <w:top w:val="nil"/>
              <w:left w:val="nil"/>
              <w:bottom w:val="single" w:sz="4" w:space="0" w:color="auto"/>
              <w:right w:val="double" w:sz="6" w:space="0" w:color="auto"/>
            </w:tcBorders>
            <w:shd w:val="clear" w:color="auto" w:fill="auto"/>
          </w:tcPr>
          <w:p w14:paraId="62146A12" w14:textId="77777777" w:rsidR="00DD47DF" w:rsidRPr="00DD47DF" w:rsidRDefault="00DD47DF" w:rsidP="006D2F5F">
            <w:pPr>
              <w:pStyle w:val="Tabulka"/>
              <w:jc w:val="left"/>
              <w:rPr>
                <w:rFonts w:cs="Calibri"/>
              </w:rPr>
            </w:pPr>
            <w:r w:rsidRPr="00DD47DF">
              <w:rPr>
                <w:rFonts w:cs="Calibri"/>
              </w:rPr>
              <w:t>30.4.2015</w:t>
            </w:r>
          </w:p>
        </w:tc>
        <w:tc>
          <w:tcPr>
            <w:tcW w:w="0" w:type="auto"/>
            <w:tcBorders>
              <w:top w:val="nil"/>
              <w:left w:val="nil"/>
              <w:bottom w:val="single" w:sz="4" w:space="0" w:color="auto"/>
              <w:right w:val="single" w:sz="8" w:space="0" w:color="auto"/>
            </w:tcBorders>
            <w:shd w:val="clear" w:color="auto" w:fill="auto"/>
          </w:tcPr>
          <w:p w14:paraId="44360FA7" w14:textId="77777777" w:rsidR="00DD47DF" w:rsidRPr="00DD47DF" w:rsidRDefault="00DD47DF" w:rsidP="00DD47DF">
            <w:pPr>
              <w:pStyle w:val="Tabulka"/>
              <w:jc w:val="left"/>
              <w:rPr>
                <w:rFonts w:cs="Calibri"/>
              </w:rPr>
            </w:pPr>
            <w:r w:rsidRPr="00DD47DF">
              <w:t>Do 8. 12. 2014 MŠMT. Po tomto datu přebral agendu Úřad vlády (místopředseda vlády pro vědu, výzkum a inovace)</w:t>
            </w:r>
          </w:p>
        </w:tc>
      </w:tr>
      <w:tr w:rsidR="006D2F5F" w:rsidRPr="00DD47DF" w14:paraId="4D15A9BB" w14:textId="77777777" w:rsidTr="00DD47DF">
        <w:trPr>
          <w:trHeight w:val="765"/>
        </w:trPr>
        <w:tc>
          <w:tcPr>
            <w:tcW w:w="0" w:type="auto"/>
            <w:vMerge/>
            <w:tcBorders>
              <w:top w:val="nil"/>
              <w:left w:val="single" w:sz="8" w:space="0" w:color="auto"/>
              <w:bottom w:val="single" w:sz="4" w:space="0" w:color="auto"/>
              <w:right w:val="single" w:sz="4" w:space="0" w:color="auto"/>
            </w:tcBorders>
            <w:shd w:val="clear" w:color="auto" w:fill="auto"/>
          </w:tcPr>
          <w:p w14:paraId="3EEF7C2D" w14:textId="77777777" w:rsidR="006D2F5F" w:rsidRPr="00DD47DF" w:rsidRDefault="006D2F5F" w:rsidP="006D2F5F">
            <w:pPr>
              <w:pStyle w:val="Tabulka"/>
              <w:jc w:val="left"/>
              <w:rPr>
                <w:rFonts w:cs="Calibri"/>
                <w:b/>
              </w:rPr>
            </w:pPr>
          </w:p>
        </w:tc>
        <w:tc>
          <w:tcPr>
            <w:tcW w:w="0" w:type="auto"/>
            <w:tcBorders>
              <w:top w:val="single" w:sz="4" w:space="0" w:color="auto"/>
              <w:left w:val="nil"/>
              <w:bottom w:val="single" w:sz="4" w:space="0" w:color="auto"/>
              <w:right w:val="single" w:sz="4" w:space="0" w:color="auto"/>
            </w:tcBorders>
            <w:shd w:val="clear" w:color="auto" w:fill="auto"/>
          </w:tcPr>
          <w:p w14:paraId="047B9EF2" w14:textId="77777777" w:rsidR="006D2F5F" w:rsidRPr="00DD47DF" w:rsidRDefault="006D2F5F" w:rsidP="006D2F5F">
            <w:pPr>
              <w:pStyle w:val="Tabulka"/>
              <w:jc w:val="left"/>
              <w:rPr>
                <w:rFonts w:cs="Calibri"/>
              </w:rPr>
            </w:pPr>
            <w:r w:rsidRPr="00DD47DF">
              <w:rPr>
                <w:rFonts w:cs="Calibri"/>
              </w:rPr>
              <w:t>Byl přijat rámec, který vymezuje dostupné rozpočtové zdroje pro výzkum a inovace.</w:t>
            </w:r>
          </w:p>
        </w:tc>
        <w:tc>
          <w:tcPr>
            <w:tcW w:w="6946" w:type="dxa"/>
            <w:tcBorders>
              <w:top w:val="single" w:sz="4" w:space="0" w:color="auto"/>
              <w:left w:val="double" w:sz="6" w:space="0" w:color="auto"/>
              <w:bottom w:val="single" w:sz="4" w:space="0" w:color="auto"/>
              <w:right w:val="double" w:sz="6" w:space="0" w:color="auto"/>
            </w:tcBorders>
            <w:shd w:val="clear" w:color="auto" w:fill="auto"/>
          </w:tcPr>
          <w:p w14:paraId="158D602A" w14:textId="77777777" w:rsidR="00C85543" w:rsidRPr="00DD47DF" w:rsidRDefault="00C85543" w:rsidP="00C85543">
            <w:pPr>
              <w:spacing w:line="280" w:lineRule="exact"/>
              <w:jc w:val="both"/>
              <w:rPr>
                <w:sz w:val="22"/>
                <w:szCs w:val="22"/>
              </w:rPr>
            </w:pPr>
            <w:r w:rsidRPr="00DD47DF">
              <w:rPr>
                <w:sz w:val="22"/>
                <w:szCs w:val="22"/>
              </w:rPr>
              <w:t xml:space="preserve">Dle vyjádření EK ze dne 12.12.2014 kritérium nesplněno dostatečně. </w:t>
            </w:r>
          </w:p>
          <w:p w14:paraId="6BAEF236" w14:textId="77777777" w:rsidR="006D2F5F" w:rsidRPr="00DD47DF" w:rsidRDefault="00C85543" w:rsidP="00C85543">
            <w:pPr>
              <w:pStyle w:val="Tabulka"/>
              <w:jc w:val="left"/>
              <w:rPr>
                <w:rFonts w:cs="Calibri"/>
              </w:rPr>
            </w:pPr>
            <w:r w:rsidRPr="00DD47DF">
              <w:t>Obecný rámec pro vymezení dostupných rozpočtových zdrojů a priorit pro financování VaVaI obsahuje NP VaVaI (a její Aktualizace).). Z ní vychází principy pro přípravu rozpočtu na VaVaI a následně vlastní návrh a střednědobý výhled rozpočtu na VaVaI, zpracovávaný Radou pro výzkum, vývoj a inovace.  V průběhu roku 2015 bude na základě připomínky EK Úřadem vlády provedena revize zdrojů veřejných rozpočtů na podporu VaVaI (národních i krajských) tak, aby bylo možno diferencovat zdroje určené na implementaci RIS3 a zdroje ostatní</w:t>
            </w:r>
            <w:r w:rsidR="001315A2" w:rsidRPr="00DD47DF">
              <w:t xml:space="preserve"> (s termínem březen 2015 u krajských zdrojů na rok 2015, a termínem září 2015 u zdrojů národních na rok 2015 s výhledem na roky 2016-17).</w:t>
            </w:r>
          </w:p>
        </w:tc>
        <w:tc>
          <w:tcPr>
            <w:tcW w:w="1801" w:type="dxa"/>
            <w:tcBorders>
              <w:top w:val="single" w:sz="4" w:space="0" w:color="auto"/>
              <w:left w:val="nil"/>
              <w:bottom w:val="single" w:sz="4" w:space="0" w:color="auto"/>
              <w:right w:val="double" w:sz="6" w:space="0" w:color="auto"/>
            </w:tcBorders>
            <w:shd w:val="clear" w:color="auto" w:fill="auto"/>
          </w:tcPr>
          <w:p w14:paraId="318F0258" w14:textId="77777777" w:rsidR="006D2F5F" w:rsidRPr="00DD47DF" w:rsidRDefault="00C85543" w:rsidP="006D2F5F">
            <w:pPr>
              <w:pStyle w:val="Tabulka"/>
              <w:jc w:val="left"/>
              <w:rPr>
                <w:rFonts w:cs="Calibri"/>
              </w:rPr>
            </w:pPr>
            <w:r w:rsidRPr="00DD47DF">
              <w:rPr>
                <w:rFonts w:cs="Calibri"/>
              </w:rPr>
              <w:t>30.9.2015</w:t>
            </w:r>
          </w:p>
        </w:tc>
        <w:tc>
          <w:tcPr>
            <w:tcW w:w="0" w:type="auto"/>
            <w:tcBorders>
              <w:top w:val="single" w:sz="4" w:space="0" w:color="auto"/>
              <w:left w:val="nil"/>
              <w:bottom w:val="single" w:sz="4" w:space="0" w:color="auto"/>
              <w:right w:val="single" w:sz="8" w:space="0" w:color="auto"/>
            </w:tcBorders>
            <w:shd w:val="clear" w:color="auto" w:fill="auto"/>
          </w:tcPr>
          <w:p w14:paraId="5659C634" w14:textId="77777777" w:rsidR="006D2F5F" w:rsidRPr="00DD47DF" w:rsidRDefault="001315A2" w:rsidP="006D2F5F">
            <w:pPr>
              <w:pStyle w:val="Tabulka"/>
              <w:jc w:val="left"/>
              <w:rPr>
                <w:rFonts w:cs="Calibri"/>
              </w:rPr>
            </w:pPr>
            <w:r w:rsidRPr="00DD47DF">
              <w:t>Do 8. 12. 2014 MŠMT. Po tomto datu přebral agendu Úřad vlády (místopředseda vlády pro vědu, výzkum a inovace)</w:t>
            </w:r>
          </w:p>
        </w:tc>
      </w:tr>
      <w:tr w:rsidR="00DD47DF" w:rsidRPr="00DD47DF" w14:paraId="52963CBC" w14:textId="77777777" w:rsidTr="00DD47DF">
        <w:trPr>
          <w:trHeight w:val="3409"/>
        </w:trPr>
        <w:tc>
          <w:tcPr>
            <w:tcW w:w="0" w:type="auto"/>
            <w:vMerge w:val="restart"/>
            <w:tcBorders>
              <w:top w:val="single" w:sz="4" w:space="0" w:color="auto"/>
              <w:left w:val="single" w:sz="8" w:space="0" w:color="auto"/>
              <w:right w:val="single" w:sz="4" w:space="0" w:color="auto"/>
            </w:tcBorders>
            <w:shd w:val="clear" w:color="auto" w:fill="auto"/>
          </w:tcPr>
          <w:p w14:paraId="531D59E7" w14:textId="77777777" w:rsidR="00DD47DF" w:rsidRPr="00DD47DF" w:rsidRDefault="00DD47DF" w:rsidP="006D2F5F">
            <w:pPr>
              <w:pStyle w:val="Tabulka"/>
              <w:jc w:val="left"/>
              <w:rPr>
                <w:rFonts w:cs="Calibri"/>
                <w:b/>
              </w:rPr>
            </w:pPr>
            <w:r w:rsidRPr="00DD47DF">
              <w:rPr>
                <w:rFonts w:cs="Calibri"/>
                <w:b/>
              </w:rPr>
              <w:lastRenderedPageBreak/>
              <w:t>2.1: Digitální růst: Strategický rámec politiky pro digitální růst, který má podněcovat cenově dostupné, kvalitní a interoperabilní soukromé a veřejné služby v oblasti IKT a zvýšit míru jejich využívání občany (včetně zranitelných skupin), podniky a orgány veřejné správy včetně přeshraničních iniciativ</w:t>
            </w:r>
          </w:p>
        </w:tc>
        <w:tc>
          <w:tcPr>
            <w:tcW w:w="0" w:type="auto"/>
            <w:tcBorders>
              <w:top w:val="single" w:sz="4" w:space="0" w:color="auto"/>
              <w:left w:val="nil"/>
              <w:bottom w:val="single" w:sz="4" w:space="0" w:color="auto"/>
              <w:right w:val="single" w:sz="4" w:space="0" w:color="auto"/>
            </w:tcBorders>
            <w:shd w:val="clear" w:color="auto" w:fill="auto"/>
          </w:tcPr>
          <w:p w14:paraId="280ECD22" w14:textId="77777777" w:rsidR="00DD47DF" w:rsidRPr="00DD47DF" w:rsidRDefault="00DD47DF" w:rsidP="006D2F5F">
            <w:pPr>
              <w:pStyle w:val="Tabulka"/>
              <w:jc w:val="left"/>
              <w:rPr>
                <w:rFonts w:cs="Calibri"/>
              </w:rPr>
            </w:pPr>
            <w:r w:rsidRPr="00DD47DF">
              <w:rPr>
                <w:rFonts w:cs="Calibri"/>
              </w:rPr>
              <w:t>V rámci národní nebo regionální strategie pro inteligentní specializaci je vypracován například strategický rámec politiky pro digitální růst, který obsahuje:</w:t>
            </w:r>
          </w:p>
        </w:tc>
        <w:tc>
          <w:tcPr>
            <w:tcW w:w="6946" w:type="dxa"/>
            <w:tcBorders>
              <w:top w:val="single" w:sz="4" w:space="0" w:color="auto"/>
              <w:left w:val="double" w:sz="6" w:space="0" w:color="auto"/>
              <w:bottom w:val="single" w:sz="4" w:space="0" w:color="auto"/>
              <w:right w:val="double" w:sz="6" w:space="0" w:color="auto"/>
            </w:tcBorders>
            <w:shd w:val="clear" w:color="auto" w:fill="auto"/>
          </w:tcPr>
          <w:p w14:paraId="5AE05F80" w14:textId="77777777" w:rsidR="00DD47DF" w:rsidRPr="00DD47DF" w:rsidRDefault="00DD47DF" w:rsidP="00B83F1D">
            <w:pPr>
              <w:pStyle w:val="Tabulka"/>
              <w:jc w:val="left"/>
              <w:rPr>
                <w:rFonts w:cs="Calibri"/>
              </w:rPr>
            </w:pPr>
            <w:r w:rsidRPr="00DD47DF">
              <w:rPr>
                <w:rFonts w:cs="Calibri"/>
              </w:rPr>
              <w:t>Připravuje se „Strategie digitální gramotnosti ČR na období 2015 – 2020“ (podkladové analýzy, SWOT analýza, příprava návrhu strategie).</w:t>
            </w:r>
          </w:p>
          <w:p w14:paraId="6CBC9CA5" w14:textId="77777777" w:rsidR="00DD47DF" w:rsidRPr="00DD47DF" w:rsidRDefault="00DD47DF" w:rsidP="00B83F1D">
            <w:pPr>
              <w:pStyle w:val="Tabulka"/>
              <w:jc w:val="left"/>
              <w:rPr>
                <w:rFonts w:cs="Calibri"/>
              </w:rPr>
            </w:pPr>
          </w:p>
          <w:p w14:paraId="1AD25C68" w14:textId="77777777" w:rsidR="00DD47DF" w:rsidRPr="00DD47DF" w:rsidRDefault="00DD47DF" w:rsidP="00B83F1D">
            <w:pPr>
              <w:pStyle w:val="Tabulka"/>
              <w:jc w:val="left"/>
              <w:rPr>
                <w:rFonts w:cs="Calibri"/>
              </w:rPr>
            </w:pPr>
            <w:r w:rsidRPr="00DD47DF">
              <w:rPr>
                <w:rFonts w:cs="Calibri"/>
              </w:rPr>
              <w:t>Indikativní HMG:</w:t>
            </w:r>
          </w:p>
          <w:p w14:paraId="132FBC01" w14:textId="77777777" w:rsidR="00DD47DF" w:rsidRPr="00DD47DF" w:rsidRDefault="00DD47DF" w:rsidP="00B83F1D">
            <w:pPr>
              <w:pStyle w:val="Tabulka"/>
              <w:jc w:val="left"/>
              <w:rPr>
                <w:rFonts w:cs="Calibri"/>
              </w:rPr>
            </w:pPr>
            <w:r w:rsidRPr="00DD47DF">
              <w:rPr>
                <w:rFonts w:cs="Calibri"/>
              </w:rPr>
              <w:t>2014 - Příprava dokumentu (práce na strategii již byly zahájeny ve spolupráci MPSV s MŠMT)</w:t>
            </w:r>
          </w:p>
          <w:p w14:paraId="294C2B03" w14:textId="77777777" w:rsidR="00DD47DF" w:rsidRPr="00DD47DF" w:rsidRDefault="00DD47DF" w:rsidP="00B83F1D">
            <w:pPr>
              <w:jc w:val="both"/>
              <w:rPr>
                <w:rFonts w:cs="Calibri"/>
                <w:sz w:val="22"/>
                <w:szCs w:val="22"/>
              </w:rPr>
            </w:pPr>
            <w:r w:rsidRPr="00DD47DF">
              <w:rPr>
                <w:rFonts w:cs="Calibri"/>
                <w:sz w:val="22"/>
                <w:szCs w:val="22"/>
              </w:rPr>
              <w:t>Leden 2015: expertní konzultace k první verzi dokumentu (kulaté stoly) – připomínky z veřejného připomínkování byly vypořádány a zapracovány do konce ledna 2015</w:t>
            </w:r>
          </w:p>
          <w:p w14:paraId="6A1AD1DA" w14:textId="77777777" w:rsidR="00DD47DF" w:rsidRPr="00DD47DF" w:rsidRDefault="00DD47DF" w:rsidP="00B83F1D">
            <w:pPr>
              <w:jc w:val="both"/>
              <w:rPr>
                <w:rFonts w:cs="Calibri"/>
                <w:sz w:val="22"/>
                <w:szCs w:val="22"/>
              </w:rPr>
            </w:pPr>
            <w:r w:rsidRPr="00DD47DF">
              <w:rPr>
                <w:rFonts w:cs="Calibri"/>
                <w:sz w:val="22"/>
                <w:szCs w:val="22"/>
              </w:rPr>
              <w:t>Únor 2015: do konce února byla dopracována Strategie do druhé verze, která se následně předloží do mezirezortního připomínkového řízení.</w:t>
            </w:r>
          </w:p>
          <w:p w14:paraId="21F18824" w14:textId="77777777" w:rsidR="00DD47DF" w:rsidRPr="00DD47DF" w:rsidRDefault="00DD47DF" w:rsidP="00B83F1D">
            <w:pPr>
              <w:jc w:val="both"/>
              <w:rPr>
                <w:rFonts w:cs="Calibri"/>
              </w:rPr>
            </w:pPr>
            <w:r w:rsidRPr="00DD47DF">
              <w:rPr>
                <w:rFonts w:cs="Calibri"/>
                <w:sz w:val="22"/>
                <w:szCs w:val="22"/>
              </w:rPr>
              <w:t>30. 6. 2015 - Nejzazší termín schválení Strategie Vládou ČR.</w:t>
            </w:r>
          </w:p>
        </w:tc>
        <w:tc>
          <w:tcPr>
            <w:tcW w:w="1801" w:type="dxa"/>
            <w:tcBorders>
              <w:top w:val="single" w:sz="4" w:space="0" w:color="auto"/>
              <w:left w:val="nil"/>
              <w:bottom w:val="single" w:sz="4" w:space="0" w:color="auto"/>
              <w:right w:val="double" w:sz="6" w:space="0" w:color="auto"/>
            </w:tcBorders>
            <w:shd w:val="clear" w:color="auto" w:fill="auto"/>
          </w:tcPr>
          <w:p w14:paraId="4A008ECA" w14:textId="77777777" w:rsidR="00DD47DF" w:rsidRPr="00DD47DF" w:rsidRDefault="00DD47DF" w:rsidP="006D2F5F">
            <w:pPr>
              <w:pStyle w:val="Tabulka"/>
              <w:jc w:val="left"/>
              <w:rPr>
                <w:rFonts w:cs="Calibri"/>
              </w:rPr>
            </w:pPr>
            <w:r w:rsidRPr="00DD47DF">
              <w:rPr>
                <w:rFonts w:cs="Calibri"/>
              </w:rPr>
              <w:t>Do 30.6.2015</w:t>
            </w:r>
          </w:p>
          <w:p w14:paraId="1272C0B0" w14:textId="77777777" w:rsidR="00DD47DF" w:rsidRPr="00DD47DF" w:rsidRDefault="00DD47DF" w:rsidP="006D2F5F">
            <w:pPr>
              <w:pStyle w:val="Tabulka"/>
              <w:jc w:val="left"/>
              <w:rPr>
                <w:rFonts w:cs="Calibri"/>
              </w:rPr>
            </w:pPr>
          </w:p>
        </w:tc>
        <w:tc>
          <w:tcPr>
            <w:tcW w:w="0" w:type="auto"/>
            <w:tcBorders>
              <w:top w:val="single" w:sz="4" w:space="0" w:color="auto"/>
              <w:left w:val="nil"/>
              <w:bottom w:val="single" w:sz="4" w:space="0" w:color="auto"/>
              <w:right w:val="single" w:sz="8" w:space="0" w:color="auto"/>
            </w:tcBorders>
            <w:shd w:val="clear" w:color="auto" w:fill="auto"/>
          </w:tcPr>
          <w:p w14:paraId="5756E997" w14:textId="77777777" w:rsidR="00DD47DF" w:rsidRPr="00DD47DF" w:rsidRDefault="00DD47DF" w:rsidP="006D2F5F">
            <w:pPr>
              <w:pStyle w:val="Tabulka"/>
              <w:jc w:val="left"/>
              <w:rPr>
                <w:rFonts w:cs="Calibri"/>
              </w:rPr>
            </w:pPr>
            <w:r w:rsidRPr="00DD47DF">
              <w:rPr>
                <w:rFonts w:cs="Calibri"/>
              </w:rPr>
              <w:t xml:space="preserve">MPSV </w:t>
            </w:r>
          </w:p>
          <w:p w14:paraId="3C4C34E6" w14:textId="77777777" w:rsidR="00DD47DF" w:rsidRPr="00DD47DF" w:rsidRDefault="00DD47DF" w:rsidP="006D2F5F">
            <w:pPr>
              <w:pStyle w:val="Tabulka"/>
              <w:jc w:val="left"/>
            </w:pPr>
            <w:r w:rsidRPr="00DD47DF">
              <w:rPr>
                <w:rFonts w:cs="Calibri"/>
              </w:rPr>
              <w:t xml:space="preserve">MŠMT </w:t>
            </w:r>
          </w:p>
        </w:tc>
      </w:tr>
      <w:tr w:rsidR="006D2F5F" w:rsidRPr="00DD47DF" w14:paraId="398E22DD" w14:textId="77777777" w:rsidTr="00DD47DF">
        <w:trPr>
          <w:trHeight w:val="942"/>
        </w:trPr>
        <w:tc>
          <w:tcPr>
            <w:tcW w:w="0" w:type="auto"/>
            <w:vMerge/>
            <w:tcBorders>
              <w:left w:val="single" w:sz="8" w:space="0" w:color="auto"/>
              <w:right w:val="single" w:sz="4" w:space="0" w:color="auto"/>
            </w:tcBorders>
            <w:shd w:val="clear" w:color="auto" w:fill="auto"/>
          </w:tcPr>
          <w:p w14:paraId="68A4E8B0" w14:textId="77777777" w:rsidR="006D2F5F" w:rsidRPr="00DD47DF" w:rsidRDefault="006D2F5F" w:rsidP="006D2F5F">
            <w:pPr>
              <w:pStyle w:val="Tabulka"/>
              <w:rPr>
                <w:rFonts w:cs="Calibri"/>
                <w:b/>
              </w:rPr>
            </w:pPr>
          </w:p>
        </w:tc>
        <w:tc>
          <w:tcPr>
            <w:tcW w:w="0" w:type="auto"/>
            <w:vMerge w:val="restart"/>
            <w:tcBorders>
              <w:top w:val="single" w:sz="4" w:space="0" w:color="auto"/>
              <w:left w:val="nil"/>
              <w:right w:val="single" w:sz="4" w:space="0" w:color="auto"/>
            </w:tcBorders>
            <w:shd w:val="clear" w:color="auto" w:fill="auto"/>
          </w:tcPr>
          <w:p w14:paraId="197F9376" w14:textId="77777777" w:rsidR="006D2F5F" w:rsidRPr="00DD47DF" w:rsidRDefault="006D2F5F" w:rsidP="006D2F5F">
            <w:pPr>
              <w:pStyle w:val="Tabulka"/>
              <w:jc w:val="left"/>
              <w:rPr>
                <w:rFonts w:cs="Calibri"/>
              </w:rPr>
            </w:pPr>
            <w:r w:rsidRPr="00DD47DF">
              <w:rPr>
                <w:rFonts w:cs="Calibri"/>
              </w:rPr>
              <w:t xml:space="preserve">• ukazatele umožňující měření pokroku zásahů v oblastech, jako jsou počítačová gramotnost, digitální začlenění, digitální </w:t>
            </w:r>
            <w:r w:rsidRPr="00DD47DF">
              <w:rPr>
                <w:rFonts w:cs="Calibri"/>
              </w:rPr>
              <w:lastRenderedPageBreak/>
              <w:t>přístupnost a pokrok v elektronickém zdravotnictví v mezích článku 168 SFEU, jež jsou v souladu se stávajícími příslušnými unijními vnitrostátními nebo regionálními strategiemi pro jednotlivá odvětví,</w:t>
            </w:r>
          </w:p>
        </w:tc>
        <w:tc>
          <w:tcPr>
            <w:tcW w:w="6946" w:type="dxa"/>
            <w:tcBorders>
              <w:top w:val="single" w:sz="4" w:space="0" w:color="auto"/>
              <w:left w:val="double" w:sz="6" w:space="0" w:color="auto"/>
              <w:bottom w:val="single" w:sz="4" w:space="0" w:color="auto"/>
              <w:right w:val="double" w:sz="6" w:space="0" w:color="auto"/>
            </w:tcBorders>
            <w:shd w:val="clear" w:color="auto" w:fill="auto"/>
          </w:tcPr>
          <w:p w14:paraId="4E48E271" w14:textId="77777777" w:rsidR="006D2F5F" w:rsidRPr="00DD47DF" w:rsidRDefault="006D2F5F" w:rsidP="007B7EF7">
            <w:pPr>
              <w:pStyle w:val="Tabulka"/>
              <w:spacing w:before="0" w:after="0"/>
              <w:jc w:val="left"/>
              <w:rPr>
                <w:rFonts w:cs="Calibri"/>
              </w:rPr>
            </w:pPr>
            <w:r w:rsidRPr="00DD47DF">
              <w:rPr>
                <w:rFonts w:cs="Calibri"/>
              </w:rPr>
              <w:lastRenderedPageBreak/>
              <w:t xml:space="preserve">Zpracování </w:t>
            </w:r>
            <w:r w:rsidR="007B7EF7" w:rsidRPr="00DD47DF">
              <w:rPr>
                <w:rFonts w:cs="Calibri"/>
              </w:rPr>
              <w:t>„Strategie digitální gramotnosti ČR na období 2015 – 2020“</w:t>
            </w:r>
            <w:r w:rsidRPr="00DD47DF">
              <w:rPr>
                <w:rFonts w:cs="Calibri"/>
              </w:rPr>
              <w:t>S, která naplňuje opatření Digitálního Česka 2.0 v kapitole 5.6. Digitální gramotnost, elektronické dovednosti (e-skills).</w:t>
            </w:r>
          </w:p>
          <w:p w14:paraId="5D23FB51" w14:textId="77777777" w:rsidR="00BE7846" w:rsidRPr="00DD47DF" w:rsidRDefault="00BE7846" w:rsidP="00BE7846">
            <w:pPr>
              <w:rPr>
                <w:color w:val="000000"/>
                <w:sz w:val="22"/>
                <w:szCs w:val="22"/>
              </w:rPr>
            </w:pPr>
            <w:r w:rsidRPr="00DD47DF">
              <w:rPr>
                <w:rFonts w:asciiTheme="minorHAnsi" w:hAnsiTheme="minorHAnsi" w:cstheme="minorHAnsi"/>
                <w:sz w:val="22"/>
                <w:szCs w:val="22"/>
              </w:rPr>
              <w:t>S</w:t>
            </w:r>
            <w:r w:rsidRPr="00DD47DF">
              <w:rPr>
                <w:sz w:val="22"/>
                <w:szCs w:val="22"/>
              </w:rPr>
              <w:t>trategie digitální gramotnosti ČR na období 2015 – 2020</w:t>
            </w:r>
            <w:r w:rsidRPr="00DD47DF">
              <w:rPr>
                <w:color w:val="000000"/>
                <w:sz w:val="22"/>
                <w:szCs w:val="22"/>
              </w:rPr>
              <w:t xml:space="preserve"> vznikne v gesci MPSV (MŠMT bude spolugestorem). Přípravy byly zahájeny v prvním kvartálu roku 2014, v lednu 2015 byla dokončena a je projednávána první verze dokumentu, přičemž následné projednání a schválení je plánováno do konce 2 Q. roku 2015.</w:t>
            </w:r>
          </w:p>
          <w:p w14:paraId="486D2C57" w14:textId="77777777" w:rsidR="00BE7846" w:rsidRPr="00DD47DF" w:rsidRDefault="00BE7846" w:rsidP="00BE7846">
            <w:pPr>
              <w:pStyle w:val="Tabulka"/>
              <w:spacing w:before="0" w:after="0"/>
              <w:jc w:val="left"/>
            </w:pPr>
            <w:r w:rsidRPr="00DD47DF">
              <w:rPr>
                <w:color w:val="000000"/>
              </w:rPr>
              <w:t>Součástí této strategie budou ukazatele umožňující měření pokroku zásahů v oblasti počítačové gramotnosti a digitálního začlenění.</w:t>
            </w:r>
          </w:p>
          <w:p w14:paraId="1F4ADE3F" w14:textId="77777777" w:rsidR="007B7EF7" w:rsidRPr="00DD47DF" w:rsidRDefault="007B7EF7" w:rsidP="007B7EF7">
            <w:pPr>
              <w:pStyle w:val="Tabulka"/>
              <w:spacing w:before="0" w:after="0"/>
              <w:jc w:val="left"/>
              <w:rPr>
                <w:rFonts w:cs="Calibri"/>
              </w:rPr>
            </w:pPr>
            <w:r w:rsidRPr="00DD47DF">
              <w:rPr>
                <w:rFonts w:cs="Calibri"/>
              </w:rPr>
              <w:t>Indikativní harmonogram viz výše.</w:t>
            </w:r>
          </w:p>
        </w:tc>
        <w:tc>
          <w:tcPr>
            <w:tcW w:w="1801" w:type="dxa"/>
            <w:tcBorders>
              <w:top w:val="single" w:sz="4" w:space="0" w:color="auto"/>
              <w:left w:val="nil"/>
              <w:bottom w:val="single" w:sz="4" w:space="0" w:color="auto"/>
              <w:right w:val="double" w:sz="6" w:space="0" w:color="auto"/>
            </w:tcBorders>
            <w:shd w:val="clear" w:color="auto" w:fill="auto"/>
          </w:tcPr>
          <w:p w14:paraId="163CEC28" w14:textId="77777777" w:rsidR="006D2F5F" w:rsidRPr="00DD47DF" w:rsidRDefault="006D2F5F" w:rsidP="006D2F5F">
            <w:pPr>
              <w:pStyle w:val="Tabulka"/>
              <w:jc w:val="left"/>
              <w:rPr>
                <w:rFonts w:cs="Calibri"/>
              </w:rPr>
            </w:pPr>
            <w:r w:rsidRPr="00DD47DF">
              <w:rPr>
                <w:rFonts w:cs="Calibri"/>
              </w:rPr>
              <w:t>Do 30.6.2015</w:t>
            </w:r>
          </w:p>
        </w:tc>
        <w:tc>
          <w:tcPr>
            <w:tcW w:w="0" w:type="auto"/>
            <w:tcBorders>
              <w:top w:val="single" w:sz="4" w:space="0" w:color="auto"/>
              <w:left w:val="nil"/>
              <w:bottom w:val="single" w:sz="4" w:space="0" w:color="auto"/>
              <w:right w:val="single" w:sz="8" w:space="0" w:color="auto"/>
            </w:tcBorders>
            <w:shd w:val="clear" w:color="auto" w:fill="auto"/>
          </w:tcPr>
          <w:p w14:paraId="3A3C8922" w14:textId="77777777" w:rsidR="006D2F5F" w:rsidRPr="00DD47DF" w:rsidRDefault="006D2F5F" w:rsidP="006D2F5F">
            <w:pPr>
              <w:pStyle w:val="Tabulka"/>
              <w:jc w:val="left"/>
              <w:rPr>
                <w:rFonts w:cs="Calibri"/>
              </w:rPr>
            </w:pPr>
            <w:r w:rsidRPr="00DD47DF">
              <w:rPr>
                <w:rFonts w:cs="Calibri"/>
              </w:rPr>
              <w:t>MPSV</w:t>
            </w:r>
          </w:p>
          <w:p w14:paraId="3F65A595" w14:textId="77777777" w:rsidR="006D2F5F" w:rsidRPr="00DD47DF" w:rsidRDefault="006D2F5F" w:rsidP="006D2F5F">
            <w:pPr>
              <w:pStyle w:val="Tabulka"/>
              <w:jc w:val="left"/>
              <w:rPr>
                <w:rFonts w:cs="Calibri"/>
              </w:rPr>
            </w:pPr>
            <w:r w:rsidRPr="00DD47DF">
              <w:rPr>
                <w:rFonts w:cs="Calibri"/>
              </w:rPr>
              <w:t xml:space="preserve">MŠMT </w:t>
            </w:r>
          </w:p>
        </w:tc>
      </w:tr>
      <w:tr w:rsidR="007414AD" w:rsidRPr="00DD47DF" w14:paraId="7AEC967E" w14:textId="77777777" w:rsidTr="00BD2266">
        <w:trPr>
          <w:trHeight w:val="4048"/>
        </w:trPr>
        <w:tc>
          <w:tcPr>
            <w:tcW w:w="0" w:type="auto"/>
            <w:vMerge/>
            <w:tcBorders>
              <w:left w:val="single" w:sz="8" w:space="0" w:color="auto"/>
              <w:right w:val="single" w:sz="4" w:space="0" w:color="auto"/>
            </w:tcBorders>
            <w:shd w:val="clear" w:color="auto" w:fill="auto"/>
          </w:tcPr>
          <w:p w14:paraId="1CDC5B0B" w14:textId="77777777" w:rsidR="007414AD" w:rsidRPr="00DD47DF" w:rsidRDefault="007414AD" w:rsidP="006D2F5F">
            <w:pPr>
              <w:pStyle w:val="Tabulka"/>
              <w:rPr>
                <w:rFonts w:cs="Calibri"/>
                <w:b/>
              </w:rPr>
            </w:pPr>
          </w:p>
        </w:tc>
        <w:tc>
          <w:tcPr>
            <w:tcW w:w="0" w:type="auto"/>
            <w:vMerge/>
            <w:tcBorders>
              <w:left w:val="nil"/>
              <w:bottom w:val="single" w:sz="4" w:space="0" w:color="auto"/>
              <w:right w:val="single" w:sz="4" w:space="0" w:color="auto"/>
            </w:tcBorders>
            <w:shd w:val="clear" w:color="auto" w:fill="auto"/>
          </w:tcPr>
          <w:p w14:paraId="4C9D77E8" w14:textId="77777777" w:rsidR="007414AD" w:rsidRPr="00DD47DF" w:rsidRDefault="007414AD" w:rsidP="006D2F5F">
            <w:pPr>
              <w:pStyle w:val="Tabulka"/>
              <w:jc w:val="left"/>
              <w:rPr>
                <w:rFonts w:cs="Calibri"/>
              </w:rPr>
            </w:pPr>
          </w:p>
        </w:tc>
        <w:tc>
          <w:tcPr>
            <w:tcW w:w="6946" w:type="dxa"/>
            <w:tcBorders>
              <w:top w:val="nil"/>
              <w:left w:val="double" w:sz="6" w:space="0" w:color="auto"/>
              <w:bottom w:val="single" w:sz="4" w:space="0" w:color="auto"/>
              <w:right w:val="double" w:sz="6" w:space="0" w:color="auto"/>
            </w:tcBorders>
            <w:shd w:val="clear" w:color="auto" w:fill="auto"/>
          </w:tcPr>
          <w:p w14:paraId="500DE0FD" w14:textId="77777777" w:rsidR="007414AD" w:rsidRPr="00DD47DF" w:rsidRDefault="007414AD" w:rsidP="006D2F5F">
            <w:pPr>
              <w:pStyle w:val="Tabulka"/>
              <w:jc w:val="left"/>
            </w:pPr>
          </w:p>
        </w:tc>
        <w:tc>
          <w:tcPr>
            <w:tcW w:w="1801" w:type="dxa"/>
            <w:tcBorders>
              <w:top w:val="nil"/>
              <w:left w:val="nil"/>
              <w:bottom w:val="single" w:sz="4" w:space="0" w:color="auto"/>
              <w:right w:val="double" w:sz="6" w:space="0" w:color="auto"/>
            </w:tcBorders>
            <w:shd w:val="clear" w:color="auto" w:fill="auto"/>
          </w:tcPr>
          <w:p w14:paraId="3F7D1E5B" w14:textId="77777777" w:rsidR="007414AD" w:rsidRPr="00DD47DF" w:rsidRDefault="007414AD" w:rsidP="006D2F5F">
            <w:pPr>
              <w:pStyle w:val="Tabulka"/>
              <w:jc w:val="left"/>
              <w:rPr>
                <w:rFonts w:cs="Calibri"/>
              </w:rPr>
            </w:pPr>
          </w:p>
        </w:tc>
        <w:tc>
          <w:tcPr>
            <w:tcW w:w="0" w:type="auto"/>
            <w:tcBorders>
              <w:top w:val="nil"/>
              <w:left w:val="nil"/>
              <w:bottom w:val="single" w:sz="4" w:space="0" w:color="auto"/>
              <w:right w:val="single" w:sz="8" w:space="0" w:color="auto"/>
            </w:tcBorders>
            <w:shd w:val="clear" w:color="auto" w:fill="auto"/>
          </w:tcPr>
          <w:p w14:paraId="3E0257BC" w14:textId="77777777" w:rsidR="007414AD" w:rsidRPr="00DD47DF" w:rsidRDefault="007414AD" w:rsidP="006D2F5F">
            <w:pPr>
              <w:pStyle w:val="Tabulka"/>
              <w:jc w:val="left"/>
              <w:rPr>
                <w:rFonts w:cs="Calibri"/>
              </w:rPr>
            </w:pPr>
          </w:p>
        </w:tc>
      </w:tr>
      <w:tr w:rsidR="006D2F5F" w:rsidRPr="00DD47DF" w14:paraId="5B111E7F" w14:textId="77777777" w:rsidTr="00DD47DF">
        <w:trPr>
          <w:trHeight w:val="1214"/>
        </w:trPr>
        <w:tc>
          <w:tcPr>
            <w:tcW w:w="0" w:type="auto"/>
            <w:vMerge w:val="restart"/>
            <w:tcBorders>
              <w:top w:val="single" w:sz="4" w:space="0" w:color="auto"/>
              <w:left w:val="single" w:sz="8" w:space="0" w:color="auto"/>
              <w:right w:val="single" w:sz="4" w:space="0" w:color="auto"/>
            </w:tcBorders>
            <w:shd w:val="clear" w:color="auto" w:fill="auto"/>
          </w:tcPr>
          <w:p w14:paraId="61565FC0" w14:textId="77777777" w:rsidR="006D2F5F" w:rsidRPr="00DD47DF" w:rsidRDefault="006D2F5F" w:rsidP="006D2F5F">
            <w:pPr>
              <w:pStyle w:val="Tabulka"/>
              <w:jc w:val="left"/>
              <w:rPr>
                <w:rFonts w:cs="Calibri"/>
                <w:b/>
              </w:rPr>
            </w:pPr>
            <w:r w:rsidRPr="00DD47DF">
              <w:rPr>
                <w:rFonts w:cs="Calibri"/>
                <w:b/>
              </w:rPr>
              <w:t xml:space="preserve">2.2. Infrastruktura přístupových sítí nové generace: Existence celostátních nebo regionálních plánů přístupových sítí nové generace, které zohledňují regionální opatření k dosažení cílů Unie v oblasti vysokorychlostního přístupu k internetu se zaměřením na oblasti, kde trh není schopen poskytovat otevřenou infrastrukturu za </w:t>
            </w:r>
            <w:r w:rsidRPr="00DD47DF">
              <w:rPr>
                <w:rFonts w:cs="Calibri"/>
                <w:b/>
              </w:rPr>
              <w:lastRenderedPageBreak/>
              <w:t>dostupnou cenu a v odpovídající kvalitě v souladu s pravidly Unie pro hospodářskou soutěž a státní podpory, a poskytují dostupné služby zranitelným skupinám.</w:t>
            </w:r>
          </w:p>
        </w:tc>
        <w:tc>
          <w:tcPr>
            <w:tcW w:w="0" w:type="auto"/>
            <w:tcBorders>
              <w:top w:val="single" w:sz="4" w:space="0" w:color="auto"/>
              <w:left w:val="nil"/>
              <w:bottom w:val="single" w:sz="4" w:space="0" w:color="auto"/>
              <w:right w:val="single" w:sz="4" w:space="0" w:color="auto"/>
            </w:tcBorders>
            <w:shd w:val="clear" w:color="auto" w:fill="auto"/>
          </w:tcPr>
          <w:p w14:paraId="49A42BE1" w14:textId="77777777" w:rsidR="006D2F5F" w:rsidRPr="00DD47DF" w:rsidRDefault="006D2F5F" w:rsidP="006D2F5F">
            <w:pPr>
              <w:pStyle w:val="Tabulka"/>
              <w:jc w:val="left"/>
              <w:rPr>
                <w:rFonts w:cs="Calibri"/>
              </w:rPr>
            </w:pPr>
            <w:r w:rsidRPr="00DD47DF">
              <w:rPr>
                <w:rFonts w:cs="Calibri"/>
              </w:rPr>
              <w:lastRenderedPageBreak/>
              <w:t>Je vypracován celostátní nebo regionální plán přístupových sítí</w:t>
            </w:r>
            <w:r w:rsidR="00DD47DF">
              <w:rPr>
                <w:rFonts w:cs="Calibri"/>
              </w:rPr>
              <w:t xml:space="preserve"> nové generace, který obsahuje:</w:t>
            </w:r>
          </w:p>
        </w:tc>
        <w:tc>
          <w:tcPr>
            <w:tcW w:w="6946" w:type="dxa"/>
            <w:tcBorders>
              <w:top w:val="single" w:sz="4" w:space="0" w:color="auto"/>
              <w:left w:val="double" w:sz="6" w:space="0" w:color="auto"/>
              <w:bottom w:val="single" w:sz="4" w:space="0" w:color="auto"/>
              <w:right w:val="double" w:sz="6" w:space="0" w:color="auto"/>
            </w:tcBorders>
            <w:shd w:val="clear" w:color="auto" w:fill="auto"/>
          </w:tcPr>
          <w:p w14:paraId="3A343C7E" w14:textId="77777777" w:rsidR="006D2F5F" w:rsidRPr="00DD47DF" w:rsidRDefault="006D2F5F" w:rsidP="006D2F5F">
            <w:pPr>
              <w:pStyle w:val="Tabulka"/>
              <w:jc w:val="left"/>
              <w:rPr>
                <w:rFonts w:cs="Calibri"/>
              </w:rPr>
            </w:pPr>
            <w:r w:rsidRPr="00DD47DF">
              <w:rPr>
                <w:rFonts w:cs="Calibri"/>
              </w:rPr>
              <w:t>Zpracování Národního plánu rozvoje sítí nové generace.</w:t>
            </w:r>
          </w:p>
          <w:p w14:paraId="01017AE1" w14:textId="77777777" w:rsidR="006D2F5F" w:rsidRPr="00DD47DF" w:rsidRDefault="006D2F5F" w:rsidP="006D2F5F">
            <w:pPr>
              <w:pStyle w:val="Tabulka"/>
              <w:jc w:val="left"/>
              <w:rPr>
                <w:rFonts w:cs="Calibri"/>
              </w:rPr>
            </w:pPr>
          </w:p>
        </w:tc>
        <w:tc>
          <w:tcPr>
            <w:tcW w:w="1801" w:type="dxa"/>
            <w:tcBorders>
              <w:top w:val="single" w:sz="4" w:space="0" w:color="auto"/>
              <w:left w:val="nil"/>
              <w:bottom w:val="single" w:sz="4" w:space="0" w:color="auto"/>
              <w:right w:val="double" w:sz="6" w:space="0" w:color="auto"/>
            </w:tcBorders>
            <w:shd w:val="clear" w:color="auto" w:fill="auto"/>
          </w:tcPr>
          <w:p w14:paraId="30D3B9B2" w14:textId="77777777" w:rsidR="006D2F5F" w:rsidRPr="00DD47DF" w:rsidRDefault="002D0399" w:rsidP="006D2F5F">
            <w:pPr>
              <w:pStyle w:val="Tabulka"/>
              <w:jc w:val="left"/>
              <w:rPr>
                <w:rFonts w:cs="Calibri"/>
              </w:rPr>
            </w:pPr>
            <w:r>
              <w:rPr>
                <w:rFonts w:cs="Calibri"/>
              </w:rPr>
              <w:t>30.</w:t>
            </w:r>
            <w:r w:rsidR="00A60930" w:rsidRPr="00DD47DF">
              <w:rPr>
                <w:rFonts w:cs="Calibri"/>
              </w:rPr>
              <w:t>6</w:t>
            </w:r>
            <w:r>
              <w:rPr>
                <w:rFonts w:cs="Calibri"/>
              </w:rPr>
              <w:t>.</w:t>
            </w:r>
            <w:r w:rsidR="006D2F5F" w:rsidRPr="00DD47DF">
              <w:rPr>
                <w:rFonts w:cs="Calibri"/>
              </w:rPr>
              <w:t>2015</w:t>
            </w:r>
          </w:p>
          <w:p w14:paraId="45879EBB" w14:textId="77777777" w:rsidR="006D2F5F" w:rsidRPr="00DD47DF" w:rsidRDefault="006D2F5F" w:rsidP="006D2F5F">
            <w:pPr>
              <w:pStyle w:val="Tabulka"/>
              <w:jc w:val="left"/>
              <w:rPr>
                <w:rFonts w:cs="Calibri"/>
              </w:rPr>
            </w:pPr>
          </w:p>
          <w:p w14:paraId="7EE152B2" w14:textId="77777777" w:rsidR="006D2F5F" w:rsidRPr="00DD47DF" w:rsidRDefault="006D2F5F" w:rsidP="006D2F5F">
            <w:pPr>
              <w:pStyle w:val="Tabulka"/>
              <w:jc w:val="left"/>
              <w:rPr>
                <w:rFonts w:cs="Calibri"/>
              </w:rPr>
            </w:pPr>
          </w:p>
        </w:tc>
        <w:tc>
          <w:tcPr>
            <w:tcW w:w="0" w:type="auto"/>
            <w:tcBorders>
              <w:top w:val="single" w:sz="4" w:space="0" w:color="auto"/>
              <w:left w:val="nil"/>
              <w:bottom w:val="single" w:sz="4" w:space="0" w:color="auto"/>
              <w:right w:val="single" w:sz="8" w:space="0" w:color="auto"/>
            </w:tcBorders>
            <w:shd w:val="clear" w:color="auto" w:fill="auto"/>
          </w:tcPr>
          <w:p w14:paraId="252E6842" w14:textId="77777777" w:rsidR="006D2F5F" w:rsidRPr="00DD47DF" w:rsidRDefault="006D2F5F" w:rsidP="006D2F5F">
            <w:pPr>
              <w:pStyle w:val="Tabulka"/>
              <w:jc w:val="left"/>
              <w:rPr>
                <w:rFonts w:cs="Calibri"/>
              </w:rPr>
            </w:pPr>
            <w:r w:rsidRPr="00DD47DF">
              <w:rPr>
                <w:rFonts w:cs="Calibri"/>
              </w:rPr>
              <w:t>MPO</w:t>
            </w:r>
          </w:p>
          <w:p w14:paraId="00626D8B" w14:textId="77777777" w:rsidR="006D2F5F" w:rsidRPr="00DD47DF" w:rsidRDefault="006D2F5F">
            <w:pPr>
              <w:pStyle w:val="Tabulka"/>
              <w:jc w:val="left"/>
              <w:rPr>
                <w:rFonts w:cs="Calibri"/>
              </w:rPr>
            </w:pPr>
          </w:p>
        </w:tc>
      </w:tr>
      <w:tr w:rsidR="006D2F5F" w:rsidRPr="00DD47DF" w14:paraId="7762B7C0" w14:textId="77777777" w:rsidTr="00DD47DF">
        <w:trPr>
          <w:trHeight w:val="660"/>
        </w:trPr>
        <w:tc>
          <w:tcPr>
            <w:tcW w:w="0" w:type="auto"/>
            <w:vMerge/>
            <w:tcBorders>
              <w:left w:val="single" w:sz="8" w:space="0" w:color="auto"/>
              <w:right w:val="single" w:sz="4" w:space="0" w:color="auto"/>
            </w:tcBorders>
            <w:shd w:val="clear" w:color="auto" w:fill="auto"/>
          </w:tcPr>
          <w:p w14:paraId="3ACBE666" w14:textId="77777777" w:rsidR="006D2F5F" w:rsidRPr="00DD47DF" w:rsidRDefault="006D2F5F" w:rsidP="006D2F5F">
            <w:pPr>
              <w:pStyle w:val="Tabulka"/>
              <w:jc w:val="left"/>
              <w:rPr>
                <w:rFonts w:cs="Calibri"/>
                <w:b/>
              </w:rPr>
            </w:pPr>
          </w:p>
        </w:tc>
        <w:tc>
          <w:tcPr>
            <w:tcW w:w="0" w:type="auto"/>
            <w:tcBorders>
              <w:top w:val="single" w:sz="4" w:space="0" w:color="auto"/>
              <w:left w:val="nil"/>
              <w:bottom w:val="single" w:sz="4" w:space="0" w:color="auto"/>
              <w:right w:val="single" w:sz="4" w:space="0" w:color="auto"/>
            </w:tcBorders>
            <w:shd w:val="clear" w:color="auto" w:fill="auto"/>
          </w:tcPr>
          <w:p w14:paraId="3B52AD5F" w14:textId="77777777" w:rsidR="006D2F5F" w:rsidRPr="00DD47DF" w:rsidRDefault="006D2F5F" w:rsidP="006D2F5F">
            <w:pPr>
              <w:pStyle w:val="Tabulka"/>
              <w:jc w:val="left"/>
              <w:rPr>
                <w:rFonts w:cs="Calibri"/>
              </w:rPr>
            </w:pPr>
            <w:r w:rsidRPr="00DD47DF">
              <w:rPr>
                <w:rFonts w:cs="Calibri"/>
              </w:rPr>
              <w:t xml:space="preserve">• plán investic do infrastruktury vycházející z ekonomické analýzy a zohledňující stávající infrastrukturu a </w:t>
            </w:r>
            <w:r w:rsidRPr="00DD47DF">
              <w:rPr>
                <w:rFonts w:cs="Calibri"/>
              </w:rPr>
              <w:lastRenderedPageBreak/>
              <w:t>plánované investice,</w:t>
            </w:r>
          </w:p>
        </w:tc>
        <w:tc>
          <w:tcPr>
            <w:tcW w:w="6946" w:type="dxa"/>
            <w:tcBorders>
              <w:top w:val="nil"/>
              <w:left w:val="double" w:sz="6" w:space="0" w:color="auto"/>
              <w:bottom w:val="single" w:sz="4" w:space="0" w:color="auto"/>
              <w:right w:val="double" w:sz="6" w:space="0" w:color="auto"/>
            </w:tcBorders>
            <w:shd w:val="clear" w:color="auto" w:fill="auto"/>
          </w:tcPr>
          <w:p w14:paraId="6DD1F8F0" w14:textId="77777777" w:rsidR="006D2F5F" w:rsidRPr="00DD47DF" w:rsidRDefault="006D2F5F" w:rsidP="006D2F5F">
            <w:pPr>
              <w:pStyle w:val="Tabulka"/>
              <w:jc w:val="left"/>
              <w:rPr>
                <w:rFonts w:cs="Calibri"/>
              </w:rPr>
            </w:pPr>
            <w:r w:rsidRPr="00DD47DF">
              <w:rPr>
                <w:rFonts w:cs="Calibri"/>
              </w:rPr>
              <w:lastRenderedPageBreak/>
              <w:t>Zpracování Národního plánu rozvoje sítí nové generace.</w:t>
            </w:r>
          </w:p>
          <w:p w14:paraId="2B4810D1" w14:textId="77777777" w:rsidR="006D2F5F" w:rsidRPr="00DD47DF" w:rsidRDefault="006D2F5F" w:rsidP="006D2F5F">
            <w:pPr>
              <w:pStyle w:val="Tabulka"/>
              <w:jc w:val="left"/>
              <w:rPr>
                <w:rFonts w:cs="Calibri"/>
              </w:rPr>
            </w:pPr>
          </w:p>
        </w:tc>
        <w:tc>
          <w:tcPr>
            <w:tcW w:w="1801" w:type="dxa"/>
            <w:tcBorders>
              <w:top w:val="nil"/>
              <w:left w:val="nil"/>
              <w:bottom w:val="single" w:sz="4" w:space="0" w:color="auto"/>
              <w:right w:val="double" w:sz="6" w:space="0" w:color="auto"/>
            </w:tcBorders>
            <w:shd w:val="clear" w:color="auto" w:fill="auto"/>
          </w:tcPr>
          <w:p w14:paraId="06B9DEB2" w14:textId="77777777" w:rsidR="006D2F5F" w:rsidRPr="00DD47DF" w:rsidRDefault="002D0399" w:rsidP="006D2F5F">
            <w:pPr>
              <w:pStyle w:val="Tabulka"/>
              <w:jc w:val="left"/>
              <w:rPr>
                <w:rFonts w:cs="Calibri"/>
              </w:rPr>
            </w:pPr>
            <w:r>
              <w:rPr>
                <w:rFonts w:cs="Calibri"/>
              </w:rPr>
              <w:t>30.</w:t>
            </w:r>
            <w:r w:rsidRPr="00DD47DF">
              <w:rPr>
                <w:rFonts w:cs="Calibri"/>
              </w:rPr>
              <w:t>6</w:t>
            </w:r>
            <w:r>
              <w:rPr>
                <w:rFonts w:cs="Calibri"/>
              </w:rPr>
              <w:t>.</w:t>
            </w:r>
            <w:r w:rsidRPr="00DD47DF">
              <w:rPr>
                <w:rFonts w:cs="Calibri"/>
              </w:rPr>
              <w:t>2015</w:t>
            </w:r>
          </w:p>
        </w:tc>
        <w:tc>
          <w:tcPr>
            <w:tcW w:w="0" w:type="auto"/>
            <w:tcBorders>
              <w:top w:val="nil"/>
              <w:left w:val="nil"/>
              <w:bottom w:val="single" w:sz="4" w:space="0" w:color="auto"/>
              <w:right w:val="single" w:sz="8" w:space="0" w:color="auto"/>
            </w:tcBorders>
            <w:shd w:val="clear" w:color="auto" w:fill="auto"/>
          </w:tcPr>
          <w:p w14:paraId="23A1120E" w14:textId="77777777" w:rsidR="006D2F5F" w:rsidRPr="00DD47DF" w:rsidRDefault="006D2F5F" w:rsidP="006D2F5F">
            <w:pPr>
              <w:pStyle w:val="Tabulka"/>
              <w:jc w:val="left"/>
              <w:rPr>
                <w:rFonts w:cs="Calibri"/>
              </w:rPr>
            </w:pPr>
            <w:r w:rsidRPr="00DD47DF">
              <w:rPr>
                <w:rFonts w:cs="Calibri"/>
              </w:rPr>
              <w:t>MPO</w:t>
            </w:r>
          </w:p>
          <w:p w14:paraId="753E702F" w14:textId="77777777" w:rsidR="006D2F5F" w:rsidRPr="00DD47DF" w:rsidRDefault="006D2F5F" w:rsidP="006D2F5F">
            <w:pPr>
              <w:pStyle w:val="Tabulka"/>
              <w:jc w:val="left"/>
              <w:rPr>
                <w:rFonts w:cs="Calibri"/>
              </w:rPr>
            </w:pPr>
          </w:p>
        </w:tc>
      </w:tr>
      <w:tr w:rsidR="00DD47DF" w:rsidRPr="00DD47DF" w14:paraId="684A5EAB" w14:textId="77777777" w:rsidTr="001C2A07">
        <w:trPr>
          <w:trHeight w:val="3662"/>
        </w:trPr>
        <w:tc>
          <w:tcPr>
            <w:tcW w:w="0" w:type="auto"/>
            <w:vMerge/>
            <w:tcBorders>
              <w:left w:val="single" w:sz="8" w:space="0" w:color="auto"/>
              <w:right w:val="single" w:sz="4" w:space="0" w:color="auto"/>
            </w:tcBorders>
            <w:shd w:val="clear" w:color="auto" w:fill="auto"/>
          </w:tcPr>
          <w:p w14:paraId="21304A8C" w14:textId="77777777" w:rsidR="00DD47DF" w:rsidRPr="00DD47DF" w:rsidRDefault="00DD47DF" w:rsidP="006D2F5F">
            <w:pPr>
              <w:pStyle w:val="Tabulka"/>
              <w:jc w:val="left"/>
              <w:rPr>
                <w:rFonts w:cs="Calibri"/>
                <w:b/>
              </w:rPr>
            </w:pPr>
          </w:p>
        </w:tc>
        <w:tc>
          <w:tcPr>
            <w:tcW w:w="0" w:type="auto"/>
            <w:tcBorders>
              <w:top w:val="single" w:sz="4" w:space="0" w:color="auto"/>
              <w:left w:val="nil"/>
              <w:right w:val="single" w:sz="4" w:space="0" w:color="auto"/>
            </w:tcBorders>
            <w:shd w:val="clear" w:color="auto" w:fill="auto"/>
          </w:tcPr>
          <w:p w14:paraId="54A891D5" w14:textId="77777777" w:rsidR="00DD47DF" w:rsidRPr="00DD47DF" w:rsidRDefault="00DD47DF" w:rsidP="006D2F5F">
            <w:pPr>
              <w:pStyle w:val="Tabulka"/>
              <w:jc w:val="left"/>
              <w:rPr>
                <w:rFonts w:cs="Calibri"/>
              </w:rPr>
            </w:pPr>
            <w:r w:rsidRPr="00DD47DF">
              <w:rPr>
                <w:rFonts w:cs="Calibri"/>
              </w:rPr>
              <w:t>• modely udržitelných investic, které posilují hospodářskou soutěž a zajišťují přístup k otevřeným, cenově dostupným, kvalitním a progresivním infrastrukturám a službám,</w:t>
            </w:r>
          </w:p>
        </w:tc>
        <w:tc>
          <w:tcPr>
            <w:tcW w:w="6946" w:type="dxa"/>
            <w:tcBorders>
              <w:top w:val="single" w:sz="4" w:space="0" w:color="auto"/>
              <w:left w:val="double" w:sz="6" w:space="0" w:color="auto"/>
              <w:right w:val="double" w:sz="6" w:space="0" w:color="auto"/>
            </w:tcBorders>
            <w:shd w:val="clear" w:color="auto" w:fill="auto"/>
          </w:tcPr>
          <w:p w14:paraId="61EF8253" w14:textId="77777777" w:rsidR="00DD47DF" w:rsidRPr="00DD47DF" w:rsidRDefault="00DD47DF" w:rsidP="006D2F5F">
            <w:pPr>
              <w:pStyle w:val="Tabulka"/>
              <w:jc w:val="left"/>
              <w:rPr>
                <w:rFonts w:cs="Calibri"/>
              </w:rPr>
            </w:pPr>
            <w:r w:rsidRPr="00DD47DF">
              <w:rPr>
                <w:rFonts w:cs="Calibri"/>
              </w:rPr>
              <w:t>Zpracování Národního plánu rozvoje sítí nové generace.</w:t>
            </w:r>
          </w:p>
          <w:p w14:paraId="3C67A436" w14:textId="77777777" w:rsidR="00DD47DF" w:rsidRPr="00DD47DF" w:rsidRDefault="00DD47DF" w:rsidP="006D2F5F">
            <w:pPr>
              <w:pStyle w:val="Tabulka"/>
              <w:jc w:val="left"/>
              <w:rPr>
                <w:rFonts w:cs="Calibri"/>
              </w:rPr>
            </w:pPr>
          </w:p>
        </w:tc>
        <w:tc>
          <w:tcPr>
            <w:tcW w:w="1801" w:type="dxa"/>
            <w:tcBorders>
              <w:top w:val="single" w:sz="4" w:space="0" w:color="auto"/>
              <w:left w:val="nil"/>
              <w:right w:val="double" w:sz="6" w:space="0" w:color="auto"/>
            </w:tcBorders>
            <w:shd w:val="clear" w:color="auto" w:fill="auto"/>
          </w:tcPr>
          <w:p w14:paraId="6F138155" w14:textId="77777777" w:rsidR="00DD47DF" w:rsidRPr="00DD47DF" w:rsidRDefault="002D0399" w:rsidP="006D2F5F">
            <w:pPr>
              <w:pStyle w:val="Tabulka"/>
              <w:jc w:val="left"/>
              <w:rPr>
                <w:rFonts w:cs="Calibri"/>
              </w:rPr>
            </w:pPr>
            <w:r>
              <w:rPr>
                <w:rFonts w:cs="Calibri"/>
              </w:rPr>
              <w:t>30.</w:t>
            </w:r>
            <w:r w:rsidRPr="00DD47DF">
              <w:rPr>
                <w:rFonts w:cs="Calibri"/>
              </w:rPr>
              <w:t>6</w:t>
            </w:r>
            <w:r>
              <w:rPr>
                <w:rFonts w:cs="Calibri"/>
              </w:rPr>
              <w:t>.</w:t>
            </w:r>
            <w:r w:rsidRPr="00DD47DF">
              <w:rPr>
                <w:rFonts w:cs="Calibri"/>
              </w:rPr>
              <w:t>2015</w:t>
            </w:r>
          </w:p>
          <w:p w14:paraId="5A55924A" w14:textId="77777777" w:rsidR="00DD47DF" w:rsidRPr="00DD47DF" w:rsidRDefault="00DD47DF" w:rsidP="006D2F5F">
            <w:pPr>
              <w:pStyle w:val="Tabulka"/>
              <w:jc w:val="left"/>
              <w:rPr>
                <w:rFonts w:cs="Calibri"/>
              </w:rPr>
            </w:pPr>
          </w:p>
          <w:p w14:paraId="1FD9F6D4" w14:textId="77777777" w:rsidR="00DD47DF" w:rsidRPr="00DD47DF" w:rsidRDefault="00DD47DF" w:rsidP="006D2F5F">
            <w:pPr>
              <w:pStyle w:val="Tabulka"/>
              <w:jc w:val="left"/>
              <w:rPr>
                <w:rFonts w:cs="Calibri"/>
              </w:rPr>
            </w:pPr>
          </w:p>
        </w:tc>
        <w:tc>
          <w:tcPr>
            <w:tcW w:w="0" w:type="auto"/>
            <w:tcBorders>
              <w:top w:val="single" w:sz="4" w:space="0" w:color="auto"/>
              <w:left w:val="nil"/>
              <w:right w:val="single" w:sz="8" w:space="0" w:color="auto"/>
            </w:tcBorders>
            <w:shd w:val="clear" w:color="auto" w:fill="auto"/>
          </w:tcPr>
          <w:p w14:paraId="07DEE39C" w14:textId="77777777" w:rsidR="00DD47DF" w:rsidRPr="00DD47DF" w:rsidRDefault="00DD47DF" w:rsidP="006D2F5F">
            <w:pPr>
              <w:pStyle w:val="Tabulka"/>
              <w:jc w:val="left"/>
              <w:rPr>
                <w:rFonts w:cs="Calibri"/>
              </w:rPr>
            </w:pPr>
            <w:r w:rsidRPr="00DD47DF">
              <w:rPr>
                <w:rFonts w:cs="Calibri"/>
              </w:rPr>
              <w:t>MPO</w:t>
            </w:r>
          </w:p>
          <w:p w14:paraId="0CCE7AD1" w14:textId="77777777" w:rsidR="00DD47DF" w:rsidRPr="00DD47DF" w:rsidRDefault="00DD47DF" w:rsidP="001C2A07">
            <w:pPr>
              <w:pStyle w:val="Tabulka"/>
              <w:jc w:val="left"/>
              <w:rPr>
                <w:rFonts w:cs="Calibri"/>
              </w:rPr>
            </w:pPr>
          </w:p>
        </w:tc>
      </w:tr>
      <w:tr w:rsidR="006D2F5F" w:rsidRPr="00DD47DF" w14:paraId="5027C4ED" w14:textId="77777777" w:rsidTr="00437632">
        <w:trPr>
          <w:trHeight w:val="364"/>
        </w:trPr>
        <w:tc>
          <w:tcPr>
            <w:tcW w:w="0" w:type="auto"/>
            <w:vMerge/>
            <w:tcBorders>
              <w:left w:val="single" w:sz="8" w:space="0" w:color="auto"/>
              <w:bottom w:val="single" w:sz="4" w:space="0" w:color="000000"/>
              <w:right w:val="single" w:sz="4" w:space="0" w:color="auto"/>
            </w:tcBorders>
            <w:shd w:val="clear" w:color="auto" w:fill="auto"/>
          </w:tcPr>
          <w:p w14:paraId="081EAF8D" w14:textId="77777777" w:rsidR="006D2F5F" w:rsidRPr="00DD47DF" w:rsidRDefault="006D2F5F" w:rsidP="006D2F5F">
            <w:pPr>
              <w:pStyle w:val="Tabulka"/>
              <w:jc w:val="left"/>
              <w:rPr>
                <w:rFonts w:cs="Calibri"/>
                <w:b/>
              </w:rPr>
            </w:pPr>
          </w:p>
        </w:tc>
        <w:tc>
          <w:tcPr>
            <w:tcW w:w="0" w:type="auto"/>
            <w:tcBorders>
              <w:top w:val="single" w:sz="4" w:space="0" w:color="auto"/>
              <w:left w:val="single" w:sz="4" w:space="0" w:color="auto"/>
              <w:right w:val="double" w:sz="6" w:space="0" w:color="auto"/>
            </w:tcBorders>
            <w:shd w:val="clear" w:color="auto" w:fill="auto"/>
          </w:tcPr>
          <w:p w14:paraId="1C415724" w14:textId="77777777" w:rsidR="006D2F5F" w:rsidRPr="00DD47DF" w:rsidRDefault="006D2F5F" w:rsidP="00F91E8F">
            <w:pPr>
              <w:pStyle w:val="Tabulka"/>
              <w:numPr>
                <w:ilvl w:val="0"/>
                <w:numId w:val="80"/>
              </w:numPr>
              <w:ind w:left="234" w:hanging="200"/>
              <w:jc w:val="left"/>
              <w:rPr>
                <w:rFonts w:cs="Calibri"/>
              </w:rPr>
            </w:pPr>
            <w:r w:rsidRPr="00DD47DF">
              <w:rPr>
                <w:rFonts w:cs="Calibri"/>
              </w:rPr>
              <w:t>opatření k podnícení soukromých investic</w:t>
            </w:r>
          </w:p>
        </w:tc>
        <w:tc>
          <w:tcPr>
            <w:tcW w:w="6946" w:type="dxa"/>
            <w:tcBorders>
              <w:top w:val="single" w:sz="4" w:space="0" w:color="auto"/>
              <w:left w:val="nil"/>
              <w:right w:val="double" w:sz="6" w:space="0" w:color="auto"/>
            </w:tcBorders>
            <w:shd w:val="clear" w:color="auto" w:fill="auto"/>
          </w:tcPr>
          <w:p w14:paraId="11B8CC49" w14:textId="77777777" w:rsidR="006D2F5F" w:rsidRPr="00DD47DF" w:rsidRDefault="006D2F5F" w:rsidP="006D2F5F">
            <w:pPr>
              <w:pStyle w:val="Tabulka"/>
              <w:jc w:val="left"/>
              <w:rPr>
                <w:rFonts w:cs="Calibri"/>
              </w:rPr>
            </w:pPr>
            <w:r w:rsidRPr="00DD47DF">
              <w:rPr>
                <w:rFonts w:cs="Calibri"/>
              </w:rPr>
              <w:t>Zpracování Národního plánu rozvoje sítí nové generace.</w:t>
            </w:r>
          </w:p>
          <w:p w14:paraId="7981B594" w14:textId="77777777" w:rsidR="006D2F5F" w:rsidRPr="00DD47DF" w:rsidRDefault="006D2F5F" w:rsidP="006D2F5F">
            <w:pPr>
              <w:pStyle w:val="Tabulka"/>
              <w:jc w:val="left"/>
              <w:rPr>
                <w:rFonts w:cs="Calibri"/>
              </w:rPr>
            </w:pPr>
          </w:p>
        </w:tc>
        <w:tc>
          <w:tcPr>
            <w:tcW w:w="1801" w:type="dxa"/>
            <w:tcBorders>
              <w:top w:val="single" w:sz="4" w:space="0" w:color="auto"/>
              <w:left w:val="nil"/>
              <w:right w:val="double" w:sz="6" w:space="0" w:color="auto"/>
            </w:tcBorders>
            <w:shd w:val="clear" w:color="auto" w:fill="auto"/>
          </w:tcPr>
          <w:p w14:paraId="001FDD4A" w14:textId="77777777" w:rsidR="006D2F5F" w:rsidRPr="00DD47DF" w:rsidRDefault="002D0399" w:rsidP="006D2F5F">
            <w:pPr>
              <w:pStyle w:val="Tabulka"/>
              <w:jc w:val="left"/>
              <w:rPr>
                <w:rFonts w:cs="Calibri"/>
              </w:rPr>
            </w:pPr>
            <w:r>
              <w:rPr>
                <w:rFonts w:cs="Calibri"/>
              </w:rPr>
              <w:t>30.</w:t>
            </w:r>
            <w:r w:rsidRPr="00DD47DF">
              <w:rPr>
                <w:rFonts w:cs="Calibri"/>
              </w:rPr>
              <w:t>6</w:t>
            </w:r>
            <w:r>
              <w:rPr>
                <w:rFonts w:cs="Calibri"/>
              </w:rPr>
              <w:t>.</w:t>
            </w:r>
            <w:r w:rsidRPr="00DD47DF">
              <w:rPr>
                <w:rFonts w:cs="Calibri"/>
              </w:rPr>
              <w:t>2015</w:t>
            </w:r>
          </w:p>
          <w:p w14:paraId="6179105C" w14:textId="77777777" w:rsidR="006D2F5F" w:rsidRPr="00DD47DF" w:rsidRDefault="006D2F5F" w:rsidP="006D2F5F">
            <w:pPr>
              <w:pStyle w:val="Tabulka"/>
              <w:jc w:val="left"/>
              <w:rPr>
                <w:rFonts w:cs="Calibri"/>
              </w:rPr>
            </w:pPr>
          </w:p>
          <w:p w14:paraId="7C758744" w14:textId="77777777" w:rsidR="006D2F5F" w:rsidRPr="00DD47DF" w:rsidRDefault="006D2F5F" w:rsidP="006D2F5F">
            <w:pPr>
              <w:pStyle w:val="Tabulka"/>
              <w:jc w:val="left"/>
              <w:rPr>
                <w:rFonts w:cs="Calibri"/>
              </w:rPr>
            </w:pPr>
          </w:p>
        </w:tc>
        <w:tc>
          <w:tcPr>
            <w:tcW w:w="0" w:type="auto"/>
            <w:tcBorders>
              <w:top w:val="single" w:sz="4" w:space="0" w:color="auto"/>
              <w:left w:val="nil"/>
              <w:right w:val="single" w:sz="8" w:space="0" w:color="auto"/>
            </w:tcBorders>
            <w:shd w:val="clear" w:color="auto" w:fill="auto"/>
          </w:tcPr>
          <w:p w14:paraId="43D32EDE" w14:textId="77777777" w:rsidR="006D2F5F" w:rsidRPr="00DD47DF" w:rsidRDefault="006D2F5F" w:rsidP="006D2F5F">
            <w:pPr>
              <w:pStyle w:val="Tabulka"/>
              <w:spacing w:before="0" w:after="0"/>
              <w:jc w:val="left"/>
              <w:rPr>
                <w:rFonts w:cs="Calibri"/>
              </w:rPr>
            </w:pPr>
            <w:r w:rsidRPr="00DD47DF">
              <w:rPr>
                <w:rFonts w:cs="Calibri"/>
              </w:rPr>
              <w:t>MPO</w:t>
            </w:r>
          </w:p>
          <w:p w14:paraId="17B9DB89" w14:textId="77777777" w:rsidR="006D2F5F" w:rsidRPr="00DD47DF" w:rsidRDefault="006D2F5F" w:rsidP="005B5EFF">
            <w:pPr>
              <w:pStyle w:val="Tabulka"/>
              <w:spacing w:before="0" w:after="0"/>
              <w:jc w:val="left"/>
              <w:rPr>
                <w:rFonts w:cs="Calibri"/>
              </w:rPr>
            </w:pPr>
          </w:p>
        </w:tc>
      </w:tr>
      <w:tr w:rsidR="006D2F5F" w:rsidRPr="00DD47DF" w14:paraId="0840CE23" w14:textId="77777777" w:rsidTr="00437632">
        <w:trPr>
          <w:trHeight w:val="364"/>
        </w:trPr>
        <w:tc>
          <w:tcPr>
            <w:tcW w:w="0" w:type="auto"/>
            <w:tcBorders>
              <w:top w:val="nil"/>
              <w:left w:val="single" w:sz="8" w:space="0" w:color="auto"/>
              <w:bottom w:val="single" w:sz="4" w:space="0" w:color="000000"/>
              <w:right w:val="double" w:sz="6" w:space="0" w:color="auto"/>
            </w:tcBorders>
            <w:shd w:val="clear" w:color="auto" w:fill="auto"/>
          </w:tcPr>
          <w:p w14:paraId="20BA8DBE" w14:textId="77777777" w:rsidR="006D2F5F" w:rsidRPr="00DD47DF" w:rsidRDefault="006D2F5F" w:rsidP="00917C08">
            <w:pPr>
              <w:pStyle w:val="Tabulka"/>
              <w:jc w:val="left"/>
              <w:rPr>
                <w:rFonts w:cs="Calibri"/>
                <w:b/>
              </w:rPr>
            </w:pPr>
            <w:r w:rsidRPr="00DD47DF">
              <w:rPr>
                <w:rFonts w:cs="Calibri"/>
                <w:b/>
              </w:rPr>
              <w:t xml:space="preserve">3.1. </w:t>
            </w:r>
            <w:r w:rsidR="00917C08" w:rsidRPr="00DD47DF">
              <w:rPr>
                <w:rFonts w:cs="Calibri"/>
                <w:b/>
              </w:rPr>
              <w:t>Byla provedena zvláštní opatření, o něž se opírá podpora podnikání, zohledňující „Small Business Act“ (SBA).</w:t>
            </w:r>
          </w:p>
        </w:tc>
        <w:tc>
          <w:tcPr>
            <w:tcW w:w="0" w:type="auto"/>
            <w:tcBorders>
              <w:top w:val="single" w:sz="4" w:space="0" w:color="auto"/>
              <w:left w:val="nil"/>
              <w:right w:val="double" w:sz="6" w:space="0" w:color="auto"/>
            </w:tcBorders>
            <w:shd w:val="clear" w:color="auto" w:fill="auto"/>
          </w:tcPr>
          <w:p w14:paraId="2FDC7D1A" w14:textId="77777777" w:rsidR="006D2F5F" w:rsidRPr="00DD47DF" w:rsidRDefault="006D2F5F" w:rsidP="006D2F5F">
            <w:pPr>
              <w:pStyle w:val="Tabulka"/>
              <w:jc w:val="left"/>
              <w:rPr>
                <w:rFonts w:cs="Calibri"/>
              </w:rPr>
            </w:pPr>
            <w:r w:rsidRPr="00DD47DF">
              <w:rPr>
                <w:rFonts w:cs="Calibri"/>
              </w:rPr>
              <w:t xml:space="preserve"> opatření zavedená s cílem zkrátit dobu potřebnou k založení firmy a snížit příslušné náklady, která zohledňují cíle SBA</w:t>
            </w:r>
          </w:p>
        </w:tc>
        <w:tc>
          <w:tcPr>
            <w:tcW w:w="6946" w:type="dxa"/>
            <w:tcBorders>
              <w:top w:val="single" w:sz="4" w:space="0" w:color="auto"/>
              <w:left w:val="nil"/>
              <w:right w:val="double" w:sz="6" w:space="0" w:color="auto"/>
            </w:tcBorders>
            <w:shd w:val="clear" w:color="auto" w:fill="auto"/>
          </w:tcPr>
          <w:p w14:paraId="38B8286F" w14:textId="77777777" w:rsidR="00C03599" w:rsidRPr="00DD47DF" w:rsidRDefault="006D2F5F" w:rsidP="00C03599">
            <w:pPr>
              <w:pStyle w:val="Tabulka"/>
              <w:jc w:val="left"/>
              <w:rPr>
                <w:rFonts w:cs="Calibri"/>
              </w:rPr>
            </w:pPr>
            <w:r w:rsidRPr="00DD47DF">
              <w:rPr>
                <w:rFonts w:cs="Calibri"/>
              </w:rPr>
              <w:t xml:space="preserve">Návrh legislativního řešení </w:t>
            </w:r>
            <w:r w:rsidR="003D49D0" w:rsidRPr="00DD47DF">
              <w:rPr>
                <w:rFonts w:cs="Calibri"/>
              </w:rPr>
              <w:t xml:space="preserve">osvobození od soudních poplatků a </w:t>
            </w:r>
            <w:r w:rsidRPr="00DD47DF">
              <w:rPr>
                <w:rFonts w:cs="Calibri"/>
              </w:rPr>
              <w:t>snížení odměny notáře za zakládání podniků (společností)</w:t>
            </w:r>
          </w:p>
          <w:p w14:paraId="0BF409F0" w14:textId="77777777" w:rsidR="006D2F5F" w:rsidRPr="00DD47DF" w:rsidRDefault="003D49D0" w:rsidP="006D2F5F">
            <w:pPr>
              <w:pStyle w:val="Tabulka"/>
              <w:jc w:val="left"/>
              <w:rPr>
                <w:rFonts w:cs="Calibri"/>
              </w:rPr>
            </w:pPr>
            <w:r w:rsidRPr="00DD47DF">
              <w:rPr>
                <w:rFonts w:cs="Calibri"/>
              </w:rPr>
              <w:t>Předložení návrhu novely vládě:</w:t>
            </w:r>
          </w:p>
          <w:p w14:paraId="2C2DE6F9" w14:textId="77777777" w:rsidR="003D49D0" w:rsidRPr="00DD47DF" w:rsidRDefault="003D49D0" w:rsidP="006D2F5F">
            <w:pPr>
              <w:pStyle w:val="Tabulka"/>
              <w:jc w:val="left"/>
              <w:rPr>
                <w:rFonts w:cs="Calibri"/>
              </w:rPr>
            </w:pPr>
            <w:r w:rsidRPr="00DD47DF">
              <w:rPr>
                <w:rFonts w:cs="Calibri"/>
              </w:rPr>
              <w:t>12/2014</w:t>
            </w:r>
          </w:p>
          <w:p w14:paraId="7802AD6E" w14:textId="77777777" w:rsidR="003D49D0" w:rsidRPr="00DD47DF" w:rsidRDefault="003D49D0" w:rsidP="006D2F5F">
            <w:pPr>
              <w:pStyle w:val="Tabulka"/>
              <w:jc w:val="left"/>
              <w:rPr>
                <w:rFonts w:cs="Calibri"/>
              </w:rPr>
            </w:pPr>
            <w:r w:rsidRPr="00DD47DF">
              <w:rPr>
                <w:rFonts w:cs="Calibri"/>
              </w:rPr>
              <w:t>Nabytí účinnosti novely:</w:t>
            </w:r>
          </w:p>
          <w:p w14:paraId="19C44009" w14:textId="77777777" w:rsidR="003D49D0" w:rsidRPr="00DD47DF" w:rsidRDefault="003D49D0" w:rsidP="006D2F5F">
            <w:pPr>
              <w:pStyle w:val="Tabulka"/>
              <w:jc w:val="left"/>
              <w:rPr>
                <w:rFonts w:cs="Calibri"/>
              </w:rPr>
            </w:pPr>
            <w:r w:rsidRPr="00DD47DF">
              <w:rPr>
                <w:rFonts w:cs="Calibri"/>
              </w:rPr>
              <w:t>10/2015</w:t>
            </w:r>
          </w:p>
          <w:p w14:paraId="18D9627A" w14:textId="77777777" w:rsidR="006D2F5F" w:rsidRPr="00DD47DF" w:rsidRDefault="006D2F5F" w:rsidP="006D2F5F">
            <w:pPr>
              <w:pStyle w:val="Tabulka"/>
              <w:jc w:val="left"/>
              <w:rPr>
                <w:rFonts w:cs="Calibri"/>
              </w:rPr>
            </w:pPr>
            <w:r w:rsidRPr="00DD47DF">
              <w:rPr>
                <w:rFonts w:cs="Calibri"/>
              </w:rPr>
              <w:t>Podrobn</w:t>
            </w:r>
            <w:r w:rsidR="00C03599" w:rsidRPr="00DD47DF">
              <w:rPr>
                <w:rFonts w:cs="Calibri"/>
              </w:rPr>
              <w:t>ěji</w:t>
            </w:r>
            <w:r w:rsidRPr="00DD47DF">
              <w:rPr>
                <w:rFonts w:cs="Calibri"/>
              </w:rPr>
              <w:t xml:space="preserve"> viz Příloha II</w:t>
            </w:r>
            <w:r w:rsidR="00C03599" w:rsidRPr="00DD47DF">
              <w:rPr>
                <w:rFonts w:cs="Calibri"/>
              </w:rPr>
              <w:t xml:space="preserve"> a Akční plán</w:t>
            </w:r>
            <w:r w:rsidRPr="00DD47DF">
              <w:rPr>
                <w:rFonts w:cs="Calibri"/>
              </w:rPr>
              <w:t>.</w:t>
            </w:r>
          </w:p>
        </w:tc>
        <w:tc>
          <w:tcPr>
            <w:tcW w:w="1801" w:type="dxa"/>
            <w:tcBorders>
              <w:top w:val="single" w:sz="4" w:space="0" w:color="auto"/>
              <w:left w:val="nil"/>
              <w:right w:val="double" w:sz="6" w:space="0" w:color="auto"/>
            </w:tcBorders>
            <w:shd w:val="clear" w:color="auto" w:fill="auto"/>
          </w:tcPr>
          <w:p w14:paraId="66A3A78D" w14:textId="77777777" w:rsidR="003D49D0" w:rsidRPr="00DD47DF" w:rsidRDefault="002D0399" w:rsidP="006D2F5F">
            <w:pPr>
              <w:pStyle w:val="Tabulka"/>
              <w:jc w:val="left"/>
              <w:rPr>
                <w:rFonts w:cs="Calibri"/>
              </w:rPr>
            </w:pPr>
            <w:r>
              <w:rPr>
                <w:rFonts w:cs="Calibri"/>
              </w:rPr>
              <w:t>31.10.</w:t>
            </w:r>
            <w:r w:rsidR="003D49D0" w:rsidRPr="00DD47DF">
              <w:rPr>
                <w:rFonts w:cs="Calibri"/>
              </w:rPr>
              <w:t>2015</w:t>
            </w:r>
          </w:p>
        </w:tc>
        <w:tc>
          <w:tcPr>
            <w:tcW w:w="0" w:type="auto"/>
            <w:tcBorders>
              <w:top w:val="single" w:sz="4" w:space="0" w:color="auto"/>
              <w:left w:val="nil"/>
              <w:right w:val="single" w:sz="8" w:space="0" w:color="auto"/>
            </w:tcBorders>
            <w:shd w:val="clear" w:color="auto" w:fill="auto"/>
          </w:tcPr>
          <w:p w14:paraId="2F5FC622" w14:textId="77777777" w:rsidR="006D2F5F" w:rsidRPr="00DD47DF" w:rsidRDefault="006D2F5F" w:rsidP="006D2F5F">
            <w:pPr>
              <w:pStyle w:val="Tabulka"/>
              <w:jc w:val="left"/>
              <w:rPr>
                <w:rFonts w:cs="Calibri"/>
              </w:rPr>
            </w:pPr>
            <w:r w:rsidRPr="00DD47DF">
              <w:rPr>
                <w:rFonts w:cs="Calibri"/>
              </w:rPr>
              <w:t>MSp</w:t>
            </w:r>
          </w:p>
        </w:tc>
      </w:tr>
      <w:tr w:rsidR="006D2F5F" w:rsidRPr="00DD47DF" w14:paraId="303316C1" w14:textId="77777777" w:rsidTr="00437632">
        <w:trPr>
          <w:trHeight w:val="363"/>
        </w:trPr>
        <w:tc>
          <w:tcPr>
            <w:tcW w:w="0" w:type="auto"/>
            <w:vMerge w:val="restart"/>
            <w:tcBorders>
              <w:top w:val="single" w:sz="4" w:space="0" w:color="auto"/>
              <w:left w:val="single" w:sz="8" w:space="0" w:color="auto"/>
              <w:right w:val="double" w:sz="6" w:space="0" w:color="auto"/>
            </w:tcBorders>
            <w:shd w:val="clear" w:color="auto" w:fill="auto"/>
          </w:tcPr>
          <w:p w14:paraId="3930C8A4" w14:textId="77777777" w:rsidR="006D2F5F" w:rsidRPr="00DD47DF" w:rsidRDefault="006D2F5F" w:rsidP="006D2F5F">
            <w:pPr>
              <w:pStyle w:val="Tabulka"/>
              <w:jc w:val="left"/>
              <w:rPr>
                <w:rFonts w:cs="Calibri"/>
                <w:b/>
              </w:rPr>
            </w:pPr>
            <w:r w:rsidRPr="00DD47DF">
              <w:rPr>
                <w:rFonts w:cs="Calibri"/>
                <w:b/>
              </w:rPr>
              <w:lastRenderedPageBreak/>
              <w:t>4.1. Byla provedena opatření na podporu nákladově efektivního zvyšování energetické účinnosti u koncového uživatele a nákladově efektivních investic do energetické účinnosti při výstavbě a renovaci budov</w:t>
            </w:r>
          </w:p>
        </w:tc>
        <w:tc>
          <w:tcPr>
            <w:tcW w:w="0" w:type="auto"/>
            <w:tcBorders>
              <w:top w:val="single" w:sz="4" w:space="0" w:color="auto"/>
              <w:left w:val="nil"/>
              <w:right w:val="double" w:sz="6" w:space="0" w:color="auto"/>
            </w:tcBorders>
            <w:shd w:val="clear" w:color="auto" w:fill="auto"/>
          </w:tcPr>
          <w:p w14:paraId="1F8E10B3" w14:textId="77777777" w:rsidR="006D2F5F" w:rsidRPr="00DD47DF" w:rsidRDefault="006D2F5F" w:rsidP="006D2F5F">
            <w:pPr>
              <w:pStyle w:val="Tabulka"/>
              <w:jc w:val="left"/>
              <w:rPr>
                <w:rFonts w:cs="Calibri"/>
              </w:rPr>
            </w:pPr>
            <w:r w:rsidRPr="00DD47DF">
              <w:rPr>
                <w:rFonts w:cs="Calibri"/>
              </w:rPr>
              <w:t>Opatření k zajištění minimálních požadavků týkajících se energetické náročnosti budov v souladu s články 3, 4 a 5 směrnice Evropského parlamentu a Rady 2010/31/EU,</w:t>
            </w:r>
          </w:p>
        </w:tc>
        <w:tc>
          <w:tcPr>
            <w:tcW w:w="6946" w:type="dxa"/>
            <w:tcBorders>
              <w:top w:val="single" w:sz="4" w:space="0" w:color="auto"/>
              <w:left w:val="nil"/>
              <w:bottom w:val="single" w:sz="4" w:space="0" w:color="auto"/>
              <w:right w:val="double" w:sz="6" w:space="0" w:color="auto"/>
            </w:tcBorders>
            <w:shd w:val="clear" w:color="auto" w:fill="auto"/>
          </w:tcPr>
          <w:p w14:paraId="282363B1" w14:textId="77777777" w:rsidR="006D2F5F" w:rsidRPr="00DD47DF" w:rsidRDefault="006D2F5F" w:rsidP="006D2F5F">
            <w:pPr>
              <w:pStyle w:val="Tabulka"/>
              <w:jc w:val="left"/>
              <w:rPr>
                <w:rFonts w:cs="Calibri"/>
              </w:rPr>
            </w:pPr>
            <w:r w:rsidRPr="00DD47DF">
              <w:rPr>
                <w:rFonts w:cs="Calibri"/>
              </w:rPr>
              <w:t xml:space="preserve">Úprava zákona č. 406/2000 Sb., o hospodaření s energií a vyhlášky č. 78/2013 Sb. </w:t>
            </w:r>
          </w:p>
          <w:p w14:paraId="70B44DC5" w14:textId="77777777" w:rsidR="008C4BF4" w:rsidRPr="00DD47DF" w:rsidRDefault="008C4BF4" w:rsidP="008C4BF4">
            <w:pPr>
              <w:pStyle w:val="Tabulka"/>
              <w:jc w:val="left"/>
              <w:rPr>
                <w:rFonts w:cs="Calibri"/>
              </w:rPr>
            </w:pPr>
            <w:r w:rsidRPr="00DD47DF">
              <w:rPr>
                <w:rFonts w:cs="Calibri"/>
              </w:rPr>
              <w:t>Předložení návrhu vládě</w:t>
            </w:r>
          </w:p>
          <w:p w14:paraId="501881EA" w14:textId="77777777" w:rsidR="008C4BF4" w:rsidRPr="00DD47DF" w:rsidRDefault="008C4BF4" w:rsidP="008C4BF4">
            <w:pPr>
              <w:pStyle w:val="Tabulka"/>
              <w:jc w:val="left"/>
              <w:rPr>
                <w:rFonts w:cs="Calibri"/>
              </w:rPr>
            </w:pPr>
            <w:r w:rsidRPr="00DD47DF">
              <w:rPr>
                <w:rFonts w:cs="Calibri"/>
              </w:rPr>
              <w:t>7/2014</w:t>
            </w:r>
          </w:p>
          <w:p w14:paraId="573CD7E1" w14:textId="77777777" w:rsidR="008C4BF4" w:rsidRPr="00DD47DF" w:rsidRDefault="008C4BF4" w:rsidP="008C4BF4">
            <w:pPr>
              <w:pStyle w:val="Tabulka"/>
              <w:jc w:val="left"/>
              <w:rPr>
                <w:rFonts w:cs="Calibri"/>
              </w:rPr>
            </w:pPr>
            <w:r w:rsidRPr="00DD47DF">
              <w:rPr>
                <w:rFonts w:cs="Calibri"/>
              </w:rPr>
              <w:t xml:space="preserve">Předložení Parlamentu </w:t>
            </w:r>
          </w:p>
          <w:p w14:paraId="5432C5D4" w14:textId="77777777" w:rsidR="008C4BF4" w:rsidRPr="00DD47DF" w:rsidRDefault="008C4BF4" w:rsidP="008C4BF4">
            <w:pPr>
              <w:pStyle w:val="Tabulka"/>
              <w:jc w:val="left"/>
              <w:rPr>
                <w:rFonts w:cs="Calibri"/>
              </w:rPr>
            </w:pPr>
            <w:r w:rsidRPr="00DD47DF">
              <w:rPr>
                <w:rFonts w:cs="Calibri"/>
              </w:rPr>
              <w:t>9/2014</w:t>
            </w:r>
          </w:p>
          <w:p w14:paraId="3ADC2FDB" w14:textId="77777777" w:rsidR="008C4BF4" w:rsidRPr="00DD47DF" w:rsidRDefault="008C4BF4" w:rsidP="008C4BF4">
            <w:pPr>
              <w:pStyle w:val="Tabulka"/>
              <w:jc w:val="left"/>
              <w:rPr>
                <w:rFonts w:cs="Calibri"/>
              </w:rPr>
            </w:pPr>
            <w:r w:rsidRPr="00DD47DF">
              <w:rPr>
                <w:rFonts w:cs="Calibri"/>
              </w:rPr>
              <w:t>Předpokládané nabytí účinnosti</w:t>
            </w:r>
          </w:p>
          <w:p w14:paraId="2C24B63B" w14:textId="77777777" w:rsidR="006D2F5F" w:rsidRPr="00DD47DF" w:rsidDel="00C8176E" w:rsidRDefault="00F907CF" w:rsidP="008C4BF4">
            <w:pPr>
              <w:pStyle w:val="Tabulka"/>
              <w:jc w:val="left"/>
              <w:rPr>
                <w:rFonts w:cs="Calibri"/>
              </w:rPr>
            </w:pPr>
            <w:r w:rsidRPr="00DD47DF">
              <w:rPr>
                <w:rFonts w:cs="Calibri"/>
              </w:rPr>
              <w:t>7</w:t>
            </w:r>
            <w:r w:rsidR="008C4BF4" w:rsidRPr="00DD47DF">
              <w:rPr>
                <w:rFonts w:cs="Calibri"/>
              </w:rPr>
              <w:t>/2015</w:t>
            </w:r>
          </w:p>
          <w:p w14:paraId="176FCED3" w14:textId="77777777" w:rsidR="006D2F5F" w:rsidRPr="00DD47DF" w:rsidRDefault="006D2F5F" w:rsidP="006D2F5F">
            <w:pPr>
              <w:pStyle w:val="Tabulka"/>
              <w:jc w:val="left"/>
              <w:rPr>
                <w:rFonts w:cs="Calibri"/>
              </w:rPr>
            </w:pPr>
          </w:p>
        </w:tc>
        <w:tc>
          <w:tcPr>
            <w:tcW w:w="1801" w:type="dxa"/>
            <w:tcBorders>
              <w:top w:val="single" w:sz="4" w:space="0" w:color="auto"/>
              <w:left w:val="nil"/>
              <w:bottom w:val="single" w:sz="4" w:space="0" w:color="auto"/>
              <w:right w:val="double" w:sz="6" w:space="0" w:color="auto"/>
            </w:tcBorders>
            <w:shd w:val="clear" w:color="auto" w:fill="auto"/>
          </w:tcPr>
          <w:p w14:paraId="375E42E1" w14:textId="77777777" w:rsidR="006D2F5F" w:rsidRPr="00DD47DF" w:rsidRDefault="00CC5680" w:rsidP="006D2F5F">
            <w:pPr>
              <w:pStyle w:val="Tabulka"/>
              <w:jc w:val="left"/>
              <w:rPr>
                <w:rFonts w:cs="Calibri"/>
              </w:rPr>
            </w:pPr>
            <w:r>
              <w:rPr>
                <w:rFonts w:cs="Calibri"/>
              </w:rPr>
              <w:t>1.7.2015</w:t>
            </w:r>
          </w:p>
        </w:tc>
        <w:tc>
          <w:tcPr>
            <w:tcW w:w="0" w:type="auto"/>
            <w:tcBorders>
              <w:top w:val="single" w:sz="4" w:space="0" w:color="auto"/>
              <w:left w:val="nil"/>
              <w:bottom w:val="single" w:sz="4" w:space="0" w:color="auto"/>
              <w:right w:val="single" w:sz="8" w:space="0" w:color="auto"/>
            </w:tcBorders>
            <w:shd w:val="clear" w:color="auto" w:fill="auto"/>
          </w:tcPr>
          <w:p w14:paraId="36387D7E" w14:textId="77777777" w:rsidR="006D2F5F" w:rsidRPr="00DD47DF" w:rsidRDefault="006D2F5F" w:rsidP="006D2F5F">
            <w:pPr>
              <w:pStyle w:val="Tabulka"/>
              <w:jc w:val="left"/>
              <w:rPr>
                <w:rFonts w:cs="Calibri"/>
              </w:rPr>
            </w:pPr>
            <w:r w:rsidRPr="00DD47DF">
              <w:rPr>
                <w:rFonts w:cs="Calibri"/>
              </w:rPr>
              <w:t>MPO</w:t>
            </w:r>
          </w:p>
        </w:tc>
      </w:tr>
      <w:tr w:rsidR="006D2F5F" w:rsidRPr="00DD47DF" w14:paraId="0425B68F" w14:textId="77777777" w:rsidTr="00CE43D2">
        <w:trPr>
          <w:trHeight w:val="3057"/>
        </w:trPr>
        <w:tc>
          <w:tcPr>
            <w:tcW w:w="0" w:type="auto"/>
            <w:vMerge/>
            <w:tcBorders>
              <w:left w:val="single" w:sz="8" w:space="0" w:color="auto"/>
              <w:right w:val="double" w:sz="6" w:space="0" w:color="auto"/>
            </w:tcBorders>
            <w:shd w:val="clear" w:color="auto" w:fill="auto"/>
          </w:tcPr>
          <w:p w14:paraId="32FCA4A2" w14:textId="77777777" w:rsidR="006D2F5F" w:rsidRPr="00DD47DF" w:rsidRDefault="006D2F5F" w:rsidP="006D2F5F">
            <w:pPr>
              <w:pStyle w:val="Tabulka"/>
              <w:jc w:val="left"/>
              <w:rPr>
                <w:rFonts w:cs="Calibri"/>
                <w:b/>
              </w:rPr>
            </w:pPr>
          </w:p>
        </w:tc>
        <w:tc>
          <w:tcPr>
            <w:tcW w:w="0" w:type="auto"/>
            <w:tcBorders>
              <w:top w:val="single" w:sz="4" w:space="0" w:color="auto"/>
              <w:left w:val="nil"/>
              <w:right w:val="double" w:sz="6" w:space="0" w:color="auto"/>
            </w:tcBorders>
            <w:shd w:val="clear" w:color="auto" w:fill="auto"/>
          </w:tcPr>
          <w:p w14:paraId="2144AF5F" w14:textId="77777777" w:rsidR="006D2F5F" w:rsidRPr="00DD47DF" w:rsidRDefault="006D2F5F" w:rsidP="006D2F5F">
            <w:pPr>
              <w:pStyle w:val="Tabulka"/>
              <w:jc w:val="left"/>
              <w:rPr>
                <w:rFonts w:cs="Calibri"/>
              </w:rPr>
            </w:pPr>
            <w:r w:rsidRPr="00DD47DF">
              <w:rPr>
                <w:rFonts w:cs="Calibri"/>
              </w:rPr>
              <w:t>Opatření nezbytná pro zavedení systému certifikace energetické náročnosti budov v souladu s článkem 11 směrnice 2010/31/EU,</w:t>
            </w:r>
          </w:p>
        </w:tc>
        <w:tc>
          <w:tcPr>
            <w:tcW w:w="6946" w:type="dxa"/>
            <w:tcBorders>
              <w:top w:val="single" w:sz="4" w:space="0" w:color="auto"/>
              <w:left w:val="nil"/>
              <w:right w:val="double" w:sz="6" w:space="0" w:color="auto"/>
            </w:tcBorders>
            <w:shd w:val="clear" w:color="auto" w:fill="auto"/>
          </w:tcPr>
          <w:p w14:paraId="6308A527" w14:textId="77777777" w:rsidR="006D2F5F" w:rsidRPr="00DD47DF" w:rsidRDefault="006D2F5F" w:rsidP="006D2F5F">
            <w:pPr>
              <w:pStyle w:val="Tabulka"/>
              <w:jc w:val="left"/>
              <w:rPr>
                <w:rFonts w:cs="Calibri"/>
              </w:rPr>
            </w:pPr>
            <w:r w:rsidRPr="00DD47DF">
              <w:rPr>
                <w:rFonts w:cs="Calibri"/>
              </w:rPr>
              <w:t xml:space="preserve">Úprava zákona č. 406/2000 Sb., o hospodaření s energií a vyhlášky č. 78/2013 Sb. </w:t>
            </w:r>
          </w:p>
          <w:p w14:paraId="5DB4BA9C" w14:textId="77777777" w:rsidR="008C4BF4" w:rsidRPr="00DD47DF" w:rsidRDefault="008C4BF4" w:rsidP="008C4BF4">
            <w:pPr>
              <w:pStyle w:val="Tabulka"/>
              <w:jc w:val="left"/>
              <w:rPr>
                <w:rFonts w:cs="Calibri"/>
              </w:rPr>
            </w:pPr>
            <w:r w:rsidRPr="00DD47DF">
              <w:rPr>
                <w:rFonts w:cs="Calibri"/>
              </w:rPr>
              <w:t>Předložení návrhu vládě</w:t>
            </w:r>
          </w:p>
          <w:p w14:paraId="7967CCA8" w14:textId="77777777" w:rsidR="008C4BF4" w:rsidRPr="00DD47DF" w:rsidRDefault="008C4BF4" w:rsidP="008C4BF4">
            <w:pPr>
              <w:pStyle w:val="Tabulka"/>
              <w:jc w:val="left"/>
              <w:rPr>
                <w:rFonts w:cs="Calibri"/>
              </w:rPr>
            </w:pPr>
            <w:r w:rsidRPr="00DD47DF">
              <w:rPr>
                <w:rFonts w:cs="Calibri"/>
              </w:rPr>
              <w:t>7/2014</w:t>
            </w:r>
          </w:p>
          <w:p w14:paraId="1E234F01" w14:textId="77777777" w:rsidR="008C4BF4" w:rsidRPr="00DD47DF" w:rsidRDefault="008C4BF4" w:rsidP="008C4BF4">
            <w:pPr>
              <w:pStyle w:val="Tabulka"/>
              <w:jc w:val="left"/>
              <w:rPr>
                <w:rFonts w:cs="Calibri"/>
              </w:rPr>
            </w:pPr>
            <w:r w:rsidRPr="00DD47DF">
              <w:rPr>
                <w:rFonts w:cs="Calibri"/>
              </w:rPr>
              <w:t xml:space="preserve">Předložení Parlamentu </w:t>
            </w:r>
          </w:p>
          <w:p w14:paraId="4B9AAA83" w14:textId="77777777" w:rsidR="008C4BF4" w:rsidRPr="00DD47DF" w:rsidRDefault="008C4BF4" w:rsidP="008C4BF4">
            <w:pPr>
              <w:pStyle w:val="Tabulka"/>
              <w:jc w:val="left"/>
              <w:rPr>
                <w:rFonts w:cs="Calibri"/>
              </w:rPr>
            </w:pPr>
            <w:r w:rsidRPr="00DD47DF">
              <w:rPr>
                <w:rFonts w:cs="Calibri"/>
              </w:rPr>
              <w:t>9/2014</w:t>
            </w:r>
          </w:p>
          <w:p w14:paraId="078C3291" w14:textId="77777777" w:rsidR="008C4BF4" w:rsidRPr="00DD47DF" w:rsidRDefault="008C4BF4" w:rsidP="008C4BF4">
            <w:pPr>
              <w:pStyle w:val="Tabulka"/>
              <w:jc w:val="left"/>
              <w:rPr>
                <w:rFonts w:cs="Calibri"/>
              </w:rPr>
            </w:pPr>
            <w:r w:rsidRPr="00DD47DF">
              <w:rPr>
                <w:rFonts w:cs="Calibri"/>
              </w:rPr>
              <w:t>Předpokládané nabytí účinnosti</w:t>
            </w:r>
          </w:p>
          <w:p w14:paraId="287CA963" w14:textId="77777777" w:rsidR="006D2F5F" w:rsidRPr="00DD47DF" w:rsidDel="008E10C9" w:rsidRDefault="00F907CF" w:rsidP="008C4BF4">
            <w:pPr>
              <w:pStyle w:val="Tabulka"/>
              <w:jc w:val="left"/>
              <w:rPr>
                <w:rFonts w:cs="Calibri"/>
              </w:rPr>
            </w:pPr>
            <w:r w:rsidRPr="00DD47DF">
              <w:rPr>
                <w:rFonts w:cs="Calibri"/>
              </w:rPr>
              <w:t>7</w:t>
            </w:r>
            <w:r w:rsidR="008C4BF4" w:rsidRPr="00DD47DF">
              <w:rPr>
                <w:rFonts w:cs="Calibri"/>
              </w:rPr>
              <w:t>/2015</w:t>
            </w:r>
          </w:p>
          <w:p w14:paraId="517B0418" w14:textId="77777777" w:rsidR="006D2F5F" w:rsidRPr="00DD47DF" w:rsidRDefault="006D2F5F" w:rsidP="006D2F5F">
            <w:pPr>
              <w:pStyle w:val="Tabulka"/>
              <w:jc w:val="left"/>
              <w:rPr>
                <w:rFonts w:cs="Calibri"/>
              </w:rPr>
            </w:pPr>
          </w:p>
        </w:tc>
        <w:tc>
          <w:tcPr>
            <w:tcW w:w="1801" w:type="dxa"/>
            <w:tcBorders>
              <w:top w:val="single" w:sz="4" w:space="0" w:color="auto"/>
              <w:left w:val="nil"/>
              <w:right w:val="double" w:sz="6" w:space="0" w:color="auto"/>
            </w:tcBorders>
            <w:shd w:val="clear" w:color="auto" w:fill="auto"/>
          </w:tcPr>
          <w:p w14:paraId="7758F158" w14:textId="77777777" w:rsidR="006D2F5F" w:rsidRPr="00DD47DF" w:rsidRDefault="00CC5680" w:rsidP="006D2F5F">
            <w:pPr>
              <w:pStyle w:val="Tabulka"/>
              <w:jc w:val="left"/>
              <w:rPr>
                <w:rFonts w:cs="Calibri"/>
              </w:rPr>
            </w:pPr>
            <w:r>
              <w:rPr>
                <w:rFonts w:cs="Calibri"/>
              </w:rPr>
              <w:t>1.7.2015</w:t>
            </w:r>
          </w:p>
        </w:tc>
        <w:tc>
          <w:tcPr>
            <w:tcW w:w="0" w:type="auto"/>
            <w:tcBorders>
              <w:top w:val="single" w:sz="4" w:space="0" w:color="auto"/>
              <w:left w:val="nil"/>
              <w:right w:val="single" w:sz="8" w:space="0" w:color="auto"/>
            </w:tcBorders>
            <w:shd w:val="clear" w:color="auto" w:fill="auto"/>
          </w:tcPr>
          <w:p w14:paraId="2A2FBB00" w14:textId="77777777" w:rsidR="006D2F5F" w:rsidRPr="00DD47DF" w:rsidRDefault="006D2F5F" w:rsidP="006D2F5F">
            <w:pPr>
              <w:pStyle w:val="Tabulka"/>
              <w:jc w:val="left"/>
              <w:rPr>
                <w:rFonts w:cs="Calibri"/>
              </w:rPr>
            </w:pPr>
            <w:r w:rsidRPr="00DD47DF">
              <w:rPr>
                <w:rFonts w:cs="Calibri"/>
              </w:rPr>
              <w:t>MPO</w:t>
            </w:r>
          </w:p>
        </w:tc>
      </w:tr>
      <w:tr w:rsidR="006D2F5F" w:rsidRPr="00DD47DF" w14:paraId="1370A6F1" w14:textId="77777777" w:rsidTr="002D60A4">
        <w:trPr>
          <w:trHeight w:val="2444"/>
        </w:trPr>
        <w:tc>
          <w:tcPr>
            <w:tcW w:w="0" w:type="auto"/>
            <w:vMerge/>
            <w:tcBorders>
              <w:left w:val="single" w:sz="8" w:space="0" w:color="auto"/>
              <w:right w:val="double" w:sz="6" w:space="0" w:color="auto"/>
            </w:tcBorders>
            <w:shd w:val="clear" w:color="auto" w:fill="auto"/>
          </w:tcPr>
          <w:p w14:paraId="35D95155" w14:textId="77777777" w:rsidR="006D2F5F" w:rsidRPr="00DD47DF" w:rsidRDefault="006D2F5F" w:rsidP="006D2F5F">
            <w:pPr>
              <w:pStyle w:val="Tabulka"/>
              <w:jc w:val="left"/>
              <w:rPr>
                <w:rFonts w:cs="Calibri"/>
                <w:b/>
              </w:rPr>
            </w:pPr>
          </w:p>
        </w:tc>
        <w:tc>
          <w:tcPr>
            <w:tcW w:w="0" w:type="auto"/>
            <w:tcBorders>
              <w:top w:val="single" w:sz="4" w:space="0" w:color="auto"/>
              <w:left w:val="nil"/>
              <w:right w:val="double" w:sz="6" w:space="0" w:color="auto"/>
            </w:tcBorders>
            <w:shd w:val="clear" w:color="auto" w:fill="auto"/>
          </w:tcPr>
          <w:p w14:paraId="6D120B5C" w14:textId="77777777" w:rsidR="006D2F5F" w:rsidRPr="00DD47DF" w:rsidRDefault="006D2F5F" w:rsidP="006D2F5F">
            <w:pPr>
              <w:pStyle w:val="Tabulka"/>
              <w:jc w:val="left"/>
              <w:rPr>
                <w:rFonts w:cs="Calibri"/>
              </w:rPr>
            </w:pPr>
            <w:r w:rsidRPr="00DD47DF">
              <w:rPr>
                <w:rFonts w:cs="Calibri"/>
              </w:rPr>
              <w:t>Opatření k zajištění strategického plánování v oblasti energetické účinnosti v souladu s čl. 3 směrnice 2012/27/EU</w:t>
            </w:r>
            <w:r w:rsidRPr="00DD47DF">
              <w:rPr>
                <w:rStyle w:val="Znakapoznpodarou"/>
                <w:rFonts w:cs="Calibri"/>
              </w:rPr>
              <w:footnoteReference w:id="107"/>
            </w:r>
          </w:p>
        </w:tc>
        <w:tc>
          <w:tcPr>
            <w:tcW w:w="6946" w:type="dxa"/>
            <w:tcBorders>
              <w:top w:val="single" w:sz="4" w:space="0" w:color="auto"/>
              <w:left w:val="nil"/>
              <w:bottom w:val="single" w:sz="4" w:space="0" w:color="auto"/>
              <w:right w:val="double" w:sz="6" w:space="0" w:color="auto"/>
            </w:tcBorders>
            <w:shd w:val="clear" w:color="auto" w:fill="auto"/>
          </w:tcPr>
          <w:p w14:paraId="684AAE52" w14:textId="77777777" w:rsidR="006D2F5F" w:rsidRPr="00DD47DF" w:rsidRDefault="006D2F5F" w:rsidP="006D2F5F">
            <w:pPr>
              <w:pStyle w:val="Tabulka"/>
              <w:keepNext/>
              <w:keepLines/>
              <w:jc w:val="left"/>
              <w:rPr>
                <w:rFonts w:cs="Calibri"/>
              </w:rPr>
            </w:pPr>
            <w:r w:rsidRPr="00DD47DF">
              <w:rPr>
                <w:rFonts w:cs="Calibri"/>
              </w:rPr>
              <w:t>Novela zákona č. 406/2000 Sb., o hospodaření s energií</w:t>
            </w:r>
          </w:p>
          <w:p w14:paraId="140E8131" w14:textId="77777777" w:rsidR="008C4BF4" w:rsidRPr="00DD47DF" w:rsidRDefault="008C4BF4" w:rsidP="008C4BF4">
            <w:pPr>
              <w:pStyle w:val="Tabulka"/>
              <w:keepNext/>
              <w:keepLines/>
              <w:jc w:val="left"/>
              <w:rPr>
                <w:rFonts w:cs="Calibri"/>
              </w:rPr>
            </w:pPr>
            <w:r w:rsidRPr="00DD47DF">
              <w:rPr>
                <w:rFonts w:cs="Calibri"/>
              </w:rPr>
              <w:t>Zákon č. 406/2000 Sb.:</w:t>
            </w:r>
          </w:p>
          <w:p w14:paraId="0B7F02E1" w14:textId="77777777" w:rsidR="008C4BF4" w:rsidRPr="00DD47DF" w:rsidRDefault="008C4BF4" w:rsidP="008C4BF4">
            <w:pPr>
              <w:pStyle w:val="Tabulka"/>
              <w:keepNext/>
              <w:keepLines/>
              <w:jc w:val="left"/>
              <w:rPr>
                <w:rFonts w:cs="Calibri"/>
              </w:rPr>
            </w:pPr>
            <w:r w:rsidRPr="00DD47DF">
              <w:rPr>
                <w:rFonts w:cs="Calibri"/>
              </w:rPr>
              <w:t>Předložení návrhu vládě</w:t>
            </w:r>
          </w:p>
          <w:p w14:paraId="229E2F8E" w14:textId="77777777" w:rsidR="008C4BF4" w:rsidRPr="00DD47DF" w:rsidRDefault="008C4BF4" w:rsidP="008C4BF4">
            <w:pPr>
              <w:pStyle w:val="Tabulka"/>
              <w:keepNext/>
              <w:keepLines/>
              <w:jc w:val="left"/>
              <w:rPr>
                <w:rFonts w:cs="Calibri"/>
              </w:rPr>
            </w:pPr>
            <w:r w:rsidRPr="00DD47DF">
              <w:rPr>
                <w:rFonts w:cs="Calibri"/>
              </w:rPr>
              <w:t>7/2014</w:t>
            </w:r>
          </w:p>
          <w:p w14:paraId="29932ECF" w14:textId="77777777" w:rsidR="008C4BF4" w:rsidRPr="00DD47DF" w:rsidRDefault="008C4BF4" w:rsidP="008C4BF4">
            <w:pPr>
              <w:pStyle w:val="Tabulka"/>
              <w:keepNext/>
              <w:keepLines/>
              <w:jc w:val="left"/>
              <w:rPr>
                <w:rFonts w:cs="Calibri"/>
              </w:rPr>
            </w:pPr>
            <w:r w:rsidRPr="00DD47DF">
              <w:rPr>
                <w:rFonts w:cs="Calibri"/>
              </w:rPr>
              <w:t>Předložení Parlamentu</w:t>
            </w:r>
          </w:p>
          <w:p w14:paraId="0E7774F9" w14:textId="77777777" w:rsidR="008C4BF4" w:rsidRPr="00DD47DF" w:rsidRDefault="008C4BF4" w:rsidP="008C4BF4">
            <w:pPr>
              <w:pStyle w:val="Tabulka"/>
              <w:keepNext/>
              <w:keepLines/>
              <w:jc w:val="left"/>
              <w:rPr>
                <w:rFonts w:cs="Calibri"/>
              </w:rPr>
            </w:pPr>
            <w:r w:rsidRPr="00DD47DF">
              <w:rPr>
                <w:rFonts w:cs="Calibri"/>
              </w:rPr>
              <w:t>9/2014</w:t>
            </w:r>
          </w:p>
          <w:p w14:paraId="17CF29A9" w14:textId="77777777" w:rsidR="008C4BF4" w:rsidRPr="00DD47DF" w:rsidRDefault="008C4BF4" w:rsidP="008C4BF4">
            <w:pPr>
              <w:pStyle w:val="Tabulka"/>
              <w:keepNext/>
              <w:keepLines/>
              <w:jc w:val="left"/>
              <w:rPr>
                <w:rFonts w:cs="Calibri"/>
              </w:rPr>
            </w:pPr>
            <w:r w:rsidRPr="00DD47DF">
              <w:rPr>
                <w:rFonts w:cs="Calibri"/>
              </w:rPr>
              <w:t>Předpokládané nabytí účinnosti</w:t>
            </w:r>
          </w:p>
          <w:p w14:paraId="017DEA87" w14:textId="77777777" w:rsidR="008C4BF4" w:rsidRPr="00DD47DF" w:rsidRDefault="00F907CF" w:rsidP="008C4BF4">
            <w:pPr>
              <w:pStyle w:val="Tabulka"/>
              <w:keepNext/>
              <w:keepLines/>
              <w:jc w:val="left"/>
              <w:rPr>
                <w:rFonts w:cs="Calibri"/>
              </w:rPr>
            </w:pPr>
            <w:r w:rsidRPr="00DD47DF">
              <w:rPr>
                <w:rFonts w:cs="Calibri"/>
              </w:rPr>
              <w:t>7</w:t>
            </w:r>
            <w:r w:rsidR="008C4BF4" w:rsidRPr="00DD47DF">
              <w:rPr>
                <w:rFonts w:cs="Calibri"/>
              </w:rPr>
              <w:t>/2015</w:t>
            </w:r>
          </w:p>
          <w:p w14:paraId="569ADE03" w14:textId="77777777" w:rsidR="006D2F5F" w:rsidRPr="00DD47DF" w:rsidRDefault="006D2F5F" w:rsidP="006D2F5F">
            <w:pPr>
              <w:pStyle w:val="Tabulka"/>
              <w:jc w:val="left"/>
              <w:rPr>
                <w:rFonts w:cs="Calibri"/>
              </w:rPr>
            </w:pPr>
            <w:r w:rsidRPr="00DD47DF">
              <w:rPr>
                <w:rFonts w:cs="Calibri"/>
              </w:rPr>
              <w:t>Novela energetického zákona (zákon č. 458/2000 Sb.)</w:t>
            </w:r>
          </w:p>
          <w:p w14:paraId="0E43EFF0" w14:textId="77777777" w:rsidR="008C4BF4" w:rsidRPr="00DD47DF" w:rsidRDefault="008C4BF4" w:rsidP="008C4BF4">
            <w:pPr>
              <w:pStyle w:val="Tabulka"/>
              <w:keepNext/>
              <w:keepLines/>
              <w:jc w:val="left"/>
              <w:rPr>
                <w:rFonts w:cs="Calibri"/>
              </w:rPr>
            </w:pPr>
            <w:r w:rsidRPr="00DD47DF">
              <w:rPr>
                <w:rFonts w:cs="Calibri"/>
              </w:rPr>
              <w:t>Zákon 458/2000 Sb.:</w:t>
            </w:r>
          </w:p>
          <w:p w14:paraId="5F5876C5" w14:textId="77777777" w:rsidR="008C4BF4" w:rsidRPr="00DD47DF" w:rsidRDefault="008C4BF4" w:rsidP="008C4BF4">
            <w:pPr>
              <w:pStyle w:val="Tabulka"/>
              <w:keepNext/>
              <w:keepLines/>
              <w:jc w:val="left"/>
              <w:rPr>
                <w:rFonts w:cs="Calibri"/>
              </w:rPr>
            </w:pPr>
            <w:r w:rsidRPr="00DD47DF">
              <w:rPr>
                <w:rFonts w:cs="Calibri"/>
              </w:rPr>
              <w:t>Předložení návrhu vládě</w:t>
            </w:r>
          </w:p>
          <w:p w14:paraId="5FD14053" w14:textId="77777777" w:rsidR="008C4BF4" w:rsidRPr="00DD47DF" w:rsidRDefault="008C4BF4" w:rsidP="008C4BF4">
            <w:pPr>
              <w:pStyle w:val="Tabulka"/>
              <w:keepNext/>
              <w:keepLines/>
              <w:jc w:val="left"/>
              <w:rPr>
                <w:rFonts w:cs="Calibri"/>
              </w:rPr>
            </w:pPr>
            <w:r w:rsidRPr="00DD47DF">
              <w:rPr>
                <w:rFonts w:cs="Calibri"/>
              </w:rPr>
              <w:t>8/2014</w:t>
            </w:r>
          </w:p>
          <w:p w14:paraId="799DAB68" w14:textId="77777777" w:rsidR="008C4BF4" w:rsidRPr="00DD47DF" w:rsidRDefault="008C4BF4" w:rsidP="008C4BF4">
            <w:pPr>
              <w:pStyle w:val="Tabulka"/>
              <w:keepNext/>
              <w:keepLines/>
              <w:jc w:val="left"/>
              <w:rPr>
                <w:rFonts w:cs="Calibri"/>
              </w:rPr>
            </w:pPr>
            <w:r w:rsidRPr="00DD47DF">
              <w:rPr>
                <w:rFonts w:cs="Calibri"/>
              </w:rPr>
              <w:t>Předložení Parlamentu</w:t>
            </w:r>
          </w:p>
          <w:p w14:paraId="30C5AD44" w14:textId="77777777" w:rsidR="008C4BF4" w:rsidRPr="00DD47DF" w:rsidRDefault="008C4BF4" w:rsidP="008C4BF4">
            <w:pPr>
              <w:pStyle w:val="Tabulka"/>
              <w:keepNext/>
              <w:keepLines/>
              <w:jc w:val="left"/>
              <w:rPr>
                <w:rFonts w:cs="Calibri"/>
              </w:rPr>
            </w:pPr>
            <w:r w:rsidRPr="00DD47DF">
              <w:rPr>
                <w:rFonts w:cs="Calibri"/>
              </w:rPr>
              <w:t>10/2014</w:t>
            </w:r>
          </w:p>
          <w:p w14:paraId="2A94E68A" w14:textId="77777777" w:rsidR="008C4BF4" w:rsidRPr="00DD47DF" w:rsidRDefault="008C4BF4" w:rsidP="008C4BF4">
            <w:pPr>
              <w:pStyle w:val="Tabulka"/>
              <w:keepNext/>
              <w:keepLines/>
              <w:jc w:val="left"/>
              <w:rPr>
                <w:rFonts w:cs="Calibri"/>
              </w:rPr>
            </w:pPr>
            <w:r w:rsidRPr="00DD47DF">
              <w:rPr>
                <w:rFonts w:cs="Calibri"/>
              </w:rPr>
              <w:t>Předpokládané nabytí účinnosti</w:t>
            </w:r>
          </w:p>
          <w:p w14:paraId="2D5D17FF" w14:textId="77777777" w:rsidR="008C4BF4" w:rsidRPr="00DD47DF" w:rsidRDefault="008C4BF4" w:rsidP="008C4BF4">
            <w:pPr>
              <w:pStyle w:val="Tabulka"/>
              <w:jc w:val="left"/>
              <w:rPr>
                <w:rFonts w:cs="Calibri"/>
              </w:rPr>
            </w:pPr>
            <w:r w:rsidRPr="00DD47DF">
              <w:rPr>
                <w:rFonts w:cs="Calibri"/>
              </w:rPr>
              <w:t>7/2015</w:t>
            </w:r>
          </w:p>
        </w:tc>
        <w:tc>
          <w:tcPr>
            <w:tcW w:w="1801" w:type="dxa"/>
            <w:tcBorders>
              <w:top w:val="single" w:sz="4" w:space="0" w:color="auto"/>
              <w:left w:val="nil"/>
              <w:bottom w:val="single" w:sz="4" w:space="0" w:color="auto"/>
              <w:right w:val="double" w:sz="6" w:space="0" w:color="auto"/>
            </w:tcBorders>
            <w:shd w:val="clear" w:color="auto" w:fill="auto"/>
          </w:tcPr>
          <w:p w14:paraId="676E5FA3" w14:textId="77777777" w:rsidR="006D2F5F" w:rsidRPr="00DD47DF" w:rsidRDefault="00CC5680" w:rsidP="002D60A4">
            <w:pPr>
              <w:pStyle w:val="Tabulka"/>
              <w:keepNext/>
              <w:keepLines/>
              <w:jc w:val="left"/>
              <w:rPr>
                <w:rFonts w:cs="Calibri"/>
              </w:rPr>
            </w:pPr>
            <w:r>
              <w:rPr>
                <w:rFonts w:cs="Calibri"/>
              </w:rPr>
              <w:t>1.7.2015</w:t>
            </w:r>
          </w:p>
        </w:tc>
        <w:tc>
          <w:tcPr>
            <w:tcW w:w="0" w:type="auto"/>
            <w:tcBorders>
              <w:top w:val="single" w:sz="4" w:space="0" w:color="auto"/>
              <w:left w:val="nil"/>
              <w:bottom w:val="single" w:sz="4" w:space="0" w:color="auto"/>
              <w:right w:val="single" w:sz="8" w:space="0" w:color="auto"/>
            </w:tcBorders>
            <w:shd w:val="clear" w:color="auto" w:fill="auto"/>
          </w:tcPr>
          <w:p w14:paraId="1057CD6E" w14:textId="77777777" w:rsidR="006D2F5F" w:rsidRPr="00DD47DF" w:rsidRDefault="006D2F5F" w:rsidP="006D2F5F">
            <w:pPr>
              <w:pStyle w:val="Tabulka"/>
              <w:jc w:val="left"/>
              <w:rPr>
                <w:rFonts w:cs="Calibri"/>
              </w:rPr>
            </w:pPr>
            <w:r w:rsidRPr="00DD47DF">
              <w:rPr>
                <w:rFonts w:cs="Calibri"/>
              </w:rPr>
              <w:t>MPO</w:t>
            </w:r>
          </w:p>
        </w:tc>
      </w:tr>
      <w:tr w:rsidR="006D2F5F" w:rsidRPr="00DD47DF" w14:paraId="4296DA59" w14:textId="77777777" w:rsidTr="00BD2266">
        <w:trPr>
          <w:trHeight w:val="930"/>
        </w:trPr>
        <w:tc>
          <w:tcPr>
            <w:tcW w:w="0" w:type="auto"/>
            <w:vMerge/>
            <w:tcBorders>
              <w:left w:val="single" w:sz="8" w:space="0" w:color="auto"/>
              <w:right w:val="double" w:sz="6" w:space="0" w:color="auto"/>
            </w:tcBorders>
            <w:shd w:val="clear" w:color="auto" w:fill="auto"/>
          </w:tcPr>
          <w:p w14:paraId="63C124F2" w14:textId="77777777" w:rsidR="006D2F5F" w:rsidRPr="00DD47DF" w:rsidRDefault="006D2F5F" w:rsidP="006D2F5F">
            <w:pPr>
              <w:pStyle w:val="Tabulka"/>
              <w:jc w:val="left"/>
              <w:rPr>
                <w:rFonts w:cs="Calibri"/>
                <w:b/>
              </w:rPr>
            </w:pPr>
          </w:p>
        </w:tc>
        <w:tc>
          <w:tcPr>
            <w:tcW w:w="0" w:type="auto"/>
            <w:tcBorders>
              <w:top w:val="single" w:sz="4" w:space="0" w:color="auto"/>
              <w:left w:val="nil"/>
              <w:right w:val="double" w:sz="6" w:space="0" w:color="auto"/>
            </w:tcBorders>
            <w:shd w:val="clear" w:color="auto" w:fill="auto"/>
          </w:tcPr>
          <w:p w14:paraId="03B33701" w14:textId="77777777" w:rsidR="006D2F5F" w:rsidRPr="00DD47DF" w:rsidRDefault="006D2F5F" w:rsidP="006D2F5F">
            <w:pPr>
              <w:pStyle w:val="Tabulka"/>
              <w:jc w:val="left"/>
              <w:rPr>
                <w:rFonts w:cs="Calibri"/>
              </w:rPr>
            </w:pPr>
            <w:r w:rsidRPr="00DD47DF">
              <w:rPr>
                <w:rFonts w:cs="Calibri"/>
              </w:rPr>
              <w:t xml:space="preserve">Opatření v souladu s článkem 13 směrnice Evropského parlamentu a Rady 2006/32/ES zajišťující, aby </w:t>
            </w:r>
            <w:r w:rsidRPr="00DD47DF">
              <w:rPr>
                <w:rFonts w:cs="Calibri"/>
              </w:rPr>
              <w:lastRenderedPageBreak/>
              <w:t>pokud je to technicky možné, finančně únosné a úměrné potenciálním úsporám energie, byli koneční zákazníci vybaveni individuálními měřiči.</w:t>
            </w:r>
          </w:p>
        </w:tc>
        <w:tc>
          <w:tcPr>
            <w:tcW w:w="6946" w:type="dxa"/>
            <w:tcBorders>
              <w:top w:val="single" w:sz="4" w:space="0" w:color="auto"/>
              <w:left w:val="nil"/>
              <w:bottom w:val="single" w:sz="4" w:space="0" w:color="auto"/>
              <w:right w:val="double" w:sz="6" w:space="0" w:color="auto"/>
            </w:tcBorders>
            <w:shd w:val="clear" w:color="auto" w:fill="auto"/>
          </w:tcPr>
          <w:p w14:paraId="0D51C1BC" w14:textId="77777777" w:rsidR="006D2F5F" w:rsidRPr="00DD47DF" w:rsidRDefault="006D2F5F" w:rsidP="006D2F5F">
            <w:pPr>
              <w:pStyle w:val="Tabulka"/>
              <w:jc w:val="left"/>
              <w:rPr>
                <w:rFonts w:cs="Calibri"/>
              </w:rPr>
            </w:pPr>
            <w:r w:rsidRPr="00DD47DF">
              <w:rPr>
                <w:rFonts w:cs="Calibri"/>
              </w:rPr>
              <w:lastRenderedPageBreak/>
              <w:t>Doplnění energetického zákona (zákon č. 458/2000 Sb.) a novelizace vyhlášky č. 194/2007 Sb., úprava zákona č. 406/2000 Sb., o hospodaření s</w:t>
            </w:r>
            <w:r w:rsidR="008C4BF4" w:rsidRPr="00DD47DF">
              <w:rPr>
                <w:rFonts w:cs="Calibri"/>
              </w:rPr>
              <w:t> </w:t>
            </w:r>
            <w:r w:rsidRPr="00DD47DF">
              <w:rPr>
                <w:rFonts w:cs="Calibri"/>
              </w:rPr>
              <w:t>energií</w:t>
            </w:r>
          </w:p>
          <w:p w14:paraId="14820EC2" w14:textId="77777777" w:rsidR="008C4BF4" w:rsidRPr="00DD47DF" w:rsidRDefault="008C4BF4" w:rsidP="008C4BF4">
            <w:pPr>
              <w:pStyle w:val="Tabulka"/>
              <w:keepNext/>
              <w:keepLines/>
              <w:jc w:val="left"/>
              <w:rPr>
                <w:rFonts w:cs="Calibri"/>
              </w:rPr>
            </w:pPr>
            <w:r w:rsidRPr="00DD47DF">
              <w:rPr>
                <w:rFonts w:cs="Calibri"/>
              </w:rPr>
              <w:t>Zákon 458/2000 Sb.:</w:t>
            </w:r>
          </w:p>
          <w:p w14:paraId="5C7CEA90" w14:textId="77777777" w:rsidR="008C4BF4" w:rsidRPr="00DD47DF" w:rsidRDefault="008C4BF4" w:rsidP="008C4BF4">
            <w:pPr>
              <w:pStyle w:val="Tabulka"/>
              <w:jc w:val="left"/>
              <w:rPr>
                <w:rFonts w:cs="Calibri"/>
              </w:rPr>
            </w:pPr>
            <w:r w:rsidRPr="00DD47DF">
              <w:rPr>
                <w:rFonts w:cs="Calibri"/>
              </w:rPr>
              <w:t>Předložení návrhu vládě</w:t>
            </w:r>
          </w:p>
          <w:p w14:paraId="3F3F7818" w14:textId="77777777" w:rsidR="008C4BF4" w:rsidRPr="00DD47DF" w:rsidRDefault="008C4BF4" w:rsidP="008C4BF4">
            <w:pPr>
              <w:pStyle w:val="Tabulka"/>
              <w:jc w:val="left"/>
              <w:rPr>
                <w:rFonts w:cs="Calibri"/>
              </w:rPr>
            </w:pPr>
            <w:r w:rsidRPr="00DD47DF">
              <w:rPr>
                <w:rFonts w:cs="Calibri"/>
              </w:rPr>
              <w:t>8/2014</w:t>
            </w:r>
          </w:p>
          <w:p w14:paraId="00EF0C23" w14:textId="77777777" w:rsidR="008C4BF4" w:rsidRPr="00DD47DF" w:rsidRDefault="008C4BF4" w:rsidP="008C4BF4">
            <w:pPr>
              <w:pStyle w:val="Tabulka"/>
              <w:jc w:val="left"/>
              <w:rPr>
                <w:rFonts w:cs="Calibri"/>
              </w:rPr>
            </w:pPr>
            <w:r w:rsidRPr="00DD47DF">
              <w:rPr>
                <w:rFonts w:cs="Calibri"/>
              </w:rPr>
              <w:t xml:space="preserve">Předložení Parlamentu </w:t>
            </w:r>
          </w:p>
          <w:p w14:paraId="6DB13EE7" w14:textId="77777777" w:rsidR="008C4BF4" w:rsidRPr="00DD47DF" w:rsidRDefault="008C4BF4" w:rsidP="008C4BF4">
            <w:pPr>
              <w:pStyle w:val="Tabulka"/>
              <w:jc w:val="left"/>
              <w:rPr>
                <w:rFonts w:cs="Calibri"/>
              </w:rPr>
            </w:pPr>
            <w:r w:rsidRPr="00DD47DF">
              <w:rPr>
                <w:rFonts w:cs="Calibri"/>
              </w:rPr>
              <w:lastRenderedPageBreak/>
              <w:t>10/2014</w:t>
            </w:r>
          </w:p>
          <w:p w14:paraId="43C719DB" w14:textId="77777777" w:rsidR="008C4BF4" w:rsidRPr="00DD47DF" w:rsidRDefault="008C4BF4" w:rsidP="008C4BF4">
            <w:pPr>
              <w:pStyle w:val="Tabulka"/>
              <w:jc w:val="left"/>
              <w:rPr>
                <w:rFonts w:cs="Calibri"/>
              </w:rPr>
            </w:pPr>
            <w:r w:rsidRPr="00DD47DF">
              <w:rPr>
                <w:rFonts w:cs="Calibri"/>
              </w:rPr>
              <w:t>Předpokládané nabytí účinnosti</w:t>
            </w:r>
          </w:p>
          <w:p w14:paraId="4837C831" w14:textId="77777777" w:rsidR="008C4BF4" w:rsidRPr="00DD47DF" w:rsidRDefault="008C4BF4" w:rsidP="008C4BF4">
            <w:pPr>
              <w:pStyle w:val="Tabulka"/>
              <w:jc w:val="left"/>
              <w:rPr>
                <w:rFonts w:cs="Calibri"/>
              </w:rPr>
            </w:pPr>
            <w:r w:rsidRPr="00DD47DF">
              <w:rPr>
                <w:rFonts w:cs="Calibri"/>
              </w:rPr>
              <w:t>7/2015</w:t>
            </w:r>
          </w:p>
          <w:p w14:paraId="1F07CD47" w14:textId="77777777" w:rsidR="008C4BF4" w:rsidRPr="00DD47DF" w:rsidRDefault="008C4BF4" w:rsidP="008C4BF4">
            <w:pPr>
              <w:pStyle w:val="Tabulka"/>
              <w:keepNext/>
              <w:keepLines/>
              <w:jc w:val="left"/>
              <w:rPr>
                <w:rFonts w:cs="Calibri"/>
              </w:rPr>
            </w:pPr>
            <w:r w:rsidRPr="00DD47DF">
              <w:rPr>
                <w:rFonts w:cs="Calibri"/>
              </w:rPr>
              <w:t>zákon č. 406/2000 Sb.:</w:t>
            </w:r>
          </w:p>
          <w:p w14:paraId="095AEF98" w14:textId="77777777" w:rsidR="008C4BF4" w:rsidRPr="00DD47DF" w:rsidRDefault="008C4BF4" w:rsidP="008C4BF4">
            <w:pPr>
              <w:pStyle w:val="Tabulka"/>
              <w:keepNext/>
              <w:keepLines/>
              <w:jc w:val="left"/>
              <w:rPr>
                <w:rFonts w:cs="Calibri"/>
              </w:rPr>
            </w:pPr>
            <w:r w:rsidRPr="00DD47DF">
              <w:rPr>
                <w:rFonts w:cs="Calibri"/>
              </w:rPr>
              <w:t>Předložení návrhu vládě</w:t>
            </w:r>
          </w:p>
          <w:p w14:paraId="00A642AF" w14:textId="77777777" w:rsidR="008C4BF4" w:rsidRPr="00DD47DF" w:rsidRDefault="008C4BF4" w:rsidP="008C4BF4">
            <w:pPr>
              <w:pStyle w:val="Tabulka"/>
              <w:keepNext/>
              <w:keepLines/>
              <w:jc w:val="left"/>
              <w:rPr>
                <w:rFonts w:cs="Calibri"/>
              </w:rPr>
            </w:pPr>
            <w:r w:rsidRPr="00DD47DF">
              <w:rPr>
                <w:rFonts w:cs="Calibri"/>
              </w:rPr>
              <w:t>7/2014</w:t>
            </w:r>
          </w:p>
          <w:p w14:paraId="0558EA5A" w14:textId="77777777" w:rsidR="008C4BF4" w:rsidRPr="00DD47DF" w:rsidRDefault="008C4BF4" w:rsidP="008C4BF4">
            <w:pPr>
              <w:pStyle w:val="Tabulka"/>
              <w:keepNext/>
              <w:keepLines/>
              <w:jc w:val="left"/>
              <w:rPr>
                <w:rFonts w:cs="Calibri"/>
              </w:rPr>
            </w:pPr>
            <w:r w:rsidRPr="00DD47DF">
              <w:rPr>
                <w:rFonts w:cs="Calibri"/>
              </w:rPr>
              <w:t>Předložení Parlamentu</w:t>
            </w:r>
          </w:p>
          <w:p w14:paraId="3F2329B5" w14:textId="77777777" w:rsidR="008C4BF4" w:rsidRPr="00DD47DF" w:rsidRDefault="008C4BF4" w:rsidP="008C4BF4">
            <w:pPr>
              <w:pStyle w:val="Tabulka"/>
              <w:keepNext/>
              <w:keepLines/>
              <w:jc w:val="left"/>
              <w:rPr>
                <w:rFonts w:cs="Calibri"/>
              </w:rPr>
            </w:pPr>
            <w:r w:rsidRPr="00DD47DF">
              <w:rPr>
                <w:rFonts w:cs="Calibri"/>
              </w:rPr>
              <w:t>9/2014</w:t>
            </w:r>
          </w:p>
          <w:p w14:paraId="4303CDC4" w14:textId="77777777" w:rsidR="008C4BF4" w:rsidRPr="00DD47DF" w:rsidRDefault="008C4BF4" w:rsidP="008C4BF4">
            <w:pPr>
              <w:pStyle w:val="Tabulka"/>
              <w:keepNext/>
              <w:keepLines/>
              <w:jc w:val="left"/>
              <w:rPr>
                <w:rFonts w:cs="Calibri"/>
              </w:rPr>
            </w:pPr>
            <w:r w:rsidRPr="00DD47DF">
              <w:rPr>
                <w:rFonts w:cs="Calibri"/>
              </w:rPr>
              <w:t>Předpokládané nabytí účinnosti</w:t>
            </w:r>
          </w:p>
          <w:p w14:paraId="03F9BDF6" w14:textId="77777777" w:rsidR="008C4BF4" w:rsidRPr="00DD47DF" w:rsidRDefault="00F907CF" w:rsidP="008C4BF4">
            <w:pPr>
              <w:pStyle w:val="Tabulka"/>
              <w:jc w:val="left"/>
              <w:rPr>
                <w:rFonts w:cs="Calibri"/>
              </w:rPr>
            </w:pPr>
            <w:r w:rsidRPr="00DD47DF">
              <w:rPr>
                <w:rFonts w:cs="Calibri"/>
              </w:rPr>
              <w:t>7</w:t>
            </w:r>
            <w:r w:rsidR="008C4BF4" w:rsidRPr="00DD47DF">
              <w:rPr>
                <w:rFonts w:cs="Calibri"/>
              </w:rPr>
              <w:t>/2015</w:t>
            </w:r>
          </w:p>
          <w:p w14:paraId="1EF92D1C" w14:textId="77777777" w:rsidR="008C4BF4" w:rsidRPr="00DD47DF" w:rsidRDefault="008C4BF4" w:rsidP="006D2F5F">
            <w:pPr>
              <w:pStyle w:val="Tabulka"/>
              <w:jc w:val="left"/>
              <w:rPr>
                <w:rFonts w:cs="Calibri"/>
              </w:rPr>
            </w:pPr>
          </w:p>
        </w:tc>
        <w:tc>
          <w:tcPr>
            <w:tcW w:w="1801" w:type="dxa"/>
            <w:tcBorders>
              <w:top w:val="single" w:sz="4" w:space="0" w:color="auto"/>
              <w:left w:val="nil"/>
              <w:bottom w:val="single" w:sz="4" w:space="0" w:color="auto"/>
              <w:right w:val="double" w:sz="6" w:space="0" w:color="auto"/>
            </w:tcBorders>
            <w:shd w:val="clear" w:color="auto" w:fill="auto"/>
          </w:tcPr>
          <w:p w14:paraId="58443B20" w14:textId="77777777" w:rsidR="006D2F5F" w:rsidRPr="00DD47DF" w:rsidRDefault="00CC5680" w:rsidP="00CC5680">
            <w:pPr>
              <w:pStyle w:val="Tabulka"/>
              <w:keepNext/>
              <w:keepLines/>
              <w:jc w:val="left"/>
              <w:rPr>
                <w:rFonts w:cs="Calibri"/>
              </w:rPr>
            </w:pPr>
            <w:r>
              <w:rPr>
                <w:rFonts w:cs="Calibri"/>
              </w:rPr>
              <w:lastRenderedPageBreak/>
              <w:t>1.7.2015</w:t>
            </w:r>
          </w:p>
        </w:tc>
        <w:tc>
          <w:tcPr>
            <w:tcW w:w="0" w:type="auto"/>
            <w:tcBorders>
              <w:top w:val="single" w:sz="4" w:space="0" w:color="auto"/>
              <w:left w:val="nil"/>
              <w:bottom w:val="single" w:sz="4" w:space="0" w:color="auto"/>
              <w:right w:val="single" w:sz="8" w:space="0" w:color="auto"/>
            </w:tcBorders>
            <w:shd w:val="clear" w:color="auto" w:fill="auto"/>
          </w:tcPr>
          <w:p w14:paraId="4C9D1E0E" w14:textId="77777777" w:rsidR="006D2F5F" w:rsidRPr="00DD47DF" w:rsidRDefault="006D2F5F" w:rsidP="006D2F5F">
            <w:pPr>
              <w:pStyle w:val="Tabulka"/>
              <w:jc w:val="left"/>
              <w:rPr>
                <w:rFonts w:cs="Calibri"/>
              </w:rPr>
            </w:pPr>
            <w:r w:rsidRPr="00DD47DF">
              <w:rPr>
                <w:rFonts w:cs="Calibri"/>
              </w:rPr>
              <w:t>MPO</w:t>
            </w:r>
          </w:p>
        </w:tc>
      </w:tr>
      <w:tr w:rsidR="006D2F5F" w:rsidRPr="00DD47DF" w14:paraId="7081A186" w14:textId="77777777" w:rsidTr="00437632">
        <w:trPr>
          <w:trHeight w:val="1275"/>
        </w:trPr>
        <w:tc>
          <w:tcPr>
            <w:tcW w:w="2419" w:type="dxa"/>
            <w:tcBorders>
              <w:top w:val="single" w:sz="4" w:space="0" w:color="auto"/>
              <w:left w:val="single" w:sz="8" w:space="0" w:color="auto"/>
              <w:bottom w:val="single" w:sz="8" w:space="0" w:color="000000"/>
              <w:right w:val="double" w:sz="6" w:space="0" w:color="auto"/>
            </w:tcBorders>
            <w:shd w:val="clear" w:color="auto" w:fill="auto"/>
          </w:tcPr>
          <w:p w14:paraId="30436B50" w14:textId="77777777" w:rsidR="006D2F5F" w:rsidRPr="00DD47DF" w:rsidRDefault="006D2F5F" w:rsidP="006D2F5F">
            <w:pPr>
              <w:pStyle w:val="Tabulka"/>
              <w:jc w:val="left"/>
              <w:rPr>
                <w:rFonts w:cs="Calibri"/>
                <w:b/>
              </w:rPr>
            </w:pPr>
            <w:r w:rsidRPr="00DD47DF">
              <w:rPr>
                <w:rFonts w:cs="Calibri"/>
                <w:b/>
              </w:rPr>
              <w:t>8.2. Samostatná výdělečná činnost, podnikání a zakládání firem: existence strategického rámce politiky podpory začínajících podniků přispívající k začlenění.</w:t>
            </w:r>
          </w:p>
        </w:tc>
        <w:tc>
          <w:tcPr>
            <w:tcW w:w="1550" w:type="dxa"/>
            <w:tcBorders>
              <w:top w:val="single" w:sz="4" w:space="0" w:color="auto"/>
              <w:left w:val="nil"/>
              <w:bottom w:val="single" w:sz="8" w:space="0" w:color="auto"/>
              <w:right w:val="double" w:sz="6" w:space="0" w:color="auto"/>
            </w:tcBorders>
            <w:shd w:val="clear" w:color="auto" w:fill="auto"/>
          </w:tcPr>
          <w:p w14:paraId="2578B3E1" w14:textId="77777777" w:rsidR="006D2F5F" w:rsidRPr="00DD47DF" w:rsidRDefault="006D2F5F" w:rsidP="006D2F5F">
            <w:pPr>
              <w:pStyle w:val="Tabulka"/>
              <w:jc w:val="left"/>
              <w:rPr>
                <w:rFonts w:cs="Calibri"/>
              </w:rPr>
            </w:pPr>
            <w:r w:rsidRPr="00DD47DF">
              <w:rPr>
                <w:rFonts w:cs="Calibri"/>
              </w:rPr>
              <w:t>Opatření zavedená s cílem zkrátit dobu potřebnou k založení firmy a snížit příslušné náklady, která zohledňují cíle SBA</w:t>
            </w:r>
          </w:p>
        </w:tc>
        <w:tc>
          <w:tcPr>
            <w:tcW w:w="6946" w:type="dxa"/>
            <w:tcBorders>
              <w:top w:val="single" w:sz="4" w:space="0" w:color="auto"/>
              <w:left w:val="nil"/>
              <w:bottom w:val="single" w:sz="8" w:space="0" w:color="auto"/>
              <w:right w:val="double" w:sz="6" w:space="0" w:color="auto"/>
            </w:tcBorders>
            <w:shd w:val="clear" w:color="auto" w:fill="auto"/>
          </w:tcPr>
          <w:p w14:paraId="22999415" w14:textId="77777777" w:rsidR="00C03599" w:rsidRPr="00DD47DF" w:rsidRDefault="006D2F5F" w:rsidP="00C03599">
            <w:pPr>
              <w:pStyle w:val="Tabulka"/>
              <w:jc w:val="left"/>
              <w:rPr>
                <w:rFonts w:cs="Calibri"/>
              </w:rPr>
            </w:pPr>
            <w:r w:rsidRPr="00DD47DF">
              <w:rPr>
                <w:rFonts w:cs="Calibri"/>
              </w:rPr>
              <w:t xml:space="preserve">Návrh legislativního řešení </w:t>
            </w:r>
            <w:r w:rsidR="009E6E27" w:rsidRPr="00DD47DF">
              <w:rPr>
                <w:rFonts w:cs="Calibri"/>
              </w:rPr>
              <w:t xml:space="preserve">osvobození od soudních poplatků a </w:t>
            </w:r>
            <w:r w:rsidRPr="00DD47DF">
              <w:rPr>
                <w:rFonts w:cs="Calibri"/>
              </w:rPr>
              <w:t>snížení odměny notáře za zakládání podniků (společností)</w:t>
            </w:r>
          </w:p>
          <w:p w14:paraId="78D2BF32" w14:textId="77777777" w:rsidR="006D2F5F" w:rsidRPr="00DD47DF" w:rsidRDefault="006D2F5F" w:rsidP="006D2F5F">
            <w:pPr>
              <w:pStyle w:val="Tabulka"/>
              <w:jc w:val="left"/>
              <w:rPr>
                <w:rFonts w:cs="Calibri"/>
              </w:rPr>
            </w:pPr>
          </w:p>
          <w:p w14:paraId="47FDCBA3" w14:textId="77777777" w:rsidR="006D2F5F" w:rsidRPr="00DD47DF" w:rsidRDefault="006D2F5F" w:rsidP="00E96581">
            <w:pPr>
              <w:pStyle w:val="Tabulka"/>
              <w:jc w:val="left"/>
              <w:rPr>
                <w:rFonts w:cs="Calibri"/>
              </w:rPr>
            </w:pPr>
            <w:r w:rsidRPr="00DD47DF">
              <w:rPr>
                <w:rFonts w:cs="Calibri"/>
              </w:rPr>
              <w:t xml:space="preserve">Viz podmínka č. 3.1. </w:t>
            </w:r>
          </w:p>
        </w:tc>
        <w:tc>
          <w:tcPr>
            <w:tcW w:w="1801" w:type="dxa"/>
            <w:tcBorders>
              <w:top w:val="single" w:sz="4" w:space="0" w:color="auto"/>
              <w:left w:val="nil"/>
              <w:bottom w:val="single" w:sz="8" w:space="0" w:color="auto"/>
              <w:right w:val="double" w:sz="6" w:space="0" w:color="auto"/>
            </w:tcBorders>
            <w:shd w:val="clear" w:color="auto" w:fill="auto"/>
          </w:tcPr>
          <w:p w14:paraId="6E7A0A66" w14:textId="77777777" w:rsidR="00C03599" w:rsidRPr="00DD47DF" w:rsidRDefault="002D0399" w:rsidP="006D2F5F">
            <w:pPr>
              <w:pStyle w:val="Tabulka"/>
              <w:jc w:val="left"/>
              <w:rPr>
                <w:rFonts w:cs="Calibri"/>
              </w:rPr>
            </w:pPr>
            <w:r>
              <w:rPr>
                <w:rFonts w:cs="Calibri"/>
              </w:rPr>
              <w:t>31.10.</w:t>
            </w:r>
            <w:r w:rsidR="00D44763" w:rsidRPr="00DD47DF">
              <w:rPr>
                <w:rFonts w:cs="Calibri"/>
              </w:rPr>
              <w:t>2015</w:t>
            </w:r>
          </w:p>
        </w:tc>
        <w:tc>
          <w:tcPr>
            <w:tcW w:w="1640" w:type="dxa"/>
            <w:tcBorders>
              <w:top w:val="single" w:sz="4" w:space="0" w:color="auto"/>
              <w:left w:val="nil"/>
              <w:bottom w:val="single" w:sz="8" w:space="0" w:color="auto"/>
              <w:right w:val="single" w:sz="8" w:space="0" w:color="auto"/>
            </w:tcBorders>
            <w:shd w:val="clear" w:color="auto" w:fill="auto"/>
          </w:tcPr>
          <w:p w14:paraId="5AEDD141" w14:textId="77777777" w:rsidR="006D2F5F" w:rsidRPr="00DD47DF" w:rsidRDefault="006D2F5F" w:rsidP="006D2F5F">
            <w:pPr>
              <w:pStyle w:val="Tabulka"/>
              <w:jc w:val="left"/>
              <w:rPr>
                <w:rFonts w:cs="Calibri"/>
              </w:rPr>
            </w:pPr>
            <w:r w:rsidRPr="00DD47DF">
              <w:rPr>
                <w:rFonts w:cs="Calibri"/>
              </w:rPr>
              <w:t>MSp</w:t>
            </w:r>
          </w:p>
        </w:tc>
      </w:tr>
    </w:tbl>
    <w:p w14:paraId="381E75A3" w14:textId="77777777" w:rsidR="006D2F5F" w:rsidRPr="00DD47DF" w:rsidRDefault="006D2F5F" w:rsidP="004B5A6C">
      <w:pPr>
        <w:jc w:val="both"/>
        <w:rPr>
          <w:rFonts w:ascii="Calibri" w:hAnsi="Calibri" w:cs="Calibri"/>
          <w:sz w:val="28"/>
          <w:szCs w:val="28"/>
        </w:rPr>
        <w:sectPr w:rsidR="006D2F5F" w:rsidRPr="00DD47DF" w:rsidSect="00A72DFD">
          <w:headerReference w:type="default" r:id="rId169"/>
          <w:footerReference w:type="default" r:id="rId170"/>
          <w:pgSz w:w="16838" w:h="11906" w:orient="landscape"/>
          <w:pgMar w:top="1418" w:right="1418" w:bottom="1276" w:left="1276" w:header="709" w:footer="709" w:gutter="0"/>
          <w:cols w:space="708"/>
          <w:docGrid w:linePitch="272"/>
        </w:sectPr>
      </w:pPr>
    </w:p>
    <w:p w14:paraId="0393ADAF" w14:textId="77777777" w:rsidR="00FF200C" w:rsidRPr="00DD47DF" w:rsidRDefault="00FF200C" w:rsidP="00FF200C">
      <w:pPr>
        <w:pStyle w:val="Nadpis1"/>
      </w:pPr>
      <w:bookmarkStart w:id="139" w:name="_Toc520445343"/>
      <w:r w:rsidRPr="00DD47DF">
        <w:lastRenderedPageBreak/>
        <w:t>Snižování administrativní zátěže pro příjemce</w:t>
      </w:r>
      <w:bookmarkEnd w:id="139"/>
    </w:p>
    <w:p w14:paraId="537AC048" w14:textId="77777777" w:rsidR="00D162A4" w:rsidRPr="00DD47DF" w:rsidRDefault="00223D40" w:rsidP="00223D40">
      <w:pPr>
        <w:pStyle w:val="Standardntext"/>
        <w:rPr>
          <w:u w:val="single"/>
        </w:rPr>
      </w:pPr>
      <w:r w:rsidRPr="00DD47DF">
        <w:t>Snižování administrativní zátěže byla věnována pozornost již v průběhu implementace OPPI. Zásadním prvkem bylo využ</w:t>
      </w:r>
      <w:r w:rsidR="00D162A4" w:rsidRPr="00DD47DF">
        <w:t>ívání IS</w:t>
      </w:r>
      <w:r w:rsidRPr="00DD47DF">
        <w:t xml:space="preserve"> ISOP-Centrum a internetové aplikace e-Account pro zajištění elektronické komunikace mezi žadateli a příjemci podpory a implementační strukturou. Tato aplikace přinesla snížení nákladů u žadatelů a příjemců i zjednodušení procesů v rámci administrace projektů</w:t>
      </w:r>
      <w:r w:rsidR="00D162A4" w:rsidRPr="00DD47DF">
        <w:t>, a</w:t>
      </w:r>
      <w:r w:rsidRPr="00DD47DF">
        <w:t xml:space="preserve"> byla na základě zkušeností a potřeb v průběhu využívání doplňována </w:t>
      </w:r>
      <w:r w:rsidR="00D162A4" w:rsidRPr="00DD47DF">
        <w:t xml:space="preserve">o další funkce, </w:t>
      </w:r>
      <w:r w:rsidRPr="00DD47DF">
        <w:t>mj. na základě externě zpracované evaluace</w:t>
      </w:r>
      <w:r w:rsidRPr="00DD47DF">
        <w:rPr>
          <w:rStyle w:val="Znakapoznpodarou"/>
        </w:rPr>
        <w:footnoteReference w:id="108"/>
      </w:r>
      <w:r w:rsidRPr="00DD47DF">
        <w:t>. Dále bylo vyhodnoceno nastavení některých dalších procesů při implementaci OPPI</w:t>
      </w:r>
      <w:r w:rsidRPr="00DD47DF">
        <w:rPr>
          <w:rStyle w:val="Znakapoznpodarou"/>
        </w:rPr>
        <w:footnoteReference w:id="109"/>
      </w:r>
      <w:r w:rsidRPr="00DD47DF">
        <w:t>, na základě kterého došlo k optimalizaci administrativních procesů a postupů na straně Řídícího orgánu s pozitivním dopadem na administrativní nároky na žadatele a příjemce, stejně jako evaluace procesů souvisejících s žádostí o platbu</w:t>
      </w:r>
      <w:r w:rsidRPr="00DD47DF">
        <w:rPr>
          <w:rStyle w:val="Znakapoznpodarou"/>
        </w:rPr>
        <w:footnoteReference w:id="110"/>
      </w:r>
      <w:r w:rsidRPr="00DD47DF">
        <w:t xml:space="preserve">. Závěry z této evaluace budou využity pro nastavení procesů v OP PIK. Při implementaci programu </w:t>
      </w:r>
      <w:r w:rsidR="00D162A4" w:rsidRPr="00DD47DF">
        <w:t xml:space="preserve">bude kladen </w:t>
      </w:r>
      <w:r w:rsidRPr="00DD47DF">
        <w:t>důraz na intenzivní komunikaci s žadateli a příjemci podpory s cílem napomoci jim při plnění administrativních povinností při realizaci projektů v problémových oblastech,</w:t>
      </w:r>
      <w:r w:rsidR="00D162A4" w:rsidRPr="00DD47DF">
        <w:t xml:space="preserve"> zejména v oblasti</w:t>
      </w:r>
      <w:r w:rsidRPr="00DD47DF">
        <w:t xml:space="preserve"> </w:t>
      </w:r>
      <w:r w:rsidR="00D162A4" w:rsidRPr="00DD47DF">
        <w:t xml:space="preserve">veřejných </w:t>
      </w:r>
      <w:r w:rsidRPr="00DD47DF">
        <w:t>zakáz</w:t>
      </w:r>
      <w:r w:rsidR="00D162A4" w:rsidRPr="00DD47DF">
        <w:t>ek</w:t>
      </w:r>
      <w:r w:rsidRPr="00DD47DF">
        <w:t>, příprav žádostí o platbu, kontrol.</w:t>
      </w:r>
      <w:r w:rsidRPr="00DD47DF" w:rsidDel="009D218D">
        <w:t xml:space="preserve"> </w:t>
      </w:r>
      <w:r w:rsidR="00D162A4" w:rsidRPr="00DD47DF">
        <w:rPr>
          <w:u w:val="single"/>
        </w:rPr>
        <w:t>Semináře k těmto tématům pro uvedenou cílovou skupinu budou součástí komunikační strategie programu, řídící orgán je bude organizovat v termínech daných touto strategií.</w:t>
      </w:r>
    </w:p>
    <w:p w14:paraId="272F5C5B" w14:textId="77777777" w:rsidR="00223D40" w:rsidRPr="00DD47DF" w:rsidRDefault="00223D40" w:rsidP="00223D40">
      <w:pPr>
        <w:pStyle w:val="Standardntext"/>
      </w:pPr>
      <w:r w:rsidRPr="00DD47DF">
        <w:t xml:space="preserve">Snižování administrativní zátěže pro příjemce bude probíhat v souladu s usnesením vlády ČR ze dne 21. března 2012 č. 184 </w:t>
      </w:r>
      <w:r w:rsidRPr="00DD47DF">
        <w:rPr>
          <w:i/>
        </w:rPr>
        <w:t>o doporučeních ke zjednodušení administrativní zátěže pro žadatele a příjemce při čerpání finančních prostředků z fondů EU v programovém období 2014–2020</w:t>
      </w:r>
      <w:r w:rsidRPr="00DD47DF">
        <w:t xml:space="preserve"> ve třech rovinách:</w:t>
      </w:r>
    </w:p>
    <w:p w14:paraId="5EF6CC80" w14:textId="77777777" w:rsidR="00223D40" w:rsidRPr="00DD47DF" w:rsidRDefault="00223D40" w:rsidP="00DA3512">
      <w:pPr>
        <w:pStyle w:val="Standardntext"/>
        <w:numPr>
          <w:ilvl w:val="0"/>
          <w:numId w:val="73"/>
        </w:numPr>
        <w:spacing w:after="60"/>
        <w:ind w:left="714" w:hanging="357"/>
      </w:pPr>
      <w:r w:rsidRPr="00DD47DF">
        <w:t>Vstřícný přístup k žadatelům</w:t>
      </w:r>
    </w:p>
    <w:p w14:paraId="3D10223E" w14:textId="77777777" w:rsidR="00223D40" w:rsidRPr="00DD47DF" w:rsidRDefault="00223D40" w:rsidP="00223D40">
      <w:pPr>
        <w:pStyle w:val="Standardntext"/>
        <w:ind w:left="720"/>
      </w:pPr>
      <w:r w:rsidRPr="00DD47DF">
        <w:t>Cílem je redukovat požadavky na rozsah projektových žádostí a jejich příloh jen na informace nezbytné k posouzení žádosti. Předávání žádostí o platbu bude v maximální možné míř</w:t>
      </w:r>
      <w:r w:rsidR="00C8287F" w:rsidRPr="00DD47DF">
        <w:t>e probíhat v elektronické podobě.</w:t>
      </w:r>
      <w:r w:rsidRPr="00DD47DF">
        <w:t xml:space="preserve"> Samozřejmostí je oboustranná elektronická komunikace Řídícího orgánu se žadatelem, předávání rozhodnutí a jeho změn elektronicky do datové schránky žadatele či uchovávání dokumentů v informačním systému elektronicky. Tato opatření se osvědčila</w:t>
      </w:r>
      <w:r w:rsidR="00BA4E72" w:rsidRPr="00DD47DF">
        <w:t xml:space="preserve"> </w:t>
      </w:r>
      <w:r w:rsidRPr="00DD47DF">
        <w:t xml:space="preserve">v letech 2007 – 2013. Nezbytné je nastavení jednotlivých procesů při administraci žádosti a realizaci projektu tak, aby jednotlivé procesy a postupy na sebe navazovaly a měly jednoznačně stanoven svůj počátek a konec a také předcházející a návazný proces. Dále je nutné jednoznačně nastavit lhůty jednotlivých procesů tam, kde je to možné. Lhůty musí být součástí interních dokumentů Řídícího orgánu a musí být dodržovány. Cílem je dosáhnout jejich měření, vyhodnocení a následně také zkrácení. </w:t>
      </w:r>
      <w:r w:rsidRPr="00DD47DF">
        <w:rPr>
          <w:u w:val="single"/>
        </w:rPr>
        <w:t>Indikativním časovým rámcem pro naplnění výše uvedených opatření je prosinec 2014.</w:t>
      </w:r>
    </w:p>
    <w:p w14:paraId="2EFE72E6" w14:textId="77777777" w:rsidR="00223D40" w:rsidRPr="00DD47DF" w:rsidRDefault="00223D40" w:rsidP="00DA3512">
      <w:pPr>
        <w:pStyle w:val="Standardntext"/>
        <w:keepNext/>
        <w:keepLines/>
        <w:numPr>
          <w:ilvl w:val="0"/>
          <w:numId w:val="73"/>
        </w:numPr>
        <w:spacing w:after="60"/>
        <w:ind w:left="714" w:hanging="357"/>
      </w:pPr>
      <w:r w:rsidRPr="00DD47DF">
        <w:lastRenderedPageBreak/>
        <w:t>Efektivní a uživatelsky přívětivý informační systém</w:t>
      </w:r>
    </w:p>
    <w:p w14:paraId="728ABB3E" w14:textId="77777777" w:rsidR="00223D40" w:rsidRPr="00DD47DF" w:rsidRDefault="00223D40" w:rsidP="003E1311">
      <w:pPr>
        <w:pStyle w:val="Standardntext"/>
        <w:keepNext/>
        <w:keepLines/>
        <w:ind w:left="720"/>
        <w:rPr>
          <w:u w:val="single"/>
        </w:rPr>
      </w:pPr>
      <w:r w:rsidRPr="00DD47DF">
        <w:t>Ve spolupráci s gestorem jednotného monitorovacího prostředí (MMR) usiluje Řídící orgán OP PIK o to, aby informační systém vytvořil prostředí, které poskytne žadateli či příjemci jasné a přehledné uživatelské prostředí a naplní výše nastíněná opatření. Půjde zejména o to zabezpečit optimální míru elektronizace celého procesu přípravy projektových žádostí, jejich podání (včetně příloh, např. digitalizované kopie faktur, dokladů o úhradě apod.) formou elektronických formulářů a systému elektronického podepisování platné dokumentace, administrace projektových žádostí, systému hodnocení a výběru projektů, administrace monitorovacích zpráv a žádostí o platbu. Dalším opatřením bude maximální využití centrálních registrů v procesech Operačního programu</w:t>
      </w:r>
      <w:r w:rsidR="00E33D19" w:rsidRPr="00DD47DF">
        <w:t>, tj. možnost online ověření identity žadatele, jeho možných insolvenčních řízení apod</w:t>
      </w:r>
      <w:r w:rsidRPr="00DD47DF">
        <w:t>. Z hlediska monitoringu</w:t>
      </w:r>
      <w:r w:rsidRPr="00DD47DF">
        <w:rPr>
          <w:rStyle w:val="Znakapoznpodarou"/>
        </w:rPr>
        <w:footnoteReference w:id="111"/>
      </w:r>
      <w:r w:rsidRPr="00DD47DF">
        <w:t xml:space="preserve"> se předpokládá existence systému statistického sledování projektů a jejich výstupů, systemizace sledování hodnocení předkládaných projektů formou jejich umístění v konkrétních hodnocených stavech a logická provázanost jednotlivých dílčích kroků. Nezbytná je rovněž existence komunikačního kanálu pro jasnou a rychlou spolupráci s příjemcem. Systém by měl umožnit efektivní nastavení, sledování a urgování plnění lhůt, aby žadatelé nemuseli dlouho čekat na vydání rozhodnutí a na proplacení příslušné výše podpory. </w:t>
      </w:r>
      <w:r w:rsidRPr="00DD47DF">
        <w:rPr>
          <w:u w:val="single"/>
        </w:rPr>
        <w:t>Indikativní časový rám</w:t>
      </w:r>
      <w:r w:rsidR="00E33D19" w:rsidRPr="00DD47DF">
        <w:rPr>
          <w:u w:val="single"/>
        </w:rPr>
        <w:t>ec</w:t>
      </w:r>
      <w:r w:rsidRPr="00DD47DF">
        <w:rPr>
          <w:u w:val="single"/>
        </w:rPr>
        <w:t xml:space="preserve"> pro naplnění výše uvedených opatření je </w:t>
      </w:r>
      <w:r w:rsidR="00E33D19" w:rsidRPr="00DD47DF">
        <w:rPr>
          <w:u w:val="single"/>
        </w:rPr>
        <w:t xml:space="preserve">dán </w:t>
      </w:r>
      <w:r w:rsidRPr="00DD47DF">
        <w:rPr>
          <w:u w:val="single"/>
        </w:rPr>
        <w:t>harmonogram</w:t>
      </w:r>
      <w:r w:rsidR="00E33D19" w:rsidRPr="00DD47DF">
        <w:rPr>
          <w:u w:val="single"/>
        </w:rPr>
        <w:t>em</w:t>
      </w:r>
      <w:r w:rsidRPr="00DD47DF">
        <w:rPr>
          <w:u w:val="single"/>
        </w:rPr>
        <w:t xml:space="preserve"> gestora informačního systému.</w:t>
      </w:r>
    </w:p>
    <w:p w14:paraId="4F3E239F" w14:textId="77777777" w:rsidR="00223D40" w:rsidRPr="00DD47DF" w:rsidRDefault="00223D40" w:rsidP="00DA3512">
      <w:pPr>
        <w:pStyle w:val="Standardntext"/>
        <w:numPr>
          <w:ilvl w:val="0"/>
          <w:numId w:val="73"/>
        </w:numPr>
        <w:spacing w:after="60"/>
        <w:ind w:left="714" w:hanging="357"/>
      </w:pPr>
      <w:r w:rsidRPr="00DD47DF">
        <w:t>Jednoznačné a srozumitelné programy podpory a výzvy</w:t>
      </w:r>
    </w:p>
    <w:p w14:paraId="1DE96C65" w14:textId="77777777" w:rsidR="00223D40" w:rsidRPr="00DD47DF" w:rsidRDefault="00223D40" w:rsidP="00223D40">
      <w:pPr>
        <w:pStyle w:val="Standardntext"/>
        <w:ind w:left="720"/>
      </w:pPr>
      <w:r w:rsidRPr="00DD47DF">
        <w:t xml:space="preserve">Výběrová kritéria by měla maximalizovat kritéria binární, která jsou transparentní a srozumitelná pro žadatele a nekladou na žadatele přehnané nároky v podobě dokládání dokumentů a dalších podkladů, které pro posouzení kvality projektu nejsou nezbytně nutné. Tím se usnadní i případné odvolací a přezkumné procedury, pokud bude žadatelům dopředu zřejmé, kdo může o podporu v daném programu podpory žádat. </w:t>
      </w:r>
      <w:r w:rsidRPr="00DD47DF">
        <w:rPr>
          <w:u w:val="single"/>
        </w:rPr>
        <w:t>Indikativním časovým rámcem pro naplnění výše uvedených opatření je termín vyhlášení prvních výzev v rámci OP PIK</w:t>
      </w:r>
      <w:r w:rsidRPr="00DD47DF">
        <w:t>.</w:t>
      </w:r>
    </w:p>
    <w:p w14:paraId="1EF02C2B" w14:textId="77777777" w:rsidR="00223D40" w:rsidRPr="00DD47DF" w:rsidRDefault="00223D40" w:rsidP="00223D40">
      <w:pPr>
        <w:pStyle w:val="Standardntext"/>
      </w:pPr>
      <w:r w:rsidRPr="00DD47DF">
        <w:t xml:space="preserve">K naplnění těchto principů přispěje vytvoření jednotného metodického prostředí na národní úrovni, kterým bude zajištěna standardizace postupů a pravidel, větší transparentnost procesů i přehlednost pravidel s pozitivním dopadem na nižší administrativní zátěž na straně příjemců podpory. Jednotné metodické dokumenty budou zohledněny v interních manuálech </w:t>
      </w:r>
      <w:r w:rsidR="00E33D19" w:rsidRPr="00DD47DF">
        <w:t xml:space="preserve">Řídícího orgánu </w:t>
      </w:r>
      <w:r w:rsidRPr="00DD47DF">
        <w:t>pro implementaci programu. Dostupnost a sdílení metodických dokumentů bude ošetřeno softwarovou aplikací, která zajistí on-line přístup ke všem dokumentům celé implementační struktury. Tím bude zajištěn jednotný přístup k žadatelům v oblasti výkladu metodiky všemi účastníky podílejících se na implementaci OP PIK.</w:t>
      </w:r>
    </w:p>
    <w:p w14:paraId="7EDB406A" w14:textId="77777777" w:rsidR="00223D40" w:rsidRPr="00DD47DF" w:rsidRDefault="00223D40" w:rsidP="00210E9A">
      <w:pPr>
        <w:pStyle w:val="Standardntext"/>
        <w:spacing w:after="60"/>
      </w:pPr>
      <w:r w:rsidRPr="00DD47DF">
        <w:t>S ohledem na charakter hlavní cílové skupiny příjemců (</w:t>
      </w:r>
      <w:r w:rsidR="00E33D19" w:rsidRPr="00DD47DF">
        <w:t>MSP</w:t>
      </w:r>
      <w:r w:rsidRPr="00DD47DF">
        <w:t>) umožní snížení administrativní náročnosti účasti v programu také provádění pomoci prostřednictvím finančních nástrojů</w:t>
      </w:r>
      <w:r w:rsidR="00E33D19" w:rsidRPr="00DD47DF">
        <w:t xml:space="preserve"> (FN)</w:t>
      </w:r>
      <w:r w:rsidRPr="00DD47DF">
        <w:t>:</w:t>
      </w:r>
    </w:p>
    <w:p w14:paraId="3C4317B2" w14:textId="77777777" w:rsidR="00223D40" w:rsidRPr="00DD47DF" w:rsidRDefault="00223D40" w:rsidP="00DA3512">
      <w:pPr>
        <w:pStyle w:val="Standardntext"/>
        <w:numPr>
          <w:ilvl w:val="0"/>
          <w:numId w:val="72"/>
        </w:numPr>
        <w:spacing w:after="60"/>
      </w:pPr>
      <w:r w:rsidRPr="00DD47DF">
        <w:t xml:space="preserve">V případě </w:t>
      </w:r>
      <w:r w:rsidR="00E33D19" w:rsidRPr="00DD47DF">
        <w:t xml:space="preserve">FN </w:t>
      </w:r>
      <w:r w:rsidRPr="00DD47DF">
        <w:t>není konečný příjemce dotovaným zadavatelem, což znamená jednoduš</w:t>
      </w:r>
      <w:r w:rsidR="00E33D19" w:rsidRPr="00DD47DF">
        <w:t>š</w:t>
      </w:r>
      <w:r w:rsidRPr="00DD47DF">
        <w:t xml:space="preserve">í </w:t>
      </w:r>
      <w:r w:rsidR="00E33D19" w:rsidRPr="00DD47DF">
        <w:t xml:space="preserve">administraci </w:t>
      </w:r>
      <w:r w:rsidRPr="00DD47DF">
        <w:t>projektu.</w:t>
      </w:r>
    </w:p>
    <w:p w14:paraId="74F0E4CC" w14:textId="77777777" w:rsidR="00223D40" w:rsidRPr="00DD47DF" w:rsidRDefault="00223D40" w:rsidP="00DA3512">
      <w:pPr>
        <w:pStyle w:val="Standardntext"/>
        <w:numPr>
          <w:ilvl w:val="0"/>
          <w:numId w:val="72"/>
        </w:numPr>
        <w:spacing w:after="60"/>
      </w:pPr>
      <w:r w:rsidRPr="00DD47DF">
        <w:t>Hodnocení žádosti se časově zkrátí (jednostupňové hodnocení) a více se orientuje na věcné a finanční hledisko, méně na hledisko formální.</w:t>
      </w:r>
    </w:p>
    <w:p w14:paraId="58865DD8" w14:textId="77777777" w:rsidR="00223D40" w:rsidRPr="00DD47DF" w:rsidRDefault="00223D40" w:rsidP="00DA3512">
      <w:pPr>
        <w:pStyle w:val="Standardntext"/>
        <w:numPr>
          <w:ilvl w:val="0"/>
          <w:numId w:val="72"/>
        </w:numPr>
        <w:spacing w:after="60"/>
      </w:pPr>
      <w:r w:rsidRPr="00DD47DF">
        <w:lastRenderedPageBreak/>
        <w:t>Proces proplacení žádosti o platbu je vázán především na prokázání účelovosti čerpaných prostředků v souladu s podmínkami smlouvy, nikoliv na další dodatečné podmínky, proplácení ex ante</w:t>
      </w:r>
      <w:r w:rsidR="00C8287F" w:rsidRPr="00DD47DF">
        <w:t>.</w:t>
      </w:r>
    </w:p>
    <w:p w14:paraId="35CB0B80" w14:textId="77777777" w:rsidR="00223D40" w:rsidRPr="00DD47DF" w:rsidRDefault="00223D40" w:rsidP="00DA3512">
      <w:pPr>
        <w:pStyle w:val="Standardntext"/>
        <w:numPr>
          <w:ilvl w:val="0"/>
          <w:numId w:val="72"/>
        </w:numPr>
      </w:pPr>
      <w:r w:rsidRPr="00DD47DF">
        <w:t>Změny podmínek realizace projektu jsou také spojeny s nižší administrativní náročností, pokud nejsou zásadního charakteru (pokud nemají vliv na hodnocení projektu)</w:t>
      </w:r>
      <w:r w:rsidR="00C8287F" w:rsidRPr="00DD47DF">
        <w:t>.</w:t>
      </w:r>
    </w:p>
    <w:p w14:paraId="4984F3C8" w14:textId="77777777" w:rsidR="004A18A3" w:rsidRPr="00DD47DF" w:rsidRDefault="004A18A3" w:rsidP="004A18A3">
      <w:pPr>
        <w:pStyle w:val="Standardntext"/>
      </w:pPr>
      <w:r w:rsidRPr="00DD47DF">
        <w:t xml:space="preserve">ŘO OP PIK považuje za podstatné posílení metodického vedení programu tak, aby podnikatelé, jako hlavní skupina příjemců programu, měli jasné a jednoznačné vodítko, jak zpracovávat žádosti o podporu, administrovat a realizovat své projekty. K tomuto účelu pro ně budou vydána řídícím orgánem jasná a srozumitelná pravidla. </w:t>
      </w:r>
      <w:r w:rsidRPr="00DD47DF">
        <w:rPr>
          <w:u w:val="single"/>
        </w:rPr>
        <w:t>Příslušná dokumentace musí být připravena k termínu vyhlášení prvních výzev programů podpory OP PIK.</w:t>
      </w:r>
    </w:p>
    <w:p w14:paraId="0C892809" w14:textId="77777777" w:rsidR="009E6172" w:rsidRPr="00DD47DF" w:rsidRDefault="000816D8" w:rsidP="000816D8">
      <w:pPr>
        <w:pStyle w:val="Nadpis1"/>
      </w:pPr>
      <w:bookmarkStart w:id="140" w:name="_Toc520445344"/>
      <w:r w:rsidRPr="00DD47DF">
        <w:lastRenderedPageBreak/>
        <w:t xml:space="preserve">Horizontální </w:t>
      </w:r>
      <w:r w:rsidR="003D6763" w:rsidRPr="00DD47DF">
        <w:t>zásady</w:t>
      </w:r>
      <w:bookmarkEnd w:id="140"/>
    </w:p>
    <w:p w14:paraId="04D195B9" w14:textId="77777777" w:rsidR="00851C7E" w:rsidRPr="00DD47DF" w:rsidRDefault="0071595D" w:rsidP="00902931">
      <w:pPr>
        <w:pStyle w:val="Nadpis2"/>
        <w:rPr>
          <w:rFonts w:cs="Calibri"/>
        </w:rPr>
      </w:pPr>
      <w:bookmarkStart w:id="141" w:name="_Toc351464444"/>
      <w:bookmarkStart w:id="142" w:name="_Toc520445345"/>
      <w:r w:rsidRPr="00DD47DF">
        <w:rPr>
          <w:rFonts w:cs="Calibri"/>
        </w:rPr>
        <w:t>Udržitelný rozvoj</w:t>
      </w:r>
      <w:bookmarkEnd w:id="141"/>
      <w:bookmarkEnd w:id="142"/>
    </w:p>
    <w:p w14:paraId="77699360" w14:textId="77777777" w:rsidR="005C372A" w:rsidRPr="00DD47DF" w:rsidRDefault="005C372A" w:rsidP="00902931">
      <w:pPr>
        <w:pStyle w:val="Standardntext"/>
        <w:rPr>
          <w:color w:val="FF0000"/>
        </w:rPr>
      </w:pPr>
      <w:r w:rsidRPr="00DD47DF">
        <w:rPr>
          <w:bCs/>
        </w:rPr>
        <w:t xml:space="preserve">Udržitelný rozvoj je takový rozvoj, který umožňuje zlepšování </w:t>
      </w:r>
      <w:r w:rsidRPr="00DD47DF">
        <w:t>životní úrovně a blahobytu lidí v</w:t>
      </w:r>
      <w:r w:rsidR="00D111F8" w:rsidRPr="00DD47DF">
        <w:t> </w:t>
      </w:r>
      <w:r w:rsidRPr="00DD47DF">
        <w:t>mezích kapacity ekosystémů při zachování přírodních hodnot a biologické rozmanitosti pro současné a příští generace. Dle čl. 8 obecného nařízení mají členské státy a Komise při přípravě a provádění smluv o partnerství a programů zajistit podporu požadavků na ochranu životního prostředí, účinného využívání zdrojů, opatření ke zmírňování změny klimatu a přizpůsobení se této změně, odolnosti proti katastrofám a předcházení rizikům. Stav v jednotlivých oblastech udržitelného rozvoje v ČR je sledován pomocí sady indikátorů.</w:t>
      </w:r>
      <w:r w:rsidR="004621F2" w:rsidRPr="00DD47DF">
        <w:t xml:space="preserve"> </w:t>
      </w:r>
    </w:p>
    <w:p w14:paraId="2847BA6B" w14:textId="77777777" w:rsidR="005C372A" w:rsidRPr="00DD47DF" w:rsidRDefault="005C372A" w:rsidP="00902931">
      <w:pPr>
        <w:pStyle w:val="Standardntext"/>
        <w:spacing w:after="0"/>
      </w:pPr>
      <w:r w:rsidRPr="00DD47DF">
        <w:t>Základním dokumentem na národní úrovni, který řeší problematiku udržitelného rozvoje v ČR, je Strategický rámec udržitelného rozvoje ČR (SRUR). Mezi globální cíle SRUR patří:</w:t>
      </w:r>
    </w:p>
    <w:p w14:paraId="62C76E1D" w14:textId="77777777" w:rsidR="005C372A" w:rsidRPr="00DD47DF" w:rsidRDefault="005C372A" w:rsidP="005F43DF">
      <w:pPr>
        <w:pStyle w:val="Standardntext"/>
        <w:numPr>
          <w:ilvl w:val="0"/>
          <w:numId w:val="6"/>
        </w:numPr>
        <w:spacing w:after="0"/>
      </w:pPr>
      <w:r w:rsidRPr="00DD47DF">
        <w:t>ochrana životního prostředí (ekosystémy, biodiverzita, zdroje, udržitelná výroba a spotřeba),</w:t>
      </w:r>
    </w:p>
    <w:p w14:paraId="17D8472C" w14:textId="77777777" w:rsidR="005C372A" w:rsidRPr="00DD47DF" w:rsidRDefault="005C372A" w:rsidP="005F43DF">
      <w:pPr>
        <w:pStyle w:val="Standardntext"/>
        <w:numPr>
          <w:ilvl w:val="0"/>
          <w:numId w:val="6"/>
        </w:numPr>
        <w:spacing w:after="0"/>
      </w:pPr>
      <w:r w:rsidRPr="00DD47DF">
        <w:t>sociální soudržnost (sociální soudržnost, zdraví, bezpečnost, práva, rovné příležitosti, kulturní diverzita),</w:t>
      </w:r>
    </w:p>
    <w:p w14:paraId="5F2F2764" w14:textId="77777777" w:rsidR="005C372A" w:rsidRPr="00DD47DF" w:rsidRDefault="005C372A" w:rsidP="005F43DF">
      <w:pPr>
        <w:pStyle w:val="Standardntext"/>
        <w:numPr>
          <w:ilvl w:val="0"/>
          <w:numId w:val="6"/>
        </w:numPr>
        <w:spacing w:after="0"/>
      </w:pPr>
      <w:r w:rsidRPr="00DD47DF">
        <w:t>ekonomická prosperita (prosperita, inovace, znalosti, eko-efektivita, životní standard, zaměstnanost),</w:t>
      </w:r>
    </w:p>
    <w:p w14:paraId="2F072150" w14:textId="77777777" w:rsidR="005C372A" w:rsidRPr="00DD47DF" w:rsidRDefault="005C372A" w:rsidP="005F43DF">
      <w:pPr>
        <w:pStyle w:val="Standardntext"/>
        <w:numPr>
          <w:ilvl w:val="0"/>
          <w:numId w:val="6"/>
        </w:numPr>
      </w:pPr>
      <w:r w:rsidRPr="00DD47DF">
        <w:t>mezinárodní odpovědnost (stabilní demokratické instituce, mír, bezpečnost, svoboda, globální udržitelnost, mezinárodní vztahy).</w:t>
      </w:r>
    </w:p>
    <w:p w14:paraId="3F95C8D0" w14:textId="77777777" w:rsidR="005C372A" w:rsidRPr="00DD47DF" w:rsidRDefault="005C372A" w:rsidP="00902931">
      <w:pPr>
        <w:pStyle w:val="Standardntext"/>
        <w:spacing w:after="0"/>
      </w:pPr>
      <w:r w:rsidRPr="00DD47DF">
        <w:t>Zejména v posledních letech se ukazuje, že ochrana životního prostředí se pro podniky stává stále větším konkurenčním problémem a je prostředkem k získávání nového potenciálu zisku a profilování podniku. Respektování ekologického hlediska v podnikatelské strategii, může přispět k dosažení konkurenční výhody tehdy, jestliže:</w:t>
      </w:r>
    </w:p>
    <w:p w14:paraId="7045A9BA" w14:textId="77777777" w:rsidR="005C372A" w:rsidRPr="00DD47DF" w:rsidRDefault="005C372A" w:rsidP="005F43DF">
      <w:pPr>
        <w:pStyle w:val="Standardntext"/>
        <w:numPr>
          <w:ilvl w:val="0"/>
          <w:numId w:val="7"/>
        </w:numPr>
        <w:spacing w:after="0"/>
      </w:pPr>
      <w:r w:rsidRPr="00DD47DF">
        <w:t>je při ochraně životního prostředí zvyšování konkurenceschopnosti chápáno integrovaně ve všech podnikových funkcích,</w:t>
      </w:r>
    </w:p>
    <w:p w14:paraId="3B8D406D" w14:textId="77777777" w:rsidR="005C372A" w:rsidRPr="00DD47DF" w:rsidRDefault="005C372A" w:rsidP="005F43DF">
      <w:pPr>
        <w:pStyle w:val="Standardntext"/>
        <w:numPr>
          <w:ilvl w:val="0"/>
          <w:numId w:val="7"/>
        </w:numPr>
        <w:spacing w:after="0"/>
      </w:pPr>
      <w:r w:rsidRPr="00DD47DF">
        <w:t>opatření orientovaná dovnitř podniku jsou spojena s opatřeními orientovanými na trh,</w:t>
      </w:r>
    </w:p>
    <w:p w14:paraId="34ED792E" w14:textId="77777777" w:rsidR="005C372A" w:rsidRPr="00DD47DF" w:rsidRDefault="005C372A" w:rsidP="005F43DF">
      <w:pPr>
        <w:pStyle w:val="Standardntext"/>
        <w:numPr>
          <w:ilvl w:val="0"/>
          <w:numId w:val="7"/>
        </w:numPr>
      </w:pPr>
      <w:r w:rsidRPr="00DD47DF">
        <w:t xml:space="preserve">podnik získá časovou výhodu tím, že se ochranou životního prostředí zabývá včas, v předstihu před svými konkurenty. </w:t>
      </w:r>
    </w:p>
    <w:p w14:paraId="154E9C8D" w14:textId="4ED2C15D" w:rsidR="005C372A" w:rsidRPr="00DD47DF" w:rsidRDefault="005C372A" w:rsidP="00902931">
      <w:pPr>
        <w:pStyle w:val="Standardntext"/>
      </w:pPr>
      <w:r w:rsidRPr="00DD47DF">
        <w:t>Horizontální téma udržitelný rozvoj bude zohledněno ve výběrových kritériích jednotlivých subprogramů podpory OP PIK. Povinnost respektovat udržitelný rozvoj bude stanovena již ve specifikaci podmínek podpory, které budou obsahovat část týkající se horizontálních ukazatelů předkládaného projektu. Žadatel o podporu musí proto již v této fázi posoudit a v příslušné části žádosti popsat vliv projektu na udržitelný rozvoj, tj. určit, zda je projekt zaměřen zejména na podporu udržitelného rozvoje, popř. zda má projekt pozitivní dopad na udržitelný rozvoj či zda je z hlediska udržitelného rozvoje neutrální. Zohlednění tohoto horizontálního cíle v projektu bude následně rovněž předmětem hodnocení projektu v</w:t>
      </w:r>
      <w:r w:rsidR="00BA68C1">
        <w:t>e</w:t>
      </w:r>
      <w:r w:rsidRPr="00DD47DF">
        <w:t> </w:t>
      </w:r>
      <w:r w:rsidR="00BA68C1">
        <w:t>výběrových</w:t>
      </w:r>
      <w:r w:rsidR="00BA68C1" w:rsidRPr="00DD47DF">
        <w:t xml:space="preserve"> </w:t>
      </w:r>
      <w:r w:rsidRPr="00DD47DF">
        <w:t>komisích.</w:t>
      </w:r>
      <w:r w:rsidR="004621F2" w:rsidRPr="00DD47DF">
        <w:t xml:space="preserve"> V případě, že </w:t>
      </w:r>
      <w:r w:rsidR="00BA68C1">
        <w:t>výběrová</w:t>
      </w:r>
      <w:r w:rsidR="00BA68C1" w:rsidRPr="00DD47DF">
        <w:t xml:space="preserve"> </w:t>
      </w:r>
      <w:r w:rsidR="004621F2" w:rsidRPr="00DD47DF">
        <w:t>komise shledá, že projekt má negativní vliv na udržitelný rozvoj, nebude projekt v rámci OP PIK podpořen.</w:t>
      </w:r>
      <w:r w:rsidR="00EF7547" w:rsidRPr="00DD47DF">
        <w:t xml:space="preserve"> U relevantních specifických cílů budou na projektové úrovni interně monitorovány environmentální indikátory, které budou dále agregovány pro potřeby Dohody o partnerství (více kapitoly 2.A.6.2 „Hlavní zásady pro výběr operací“).</w:t>
      </w:r>
    </w:p>
    <w:p w14:paraId="03D8819A" w14:textId="77777777" w:rsidR="00A567C4" w:rsidRPr="00DD47DF" w:rsidRDefault="00A567C4" w:rsidP="00902931">
      <w:pPr>
        <w:pStyle w:val="Standardntext"/>
      </w:pPr>
      <w:r w:rsidRPr="00DD47DF">
        <w:t xml:space="preserve">Dopady na životní prostředí budou posuzovány zejména během hodnocení intervencí zahrnujících stavební práce, nákup technologií, přístrojů, zařízení, tj. takových, u kterých je pravděpodobnost dopadu na životní prostředí či efektivní využívání zdrojů (zejména energetických) vysoká, investice v rámci realizace takovýchto intervencí budou muset splňovat </w:t>
      </w:r>
      <w:r w:rsidRPr="00DD47DF">
        <w:lastRenderedPageBreak/>
        <w:t>nejvyšší standardy. Zásadně tedy bude platit, že v rámci operačního programu a implementace jeho jednotlivých prioritních os nebudou podporovány žádné projekty, které by negativně ovlivňovaly udržitelný rozvoj. Dodržování zásad udržitelného rozvoje bude vyžadováno na úrovni každého projektu, budou posuzovány v rámci hodnocení přijatelnosti projektu a dále jako součást hodnocení realizace projektu.</w:t>
      </w:r>
    </w:p>
    <w:p w14:paraId="23F0A326" w14:textId="77777777" w:rsidR="00851C7E" w:rsidRPr="00DD47DF" w:rsidRDefault="0071595D" w:rsidP="00902931">
      <w:pPr>
        <w:pStyle w:val="Nadpis2"/>
        <w:rPr>
          <w:rFonts w:cs="Calibri"/>
        </w:rPr>
      </w:pPr>
      <w:bookmarkStart w:id="143" w:name="_Toc351464445"/>
      <w:bookmarkStart w:id="144" w:name="_Toc520445346"/>
      <w:r w:rsidRPr="00DD47DF">
        <w:rPr>
          <w:rFonts w:cs="Calibri"/>
        </w:rPr>
        <w:t xml:space="preserve">Rovné příležitosti a </w:t>
      </w:r>
      <w:r w:rsidR="003D6763" w:rsidRPr="00DD47DF">
        <w:rPr>
          <w:rFonts w:cs="Calibri"/>
        </w:rPr>
        <w:t>zákaz</w:t>
      </w:r>
      <w:r w:rsidRPr="00DD47DF">
        <w:rPr>
          <w:rFonts w:cs="Calibri"/>
        </w:rPr>
        <w:t xml:space="preserve"> diskriminac</w:t>
      </w:r>
      <w:r w:rsidR="003D6763" w:rsidRPr="00DD47DF">
        <w:rPr>
          <w:rFonts w:cs="Calibri"/>
        </w:rPr>
        <w:t>e</w:t>
      </w:r>
      <w:bookmarkEnd w:id="143"/>
      <w:bookmarkEnd w:id="144"/>
    </w:p>
    <w:p w14:paraId="61AFB71A" w14:textId="77777777" w:rsidR="005C372A" w:rsidRPr="00DD47DF" w:rsidRDefault="005C372A" w:rsidP="00902931">
      <w:pPr>
        <w:pStyle w:val="Standardntext"/>
      </w:pPr>
      <w:r w:rsidRPr="00DD47DF">
        <w:t>Na základě čl. 7 obecného nařízení přijmou členské státy a Komise vhodná opatření, aby během přípravy a provádění programů nedocházelo k diskriminaci na základě pohlaví, rasového nebo etnického původu, náboženského vyznání nebo víry, zdravotního postižení, věku nebo sexuální orientace. Horizontální téma rovné příležitosti a ochrana před diskriminací slouží k dosažení cíle sociální spravedlnosti a soudržnosti a zakládá se na podpoře sociálního začlenění, dodržování základních lidských práv a zachování kulturní rozmanitosti.</w:t>
      </w:r>
      <w:r w:rsidR="004621F2" w:rsidRPr="00DD47DF">
        <w:t xml:space="preserve"> </w:t>
      </w:r>
    </w:p>
    <w:p w14:paraId="2D105988" w14:textId="77777777" w:rsidR="00E517C6" w:rsidRPr="00DD47DF" w:rsidRDefault="00E517C6" w:rsidP="000374FF">
      <w:pPr>
        <w:pStyle w:val="Standardntext"/>
      </w:pPr>
      <w:r w:rsidRPr="00DD47DF">
        <w:t xml:space="preserve">Zákaz diskriminace v souladu s českým i evropským právem a podpora rovných příležitostí jsou základními principy realizace OP PIK a budou respektovány a podporovány ve všech prioritních osách a investičních prioritách. S otázkou rovných příležitostí souvisí i transparentnost výběrových řízení, která musí zajistit nediskriminační přístup všem zájemcům bez ohledu na pohlaví, rasový či etnický původ, náboženství či světový názor, zdravotní postižení, věk nebo sexuální orientaci. </w:t>
      </w:r>
      <w:r w:rsidRPr="00DD47DF">
        <w:rPr>
          <w:lang w:eastAsia="en-US"/>
        </w:rPr>
        <w:t>Tato otázka také bezprostředně souvisí s</w:t>
      </w:r>
      <w:r w:rsidRPr="00DD47DF">
        <w:t> </w:t>
      </w:r>
      <w:r w:rsidR="00430ED6" w:rsidRPr="00DD47DF">
        <w:rPr>
          <w:lang w:eastAsia="en-US"/>
        </w:rPr>
        <w:t>principy pro výběr operací</w:t>
      </w:r>
      <w:r w:rsidRPr="00DD47DF">
        <w:rPr>
          <w:lang w:eastAsia="en-US"/>
        </w:rPr>
        <w:t xml:space="preserve"> (viz kapitoly 2.A.</w:t>
      </w:r>
      <w:r w:rsidR="00430ED6" w:rsidRPr="00DD47DF">
        <w:rPr>
          <w:lang w:eastAsia="en-US"/>
        </w:rPr>
        <w:t>6</w:t>
      </w:r>
      <w:r w:rsidRPr="00DD47DF">
        <w:rPr>
          <w:lang w:eastAsia="en-US"/>
        </w:rPr>
        <w:t xml:space="preserve">.2). </w:t>
      </w:r>
      <w:r w:rsidR="000374FF" w:rsidRPr="00DD47DF">
        <w:t>U</w:t>
      </w:r>
      <w:r w:rsidR="000374FF" w:rsidRPr="00DD47DF">
        <w:rPr>
          <w:rFonts w:cs="Tahoma"/>
          <w:szCs w:val="20"/>
        </w:rPr>
        <w:t>platňování rovných příležitostí je možné rovněž spatřovat v publicitě a propagaci programu a poskytování informací</w:t>
      </w:r>
      <w:r w:rsidR="000374FF" w:rsidRPr="00DD47DF">
        <w:rPr>
          <w:rFonts w:cs="Tahoma"/>
        </w:rPr>
        <w:t>.</w:t>
      </w:r>
      <w:r w:rsidR="000374FF" w:rsidRPr="00DD47DF">
        <w:t xml:space="preserve"> </w:t>
      </w:r>
      <w:r w:rsidRPr="00DD47DF">
        <w:t xml:space="preserve">Při realizaci OP PIK bude brán zřetel na příspěvek k rovnému zacházení, aby měly všechny sociální skupiny stejný přístup k čerpání prostředků EFRR. Řídící orgán zajistí, aby otázka rovných příležitostí a rovného zacházení byla sledována – při zohlednění jejich specifického zaměření - u všech oblastí intervencí na úrovni projektů. </w:t>
      </w:r>
    </w:p>
    <w:p w14:paraId="67477E43" w14:textId="0650F324" w:rsidR="00E7579B" w:rsidRPr="00DD47DF" w:rsidRDefault="005C372A" w:rsidP="00902931">
      <w:pPr>
        <w:pStyle w:val="Standardntext"/>
      </w:pPr>
      <w:r w:rsidRPr="00DD47DF">
        <w:t xml:space="preserve">Stejně jako u udržitelného rozvoje bude stanovena podmínka respektovat rovné příležitosti </w:t>
      </w:r>
      <w:r w:rsidR="00E517C6" w:rsidRPr="00DD47DF">
        <w:t xml:space="preserve">a rovné zacházení </w:t>
      </w:r>
      <w:r w:rsidRPr="00DD47DF">
        <w:t xml:space="preserve">již ve specifikaci podmínek k poskytnutí podpory v rámci jednotlivých subprogramů podpory. Žadatel o podporu bude muset již v této fázi posoudit a v příslušné části žádosti popsat vliv projektu na rovné příležitosti, tj. určit, </w:t>
      </w:r>
      <w:r w:rsidR="00E517C6" w:rsidRPr="00DD47DF">
        <w:t xml:space="preserve">zda projekt zajišťuje rovné zacházení všem dotčeným skupinám, zda </w:t>
      </w:r>
      <w:r w:rsidRPr="00DD47DF">
        <w:t>je projekt zaměřen zejména na podporu rovných příležitostí, popř. zda má projekt pozitivní dopad na rovné příležitosti či zda je z hlediska rovných příležitostí neutrální. Horizontální téma rovné příležitosti a ochrana před diskriminací bude zohledněno ve výběrových kritériích jednotlivých subprogramů podpory OP PIK.</w:t>
      </w:r>
      <w:r w:rsidR="00244C79" w:rsidRPr="00DD47DF">
        <w:t xml:space="preserve"> V případě, že </w:t>
      </w:r>
      <w:r w:rsidR="00BA68C1">
        <w:t>výběrová</w:t>
      </w:r>
      <w:r w:rsidR="00BA68C1" w:rsidRPr="00DD47DF">
        <w:t xml:space="preserve"> </w:t>
      </w:r>
      <w:r w:rsidR="00244C79" w:rsidRPr="00DD47DF">
        <w:t>komise shledá, že projekt má negativní vliv na rovné příležitosti, nebude projekt v rámci OP PIK podpořen</w:t>
      </w:r>
      <w:r w:rsidR="00E7579B" w:rsidRPr="00DD47DF">
        <w:t>. V rámci prioritní osy 2, specifického cíle 2.1 budou zvýhodňovány projekty podnikatelů, které realizací projektu prokáží vytvoření a udržitelnost nových pracovních míst a tím přispějí k zaměstnatelnosti osob z ohrožených skupin (</w:t>
      </w:r>
      <w:r w:rsidR="00E517C6" w:rsidRPr="00DD47DF">
        <w:t>osoby se zdravotním postižením, matky s dětmi a další pečující osoby, senioři, příslušníci etnických menšin, včetně romské menšiny, cizinci, atd.)</w:t>
      </w:r>
      <w:r w:rsidR="00E7579B" w:rsidRPr="00DD47DF">
        <w:t>.</w:t>
      </w:r>
    </w:p>
    <w:p w14:paraId="3CC3B199" w14:textId="77777777" w:rsidR="000374FF" w:rsidRPr="00DD47DF" w:rsidRDefault="000374FF" w:rsidP="000374FF">
      <w:pPr>
        <w:pStyle w:val="Standardntext"/>
      </w:pPr>
      <w:r w:rsidRPr="00DD47DF">
        <w:t xml:space="preserve">Zohlednění rovných příležitostí a rovného zacházení bude hrát významnou roli i v procesech monitorování, hodnocení a v realizaci principu partnerství. ŘO bude dbát na to, aby v monitorovacím výboru byly dodržovány zásady rovných příležitostí a rovného zastoupení relevantních skupin a byla zabezpečena účast institucí z oblasti rovných příležitostí a ochranou před diskriminaci. V závislosti na charakteru oblasti intervence a bude-li to účelné, bude zabezpečena účast organizací zabývajících se rovnými příležitostmi a ochranou před diskriminaci v pracovních skupinách (např. v úrovni MV), v hodnotících komisích pro výběr </w:t>
      </w:r>
      <w:r w:rsidRPr="00DD47DF">
        <w:lastRenderedPageBreak/>
        <w:t>projektů apod. Informace o rovných příležitostech a rovném zacházení budou monitorovány primárně na úrovni projektů. ŘO zajistí, že téma rovných příležitostí a rovného zacházení bude v závislosti na charakteru podpory agregováno v rámci monitorování realizace programu na úrovni prioritní osy. Příspěvek OP PIK k zabezpečení zásady rovných příležitostí a rovného zacházení bude předmětem hodnocení při zpracování tematických a strategických evaluací.</w:t>
      </w:r>
    </w:p>
    <w:p w14:paraId="3A810B95" w14:textId="77777777" w:rsidR="00851C7E" w:rsidRPr="00DD47DF" w:rsidRDefault="005C372A" w:rsidP="00902931">
      <w:pPr>
        <w:pStyle w:val="Standardntext"/>
        <w:rPr>
          <w:b/>
          <w:bCs/>
        </w:rPr>
      </w:pPr>
      <w:r w:rsidRPr="00DD47DF">
        <w:t>Vzhledem k zaměření OP PIK (podpora podnikání, inovací v podnikatelském sektoru, energetické úspory, ICT infrastruktury</w:t>
      </w:r>
      <w:r w:rsidR="00D111F8" w:rsidRPr="00DD47DF">
        <w:t>)</w:t>
      </w:r>
      <w:r w:rsidRPr="00DD47DF">
        <w:t xml:space="preserve"> nemá žádné speciální programy zaměřené na </w:t>
      </w:r>
      <w:r w:rsidR="000374FF" w:rsidRPr="00DD47DF">
        <w:t>konkrétní znevýhodněné skupiny</w:t>
      </w:r>
      <w:r w:rsidRPr="00DD47DF">
        <w:t>. Tato oblast je řešena jinými operačními programy, využívajícími zejména prostředků Evropského sociálního fondu.</w:t>
      </w:r>
    </w:p>
    <w:p w14:paraId="03A6142C" w14:textId="77777777" w:rsidR="00851C7E" w:rsidRPr="00DD47DF" w:rsidRDefault="0071595D" w:rsidP="003D6763">
      <w:pPr>
        <w:pStyle w:val="Nadpis2"/>
        <w:rPr>
          <w:rFonts w:cs="Calibri"/>
        </w:rPr>
      </w:pPr>
      <w:bookmarkStart w:id="145" w:name="_Toc351464446"/>
      <w:bookmarkStart w:id="146" w:name="_Toc520445347"/>
      <w:r w:rsidRPr="00DD47DF">
        <w:rPr>
          <w:rFonts w:cs="Calibri"/>
        </w:rPr>
        <w:t xml:space="preserve">Rovnost </w:t>
      </w:r>
      <w:r w:rsidR="003D6763" w:rsidRPr="00DD47DF">
        <w:rPr>
          <w:rFonts w:cs="Calibri"/>
        </w:rPr>
        <w:t>mezi muži a ženami</w:t>
      </w:r>
      <w:bookmarkEnd w:id="145"/>
      <w:bookmarkEnd w:id="146"/>
    </w:p>
    <w:p w14:paraId="15608293" w14:textId="6A8C6432" w:rsidR="00244C79" w:rsidRPr="00DD47DF" w:rsidRDefault="005C372A" w:rsidP="00902931">
      <w:pPr>
        <w:pStyle w:val="Standardntext"/>
      </w:pPr>
      <w:r w:rsidRPr="00DD47DF">
        <w:t xml:space="preserve">Horizontální téma rovnost žen a mužů předpokládá </w:t>
      </w:r>
      <w:r w:rsidR="00793229" w:rsidRPr="00DD47DF">
        <w:t>čl.</w:t>
      </w:r>
      <w:r w:rsidRPr="00DD47DF">
        <w:t xml:space="preserve"> 7 obecného nařízení. Dle tohoto článku členské státy a Komise zajistí podporu rovnosti žen a mužů a začlenění </w:t>
      </w:r>
      <w:r w:rsidR="00244C79" w:rsidRPr="00DD47DF">
        <w:t xml:space="preserve">z </w:t>
      </w:r>
      <w:r w:rsidRPr="00DD47DF">
        <w:t xml:space="preserve">hlediska rovnosti pohlaví při přípravě a provádění programů. </w:t>
      </w:r>
      <w:r w:rsidR="00244C79" w:rsidRPr="00DD47DF">
        <w:t xml:space="preserve">V případě, že </w:t>
      </w:r>
      <w:r w:rsidR="00BA68C1">
        <w:t>výběrová</w:t>
      </w:r>
      <w:r w:rsidR="00BA68C1" w:rsidRPr="00DD47DF">
        <w:t xml:space="preserve"> </w:t>
      </w:r>
      <w:r w:rsidR="00244C79" w:rsidRPr="00DD47DF">
        <w:t>komise shledá, že projekt má negativní vliv na rovnost žen a mužů, nebude projekt v rámci OP PIK podpořen. Bude usilováno o to, aby podpořené projekty přispívaly k naplňování principu rovnosti žen a mužů všude, kde je to vzhledem k věcnému zaměření intervencí programu relevantní. V rámci OP PIK budou mít ke všem programům podpory stejný přístup ženy i muži, zároveň rovnost žen a mužů bude zahrnuta do výběrových kritérií jednotlivých subprogramů podpory</w:t>
      </w:r>
      <w:r w:rsidR="00E7579B" w:rsidRPr="00DD47DF">
        <w:t xml:space="preserve"> (výběrová kritéria budou nastavena tak, aby zamezila jakékoliv generové diskriminaci). Gend</w:t>
      </w:r>
      <w:r w:rsidR="00634DCF" w:rsidRPr="00DD47DF">
        <w:t>e</w:t>
      </w:r>
      <w:r w:rsidR="00E7579B" w:rsidRPr="00DD47DF">
        <w:t>rová rovnost bude zdůrazňována v rámci info</w:t>
      </w:r>
      <w:r w:rsidR="00634DCF" w:rsidRPr="00DD47DF">
        <w:t>r</w:t>
      </w:r>
      <w:r w:rsidR="00E7579B" w:rsidRPr="00DD47DF">
        <w:t xml:space="preserve">mačních, propagačních a komunikačních aktivit </w:t>
      </w:r>
      <w:r w:rsidR="00A0251A" w:rsidRPr="00DD47DF">
        <w:t>Ř</w:t>
      </w:r>
      <w:r w:rsidR="00E7579B" w:rsidRPr="00DD47DF">
        <w:t>ídícího orgánu.</w:t>
      </w:r>
      <w:r w:rsidR="00BA4E72" w:rsidRPr="00DD47DF">
        <w:t xml:space="preserve"> </w:t>
      </w:r>
    </w:p>
    <w:p w14:paraId="327E09C9" w14:textId="77777777" w:rsidR="00244C79" w:rsidRPr="00DD47DF" w:rsidRDefault="00244C79" w:rsidP="00902931">
      <w:pPr>
        <w:pStyle w:val="Standardntext"/>
      </w:pPr>
      <w:r w:rsidRPr="00DD47DF">
        <w:t>Indikátory na úrovni programu a specifických cílů, které mají přímou vazbu na respektování rovných příležitostí (např. Počet nově vytvořených pracovních míst) budou sledovány v členění na muže a ženy.</w:t>
      </w:r>
    </w:p>
    <w:p w14:paraId="284A2954" w14:textId="77777777" w:rsidR="00AA042C" w:rsidRPr="00DD47DF" w:rsidRDefault="00E7579B" w:rsidP="00902931">
      <w:pPr>
        <w:pStyle w:val="Standardntext"/>
        <w:rPr>
          <w:rFonts w:cs="Tahoma"/>
          <w:szCs w:val="20"/>
        </w:rPr>
      </w:pPr>
      <w:r w:rsidRPr="00DD47DF">
        <w:t xml:space="preserve">Princip rovnosti žen a mužů bude uplatňován během programování, monitorování a evaluací programu. </w:t>
      </w:r>
      <w:r w:rsidR="00244C79" w:rsidRPr="00DD47DF">
        <w:t xml:space="preserve">Ve fázi implementace operačního programu bude rovnost mužů a žen zajištěna zejména ve složení Monitorovacího výboru OP PIK. </w:t>
      </w:r>
      <w:r w:rsidR="00E8622F" w:rsidRPr="00DD47DF">
        <w:rPr>
          <w:rFonts w:cs="Tahoma"/>
          <w:szCs w:val="20"/>
        </w:rPr>
        <w:t xml:space="preserve">Téma rovnosti žen a mužů bude plně respektováno rovněž při administraci programu; při personálním zajištění implementace programu / zajištění administrativní kapacity bude kladen důraz na nediskriminační přístup k uchazečům. </w:t>
      </w:r>
    </w:p>
    <w:p w14:paraId="40205608" w14:textId="77777777" w:rsidR="00DA412A" w:rsidRPr="00DD47DF" w:rsidRDefault="00F70A96" w:rsidP="00DA412A">
      <w:pPr>
        <w:pStyle w:val="Standardntext"/>
      </w:pPr>
      <w:r w:rsidRPr="00DD47DF">
        <w:t>Jak p</w:t>
      </w:r>
      <w:r w:rsidR="00B776E3" w:rsidRPr="00DD47DF">
        <w:t>ři přípravě program</w:t>
      </w:r>
      <w:r w:rsidRPr="00DD47DF">
        <w:t xml:space="preserve">u, tak </w:t>
      </w:r>
      <w:r w:rsidR="00B776E3" w:rsidRPr="00DD47DF">
        <w:t>při je</w:t>
      </w:r>
      <w:r w:rsidRPr="00DD47DF">
        <w:t xml:space="preserve">ho vlastní </w:t>
      </w:r>
      <w:r w:rsidR="00B776E3" w:rsidRPr="00DD47DF">
        <w:t>realizaci bud</w:t>
      </w:r>
      <w:r w:rsidRPr="00DD47DF">
        <w:t xml:space="preserve">e tedy ve všech </w:t>
      </w:r>
      <w:r w:rsidR="00B776E3" w:rsidRPr="00DD47DF">
        <w:t xml:space="preserve">fázích </w:t>
      </w:r>
      <w:r w:rsidRPr="00DD47DF">
        <w:t xml:space="preserve">zohledněno, </w:t>
      </w:r>
      <w:r w:rsidR="00B776E3" w:rsidRPr="00DD47DF">
        <w:t xml:space="preserve">aby </w:t>
      </w:r>
      <w:r w:rsidRPr="00DD47DF">
        <w:t xml:space="preserve">byl striktně dodržován </w:t>
      </w:r>
      <w:r w:rsidR="00B776E3" w:rsidRPr="00DD47DF">
        <w:t>zákaz diskriminace a podporov</w:t>
      </w:r>
      <w:r w:rsidRPr="00DD47DF">
        <w:t xml:space="preserve">án </w:t>
      </w:r>
      <w:r w:rsidR="00B776E3" w:rsidRPr="00DD47DF">
        <w:t>rovný přístup k ženám i mužům. Za tímto účelem je v návaznosti na plnění příslušn</w:t>
      </w:r>
      <w:r w:rsidRPr="00DD47DF">
        <w:t xml:space="preserve">é obecné </w:t>
      </w:r>
      <w:r w:rsidR="00B776E3" w:rsidRPr="00DD47DF">
        <w:t>předběžn</w:t>
      </w:r>
      <w:r w:rsidRPr="00DD47DF">
        <w:t xml:space="preserve">é </w:t>
      </w:r>
      <w:r w:rsidR="00B776E3" w:rsidRPr="00DD47DF">
        <w:t>podmínk</w:t>
      </w:r>
      <w:r w:rsidRPr="00DD47DF">
        <w:t xml:space="preserve">y u </w:t>
      </w:r>
      <w:r w:rsidR="00A0251A" w:rsidRPr="00DD47DF">
        <w:t>Ř</w:t>
      </w:r>
      <w:r w:rsidRPr="00DD47DF">
        <w:t>ídícího orgánu určena k</w:t>
      </w:r>
      <w:r w:rsidR="00B776E3" w:rsidRPr="00DD47DF">
        <w:t>ontaktní osoba</w:t>
      </w:r>
      <w:r w:rsidRPr="00DD47DF">
        <w:t xml:space="preserve">, která se </w:t>
      </w:r>
      <w:r w:rsidR="00B776E3" w:rsidRPr="00DD47DF">
        <w:t xml:space="preserve">budou </w:t>
      </w:r>
      <w:r w:rsidRPr="00DD47DF">
        <w:t xml:space="preserve">v rámci své pracovní činnosti </w:t>
      </w:r>
      <w:r w:rsidR="00B776E3" w:rsidRPr="00DD47DF">
        <w:t>zabývat implementací a aplikací antidiskriminačního práva</w:t>
      </w:r>
      <w:r w:rsidRPr="00DD47DF">
        <w:t>, v</w:t>
      </w:r>
      <w:r w:rsidR="00B776E3" w:rsidRPr="00DD47DF">
        <w:t>četně problematiky rovnosti žen a mužů a přístupnosti pro osoby se zdravotním postižením</w:t>
      </w:r>
      <w:r w:rsidR="00DA412A" w:rsidRPr="00DD47DF">
        <w:t xml:space="preserve">. Touto kontaktní osobou </w:t>
      </w:r>
      <w:r w:rsidR="00065A87" w:rsidRPr="00DD47DF">
        <w:t>je</w:t>
      </w:r>
      <w:r w:rsidR="00DA412A" w:rsidRPr="00DD47DF">
        <w:t xml:space="preserve"> komunikační úředník OP PIK.</w:t>
      </w:r>
    </w:p>
    <w:p w14:paraId="33913491" w14:textId="77777777" w:rsidR="009E6172" w:rsidRPr="00DD47DF" w:rsidRDefault="00E134D0" w:rsidP="000816D8">
      <w:pPr>
        <w:pStyle w:val="Nadpis1"/>
      </w:pPr>
      <w:bookmarkStart w:id="147" w:name="_Toc520445348"/>
      <w:r w:rsidRPr="00DD47DF">
        <w:lastRenderedPageBreak/>
        <w:t>Samosta</w:t>
      </w:r>
      <w:r w:rsidR="00A96B2E" w:rsidRPr="00DD47DF">
        <w:t>t</w:t>
      </w:r>
      <w:r w:rsidRPr="00DD47DF">
        <w:t>né prvky</w:t>
      </w:r>
      <w:bookmarkEnd w:id="147"/>
    </w:p>
    <w:p w14:paraId="649A7956" w14:textId="77777777" w:rsidR="00AA042C" w:rsidRPr="00DD47DF" w:rsidRDefault="00E134D0" w:rsidP="00E134D0">
      <w:pPr>
        <w:pStyle w:val="Nadpis2"/>
        <w:rPr>
          <w:rFonts w:cs="Calibri"/>
        </w:rPr>
      </w:pPr>
      <w:bookmarkStart w:id="148" w:name="_Toc520445349"/>
      <w:r w:rsidRPr="00DD47DF">
        <w:rPr>
          <w:rFonts w:cs="Calibri"/>
        </w:rPr>
        <w:t>Velké projekty, které mají být během programového období realizovány</w:t>
      </w:r>
      <w:bookmarkEnd w:id="148"/>
    </w:p>
    <w:p w14:paraId="6FC09CF8" w14:textId="4C1775F2" w:rsidR="00714EBE" w:rsidRPr="006E7C03" w:rsidRDefault="00714EBE" w:rsidP="00714EBE">
      <w:pPr>
        <w:pStyle w:val="Zkladntext"/>
        <w:spacing w:after="120"/>
      </w:pPr>
      <w:r w:rsidRPr="00714EBE">
        <w:t xml:space="preserve"> </w:t>
      </w:r>
      <w:r w:rsidRPr="006E7C03">
        <w:t>Tabulka 27: Seznam velkých projektů</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6"/>
        <w:gridCol w:w="1724"/>
        <w:gridCol w:w="1724"/>
        <w:gridCol w:w="1724"/>
        <w:gridCol w:w="2319"/>
      </w:tblGrid>
      <w:tr w:rsidR="00714EBE" w:rsidRPr="006E7C03" w14:paraId="6E8C8A75" w14:textId="77777777" w:rsidTr="009533C8">
        <w:tc>
          <w:tcPr>
            <w:tcW w:w="1576" w:type="dxa"/>
          </w:tcPr>
          <w:p w14:paraId="4B52B660" w14:textId="77777777" w:rsidR="00714EBE" w:rsidRPr="006E7C03" w:rsidRDefault="00714EBE" w:rsidP="00E46245">
            <w:pPr>
              <w:pStyle w:val="Zkladntext"/>
              <w:spacing w:after="120"/>
              <w:rPr>
                <w:b w:val="0"/>
              </w:rPr>
            </w:pPr>
            <w:r w:rsidRPr="006E7C03">
              <w:rPr>
                <w:b w:val="0"/>
              </w:rPr>
              <w:t>Název velkého projektu</w:t>
            </w:r>
          </w:p>
        </w:tc>
        <w:tc>
          <w:tcPr>
            <w:tcW w:w="1724" w:type="dxa"/>
          </w:tcPr>
          <w:p w14:paraId="3F2B6A73" w14:textId="77777777" w:rsidR="00714EBE" w:rsidRPr="006E7C03" w:rsidRDefault="00714EBE" w:rsidP="00E46245">
            <w:pPr>
              <w:pStyle w:val="Zkladntext"/>
              <w:spacing w:after="120"/>
              <w:rPr>
                <w:b w:val="0"/>
              </w:rPr>
            </w:pPr>
            <w:r w:rsidRPr="006E7C03">
              <w:rPr>
                <w:b w:val="0"/>
              </w:rPr>
              <w:t>Předpokládané datum předložení na EK</w:t>
            </w:r>
          </w:p>
        </w:tc>
        <w:tc>
          <w:tcPr>
            <w:tcW w:w="1724" w:type="dxa"/>
          </w:tcPr>
          <w:p w14:paraId="7F9F94FE" w14:textId="77777777" w:rsidR="00714EBE" w:rsidRPr="006E7C03" w:rsidRDefault="00714EBE" w:rsidP="00E46245">
            <w:pPr>
              <w:pStyle w:val="Zkladntext"/>
              <w:spacing w:after="120"/>
              <w:rPr>
                <w:b w:val="0"/>
              </w:rPr>
            </w:pPr>
            <w:r w:rsidRPr="006E7C03">
              <w:rPr>
                <w:b w:val="0"/>
              </w:rPr>
              <w:t>Předpokládané datum zahájení realizace projektu</w:t>
            </w:r>
          </w:p>
        </w:tc>
        <w:tc>
          <w:tcPr>
            <w:tcW w:w="1724" w:type="dxa"/>
          </w:tcPr>
          <w:p w14:paraId="2823BE99" w14:textId="77777777" w:rsidR="00714EBE" w:rsidRPr="006E7C03" w:rsidRDefault="00714EBE" w:rsidP="00E46245">
            <w:pPr>
              <w:pStyle w:val="Zkladntext"/>
              <w:spacing w:after="120"/>
              <w:rPr>
                <w:b w:val="0"/>
              </w:rPr>
            </w:pPr>
            <w:r w:rsidRPr="006E7C03">
              <w:rPr>
                <w:b w:val="0"/>
              </w:rPr>
              <w:t>Předpokládané datum ukončení realizace projektu</w:t>
            </w:r>
          </w:p>
        </w:tc>
        <w:tc>
          <w:tcPr>
            <w:tcW w:w="2319" w:type="dxa"/>
          </w:tcPr>
          <w:p w14:paraId="7E53C3D4" w14:textId="77777777" w:rsidR="00714EBE" w:rsidRPr="006E7C03" w:rsidRDefault="00714EBE" w:rsidP="00E46245">
            <w:pPr>
              <w:pStyle w:val="Zkladntext"/>
              <w:spacing w:after="120"/>
              <w:rPr>
                <w:b w:val="0"/>
              </w:rPr>
            </w:pPr>
            <w:r w:rsidRPr="006E7C03">
              <w:rPr>
                <w:b w:val="0"/>
              </w:rPr>
              <w:t>Prioritní osy/ investiční priority</w:t>
            </w:r>
          </w:p>
        </w:tc>
      </w:tr>
      <w:tr w:rsidR="009533C8" w:rsidRPr="006E7C03" w14:paraId="26F2CD7D" w14:textId="77777777" w:rsidTr="009533C8">
        <w:tc>
          <w:tcPr>
            <w:tcW w:w="1576" w:type="dxa"/>
          </w:tcPr>
          <w:p w14:paraId="20A8A0D1" w14:textId="77777777" w:rsidR="009533C8" w:rsidRPr="006E7C03" w:rsidRDefault="009533C8" w:rsidP="009533C8">
            <w:pPr>
              <w:pStyle w:val="Zkladntext"/>
              <w:spacing w:after="120"/>
            </w:pPr>
            <w:r w:rsidRPr="006E7C03">
              <w:t>Výstavba nového vedení 400 kV v trase Přeštice – Vítkov</w:t>
            </w:r>
          </w:p>
        </w:tc>
        <w:tc>
          <w:tcPr>
            <w:tcW w:w="1724" w:type="dxa"/>
            <w:tcBorders>
              <w:top w:val="nil"/>
              <w:left w:val="nil"/>
              <w:bottom w:val="single" w:sz="8" w:space="0" w:color="auto"/>
              <w:right w:val="single" w:sz="8" w:space="0" w:color="auto"/>
            </w:tcBorders>
          </w:tcPr>
          <w:p w14:paraId="002E4493" w14:textId="3EA77D3D" w:rsidR="009533C8" w:rsidRPr="006E7C03" w:rsidRDefault="009533C8" w:rsidP="009533C8">
            <w:pPr>
              <w:pStyle w:val="Zkladntext"/>
              <w:spacing w:after="120"/>
            </w:pPr>
            <w:r>
              <w:t>2</w:t>
            </w:r>
            <w:r w:rsidRPr="00F15E73">
              <w:t>Q/2019</w:t>
            </w:r>
          </w:p>
        </w:tc>
        <w:tc>
          <w:tcPr>
            <w:tcW w:w="1724" w:type="dxa"/>
            <w:tcBorders>
              <w:top w:val="nil"/>
              <w:left w:val="nil"/>
              <w:bottom w:val="single" w:sz="8" w:space="0" w:color="auto"/>
              <w:right w:val="single" w:sz="8" w:space="0" w:color="auto"/>
            </w:tcBorders>
          </w:tcPr>
          <w:p w14:paraId="0A097C4B" w14:textId="024000D1" w:rsidR="009533C8" w:rsidRPr="006E7C03" w:rsidRDefault="009533C8" w:rsidP="009533C8">
            <w:pPr>
              <w:pStyle w:val="Zkladntext"/>
              <w:spacing w:after="120"/>
            </w:pPr>
            <w:r>
              <w:t>1Q/2019</w:t>
            </w:r>
          </w:p>
        </w:tc>
        <w:tc>
          <w:tcPr>
            <w:tcW w:w="1724" w:type="dxa"/>
            <w:tcBorders>
              <w:top w:val="nil"/>
              <w:left w:val="nil"/>
              <w:bottom w:val="single" w:sz="8" w:space="0" w:color="auto"/>
              <w:right w:val="single" w:sz="8" w:space="0" w:color="auto"/>
            </w:tcBorders>
          </w:tcPr>
          <w:p w14:paraId="28F20844" w14:textId="06ECF409" w:rsidR="009533C8" w:rsidRPr="006E7C03" w:rsidRDefault="009533C8" w:rsidP="009533C8">
            <w:pPr>
              <w:pStyle w:val="Zkladntext"/>
              <w:spacing w:after="120"/>
            </w:pPr>
            <w:r w:rsidRPr="00F15E73">
              <w:t>4Q/2022</w:t>
            </w:r>
          </w:p>
        </w:tc>
        <w:tc>
          <w:tcPr>
            <w:tcW w:w="2319" w:type="dxa"/>
          </w:tcPr>
          <w:p w14:paraId="6833D156" w14:textId="77777777" w:rsidR="009533C8" w:rsidRPr="006E7C03" w:rsidRDefault="009533C8" w:rsidP="009533C8">
            <w:pPr>
              <w:pStyle w:val="Zkladntext"/>
              <w:spacing w:after="120"/>
            </w:pPr>
            <w:r w:rsidRPr="006E7C03">
              <w:t>Prioritní osa 3/ Zvyšování energetické účinnosti a zabezpečení dodávek prostřednictvím rozvoje inteligentních systémů pro distribuci, skladování a přenos energie a prostřednictvím integrace distribuované výroby z obnovitelných zdrojů</w:t>
            </w:r>
          </w:p>
        </w:tc>
      </w:tr>
      <w:tr w:rsidR="009533C8" w:rsidRPr="006E7C03" w14:paraId="443C1BB2" w14:textId="77777777" w:rsidTr="009533C8">
        <w:trPr>
          <w:trHeight w:val="3375"/>
        </w:trPr>
        <w:tc>
          <w:tcPr>
            <w:tcW w:w="1576" w:type="dxa"/>
          </w:tcPr>
          <w:p w14:paraId="4BC1EC28" w14:textId="77777777" w:rsidR="009533C8" w:rsidRPr="0038465A" w:rsidRDefault="009533C8" w:rsidP="009533C8">
            <w:pPr>
              <w:pStyle w:val="Zkladntext"/>
              <w:spacing w:after="120"/>
            </w:pPr>
            <w:r>
              <w:t>Rozvodna Kočín – rozšíření, rekonstrukce a přeústění</w:t>
            </w:r>
          </w:p>
        </w:tc>
        <w:tc>
          <w:tcPr>
            <w:tcW w:w="1724" w:type="dxa"/>
          </w:tcPr>
          <w:p w14:paraId="698D99C3" w14:textId="4B5AB863" w:rsidR="009533C8" w:rsidRPr="0038465A" w:rsidRDefault="00DF3C49" w:rsidP="009533C8">
            <w:pPr>
              <w:pStyle w:val="Zkladntext"/>
              <w:spacing w:after="120"/>
            </w:pPr>
            <w:r w:rsidRPr="00DF3C49">
              <w:t>4Q/2018</w:t>
            </w:r>
          </w:p>
        </w:tc>
        <w:tc>
          <w:tcPr>
            <w:tcW w:w="1724" w:type="dxa"/>
          </w:tcPr>
          <w:p w14:paraId="7850C8DE" w14:textId="65DD3867" w:rsidR="009533C8" w:rsidRPr="0038465A" w:rsidRDefault="009533C8" w:rsidP="009533C8">
            <w:pPr>
              <w:pStyle w:val="Zkladntext"/>
              <w:spacing w:after="120"/>
            </w:pPr>
            <w:r>
              <w:t>2Q/2017</w:t>
            </w:r>
          </w:p>
        </w:tc>
        <w:tc>
          <w:tcPr>
            <w:tcW w:w="1724" w:type="dxa"/>
          </w:tcPr>
          <w:p w14:paraId="4E36F697" w14:textId="7F4E286F" w:rsidR="009533C8" w:rsidRPr="0038465A" w:rsidRDefault="009533C8" w:rsidP="009533C8">
            <w:pPr>
              <w:pStyle w:val="Zkladntext"/>
              <w:spacing w:after="120"/>
            </w:pPr>
            <w:r>
              <w:t>4Q/2022</w:t>
            </w:r>
          </w:p>
        </w:tc>
        <w:tc>
          <w:tcPr>
            <w:tcW w:w="2319" w:type="dxa"/>
          </w:tcPr>
          <w:p w14:paraId="2D9EE822" w14:textId="77777777" w:rsidR="009533C8" w:rsidRPr="006E7C03" w:rsidRDefault="009533C8" w:rsidP="009533C8">
            <w:pPr>
              <w:pStyle w:val="Zkladntext"/>
              <w:spacing w:after="120"/>
            </w:pPr>
            <w:r w:rsidRPr="00DD6664">
              <w:t xml:space="preserve">Prioritní osa 3/ Zvyšování energetické účinnosti a zabezpečení dodávek prostřednictvím rozvoje inteligentních systémů pro distribuci, skladování a přenos energie a prostřednictvím integrace distribuované výroby z </w:t>
            </w:r>
            <w:r w:rsidRPr="00DD6664">
              <w:lastRenderedPageBreak/>
              <w:t>obnovitelných zdrojů</w:t>
            </w:r>
          </w:p>
        </w:tc>
      </w:tr>
    </w:tbl>
    <w:p w14:paraId="205F8862" w14:textId="75312B3A" w:rsidR="00AA042C" w:rsidRPr="00DD47DF" w:rsidRDefault="00AA042C" w:rsidP="00A146B9">
      <w:pPr>
        <w:pStyle w:val="Standardntext"/>
      </w:pPr>
    </w:p>
    <w:p w14:paraId="0BFFD173" w14:textId="77777777" w:rsidR="00AA042C" w:rsidRPr="00DD47DF" w:rsidRDefault="006C634D" w:rsidP="00E134D0">
      <w:pPr>
        <w:pStyle w:val="Nadpis2"/>
        <w:rPr>
          <w:rFonts w:cs="Calibri"/>
        </w:rPr>
      </w:pPr>
      <w:bookmarkStart w:id="149" w:name="_Toc351464449"/>
      <w:bookmarkStart w:id="150" w:name="_Toc520445350"/>
      <w:r w:rsidRPr="00DD47DF">
        <w:rPr>
          <w:rFonts w:cs="Calibri"/>
        </w:rPr>
        <w:t xml:space="preserve">Výkonnostní rámec </w:t>
      </w:r>
      <w:bookmarkEnd w:id="149"/>
      <w:r w:rsidR="00E134D0" w:rsidRPr="00DD47DF">
        <w:rPr>
          <w:rFonts w:cs="Calibri"/>
        </w:rPr>
        <w:t>pro operační program</w:t>
      </w:r>
      <w:bookmarkEnd w:id="150"/>
    </w:p>
    <w:p w14:paraId="7012E4F1" w14:textId="77777777" w:rsidR="006C634D" w:rsidRPr="00DD47DF" w:rsidRDefault="006C634D" w:rsidP="000816D8">
      <w:pPr>
        <w:pStyle w:val="Titulek"/>
      </w:pPr>
      <w:r w:rsidRPr="00DD47DF">
        <w:t xml:space="preserve">Tabulka </w:t>
      </w:r>
      <w:r w:rsidR="002756E7" w:rsidRPr="00DD47DF">
        <w:fldChar w:fldCharType="begin"/>
      </w:r>
      <w:r w:rsidR="000E35F2" w:rsidRPr="00DD47DF">
        <w:instrText xml:space="preserve"> SEQ Tabulka \* ARABIC \r 28 </w:instrText>
      </w:r>
      <w:r w:rsidR="002756E7" w:rsidRPr="00DD47DF">
        <w:fldChar w:fldCharType="separate"/>
      </w:r>
      <w:r w:rsidR="00117847">
        <w:rPr>
          <w:noProof/>
        </w:rPr>
        <w:t>28</w:t>
      </w:r>
      <w:r w:rsidR="002756E7" w:rsidRPr="00DD47DF">
        <w:rPr>
          <w:noProof/>
        </w:rPr>
        <w:fldChar w:fldCharType="end"/>
      </w:r>
      <w:r w:rsidRPr="00DD47DF">
        <w:t xml:space="preserve">: </w:t>
      </w:r>
      <w:r w:rsidR="00E134D0" w:rsidRPr="00DD47DF">
        <w:t>Výkonnostní rámec operačního programu rozdělený podle fondu a kategorie regionu (shrnující tabulka)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89"/>
        <w:gridCol w:w="696"/>
        <w:gridCol w:w="1108"/>
        <w:gridCol w:w="2429"/>
        <w:gridCol w:w="1553"/>
        <w:gridCol w:w="1251"/>
        <w:gridCol w:w="1251"/>
      </w:tblGrid>
      <w:tr w:rsidR="0062043C" w:rsidRPr="00DD47DF" w14:paraId="4598D93D" w14:textId="77777777">
        <w:trPr>
          <w:trHeight w:val="846"/>
        </w:trPr>
        <w:tc>
          <w:tcPr>
            <w:tcW w:w="581" w:type="pct"/>
            <w:shd w:val="clear" w:color="auto" w:fill="B8CCE4"/>
          </w:tcPr>
          <w:p w14:paraId="1FE5EC49" w14:textId="77777777" w:rsidR="0062043C" w:rsidRPr="00DD47DF" w:rsidRDefault="0062043C" w:rsidP="00E134D0">
            <w:pPr>
              <w:pStyle w:val="Tabulka"/>
              <w:rPr>
                <w:rFonts w:cs="Calibri"/>
                <w:b/>
              </w:rPr>
            </w:pPr>
            <w:r w:rsidRPr="00DD47DF">
              <w:rPr>
                <w:rFonts w:cs="Calibri"/>
                <w:b/>
              </w:rPr>
              <w:t>Prioritní osa</w:t>
            </w:r>
          </w:p>
        </w:tc>
        <w:tc>
          <w:tcPr>
            <w:tcW w:w="371" w:type="pct"/>
            <w:shd w:val="clear" w:color="auto" w:fill="B8CCE4"/>
          </w:tcPr>
          <w:p w14:paraId="52A67460" w14:textId="77777777" w:rsidR="0062043C" w:rsidRPr="00DD47DF" w:rsidRDefault="0062043C" w:rsidP="00D51BBA">
            <w:pPr>
              <w:pStyle w:val="Tabulka"/>
              <w:rPr>
                <w:rFonts w:cs="Calibri"/>
                <w:b/>
              </w:rPr>
            </w:pPr>
            <w:r w:rsidRPr="00DD47DF">
              <w:rPr>
                <w:rFonts w:cs="Calibri"/>
                <w:b/>
              </w:rPr>
              <w:t>Fond</w:t>
            </w:r>
          </w:p>
        </w:tc>
        <w:tc>
          <w:tcPr>
            <w:tcW w:w="591" w:type="pct"/>
            <w:shd w:val="clear" w:color="auto" w:fill="B8CCE4"/>
          </w:tcPr>
          <w:p w14:paraId="56CB6821" w14:textId="77777777" w:rsidR="0062043C" w:rsidRPr="00DD47DF" w:rsidRDefault="00E134D0" w:rsidP="00E134D0">
            <w:pPr>
              <w:pStyle w:val="Tabulka"/>
              <w:rPr>
                <w:rFonts w:cs="Calibri"/>
                <w:b/>
              </w:rPr>
            </w:pPr>
            <w:r w:rsidRPr="00DD47DF">
              <w:rPr>
                <w:rFonts w:cs="Calibri"/>
                <w:b/>
              </w:rPr>
              <w:t>Kategorie regionů</w:t>
            </w:r>
          </w:p>
        </w:tc>
        <w:tc>
          <w:tcPr>
            <w:tcW w:w="1295" w:type="pct"/>
            <w:shd w:val="clear" w:color="auto" w:fill="B8CCE4"/>
            <w:tcMar>
              <w:top w:w="0" w:type="dxa"/>
              <w:left w:w="108" w:type="dxa"/>
              <w:bottom w:w="0" w:type="dxa"/>
              <w:right w:w="108" w:type="dxa"/>
            </w:tcMar>
          </w:tcPr>
          <w:p w14:paraId="5466B159" w14:textId="77777777" w:rsidR="0062043C" w:rsidRPr="00DD47DF" w:rsidRDefault="00E134D0" w:rsidP="00E134D0">
            <w:pPr>
              <w:pStyle w:val="Tabulka"/>
              <w:rPr>
                <w:rFonts w:cs="Calibri"/>
                <w:b/>
              </w:rPr>
            </w:pPr>
            <w:r w:rsidRPr="00DD47DF">
              <w:rPr>
                <w:rFonts w:cs="Calibri"/>
                <w:b/>
              </w:rPr>
              <w:t>Ukazatel nebo klíčový krok provádění</w:t>
            </w:r>
          </w:p>
        </w:tc>
        <w:tc>
          <w:tcPr>
            <w:tcW w:w="828" w:type="pct"/>
            <w:shd w:val="clear" w:color="auto" w:fill="B8CCE4"/>
            <w:tcMar>
              <w:top w:w="0" w:type="dxa"/>
              <w:left w:w="108" w:type="dxa"/>
              <w:bottom w:w="0" w:type="dxa"/>
              <w:right w:w="108" w:type="dxa"/>
            </w:tcMar>
          </w:tcPr>
          <w:p w14:paraId="02AE8ABD" w14:textId="77777777" w:rsidR="0062043C" w:rsidRPr="00DD47DF" w:rsidRDefault="00E134D0" w:rsidP="00E134D0">
            <w:pPr>
              <w:pStyle w:val="Tabulka"/>
              <w:rPr>
                <w:rFonts w:cs="Calibri"/>
                <w:b/>
                <w:bCs/>
              </w:rPr>
            </w:pPr>
            <w:r w:rsidRPr="00DD47DF">
              <w:rPr>
                <w:rFonts w:cs="Calibri"/>
                <w:b/>
                <w:bCs/>
              </w:rPr>
              <w:t>Měrná jednotka (použije-li se)</w:t>
            </w:r>
          </w:p>
        </w:tc>
        <w:tc>
          <w:tcPr>
            <w:tcW w:w="667" w:type="pct"/>
            <w:shd w:val="clear" w:color="auto" w:fill="B8CCE4"/>
            <w:tcMar>
              <w:top w:w="0" w:type="dxa"/>
              <w:left w:w="108" w:type="dxa"/>
              <w:bottom w:w="0" w:type="dxa"/>
              <w:right w:w="108" w:type="dxa"/>
            </w:tcMar>
          </w:tcPr>
          <w:p w14:paraId="7D0D1B3F" w14:textId="77777777" w:rsidR="0062043C" w:rsidRPr="00DD47DF" w:rsidRDefault="00E134D0" w:rsidP="00E134D0">
            <w:pPr>
              <w:pStyle w:val="Tabulka"/>
              <w:rPr>
                <w:rFonts w:cs="Calibri"/>
                <w:b/>
              </w:rPr>
            </w:pPr>
            <w:r w:rsidRPr="00DD47DF">
              <w:rPr>
                <w:rFonts w:cs="Calibri"/>
                <w:b/>
              </w:rPr>
              <w:t>Milník pro rok 2018</w:t>
            </w:r>
          </w:p>
        </w:tc>
        <w:tc>
          <w:tcPr>
            <w:tcW w:w="668" w:type="pct"/>
            <w:shd w:val="clear" w:color="auto" w:fill="B8CCE4"/>
            <w:tcMar>
              <w:top w:w="0" w:type="dxa"/>
              <w:left w:w="108" w:type="dxa"/>
              <w:bottom w:w="0" w:type="dxa"/>
              <w:right w:w="108" w:type="dxa"/>
            </w:tcMar>
          </w:tcPr>
          <w:p w14:paraId="7ADB2EA1" w14:textId="77777777" w:rsidR="0062043C" w:rsidRPr="00DD47DF" w:rsidRDefault="00E134D0" w:rsidP="00E134D0">
            <w:pPr>
              <w:pStyle w:val="Tabulka"/>
              <w:rPr>
                <w:rFonts w:cs="Calibri"/>
                <w:b/>
              </w:rPr>
            </w:pPr>
            <w:r w:rsidRPr="00DD47DF">
              <w:rPr>
                <w:rFonts w:cs="Calibri"/>
                <w:b/>
              </w:rPr>
              <w:t>Konečný cíl</w:t>
            </w:r>
            <w:r w:rsidR="0062043C" w:rsidRPr="00DD47DF">
              <w:rPr>
                <w:rFonts w:cs="Calibri"/>
                <w:b/>
              </w:rPr>
              <w:t xml:space="preserve"> </w:t>
            </w:r>
            <w:r w:rsidRPr="00DD47DF">
              <w:rPr>
                <w:rFonts w:cs="Calibri"/>
                <w:b/>
              </w:rPr>
              <w:t>(</w:t>
            </w:r>
            <w:r w:rsidR="0062043C" w:rsidRPr="00DD47DF">
              <w:rPr>
                <w:rFonts w:cs="Calibri"/>
                <w:b/>
              </w:rPr>
              <w:t>2023</w:t>
            </w:r>
            <w:r w:rsidRPr="00DD47DF">
              <w:rPr>
                <w:rFonts w:cs="Calibri"/>
                <w:b/>
              </w:rPr>
              <w:t>)</w:t>
            </w:r>
          </w:p>
        </w:tc>
      </w:tr>
      <w:tr w:rsidR="00DC685E" w:rsidRPr="00DD47DF" w14:paraId="423E53CA" w14:textId="77777777">
        <w:trPr>
          <w:trHeight w:val="318"/>
        </w:trPr>
        <w:tc>
          <w:tcPr>
            <w:tcW w:w="581" w:type="pct"/>
            <w:vMerge w:val="restart"/>
            <w:shd w:val="clear" w:color="auto" w:fill="auto"/>
            <w:vAlign w:val="center"/>
          </w:tcPr>
          <w:p w14:paraId="13D2D1A7" w14:textId="77777777" w:rsidR="00DC685E" w:rsidRPr="00DD47DF" w:rsidRDefault="00DC685E" w:rsidP="0062043C">
            <w:pPr>
              <w:pStyle w:val="Tabulka"/>
              <w:jc w:val="left"/>
              <w:rPr>
                <w:rFonts w:cs="Calibri"/>
              </w:rPr>
            </w:pPr>
            <w:r w:rsidRPr="00DD47DF">
              <w:rPr>
                <w:rFonts w:cs="Calibri"/>
              </w:rPr>
              <w:t>Prioritní osa 1</w:t>
            </w:r>
          </w:p>
        </w:tc>
        <w:tc>
          <w:tcPr>
            <w:tcW w:w="371" w:type="pct"/>
            <w:vMerge w:val="restart"/>
            <w:vAlign w:val="center"/>
          </w:tcPr>
          <w:p w14:paraId="19C1BB01" w14:textId="77777777" w:rsidR="00DC685E" w:rsidRPr="00DD47DF" w:rsidRDefault="00DC685E" w:rsidP="00D51BBA">
            <w:pPr>
              <w:pStyle w:val="Tabulka"/>
              <w:rPr>
                <w:rFonts w:cs="Calibri"/>
              </w:rPr>
            </w:pPr>
            <w:r w:rsidRPr="00DD47DF">
              <w:rPr>
                <w:rFonts w:cs="Calibri"/>
              </w:rPr>
              <w:t>EFRR</w:t>
            </w:r>
          </w:p>
        </w:tc>
        <w:tc>
          <w:tcPr>
            <w:tcW w:w="591" w:type="pct"/>
            <w:vMerge w:val="restart"/>
            <w:vAlign w:val="center"/>
          </w:tcPr>
          <w:p w14:paraId="382FC5D8" w14:textId="77777777" w:rsidR="00DC685E" w:rsidRPr="00DD47DF" w:rsidRDefault="00DC685E" w:rsidP="00F42269">
            <w:pPr>
              <w:pStyle w:val="Tabulka"/>
              <w:rPr>
                <w:rFonts w:cs="Calibri"/>
              </w:rPr>
            </w:pPr>
            <w:r w:rsidRPr="00DD47DF">
              <w:rPr>
                <w:rFonts w:cs="Calibri"/>
              </w:rPr>
              <w:t>Méně rozvinuté regiony</w:t>
            </w:r>
          </w:p>
        </w:tc>
        <w:tc>
          <w:tcPr>
            <w:tcW w:w="1295" w:type="pct"/>
            <w:shd w:val="clear" w:color="auto" w:fill="auto"/>
            <w:tcMar>
              <w:top w:w="0" w:type="dxa"/>
              <w:left w:w="108" w:type="dxa"/>
              <w:bottom w:w="0" w:type="dxa"/>
              <w:right w:w="108" w:type="dxa"/>
            </w:tcMar>
            <w:vAlign w:val="center"/>
          </w:tcPr>
          <w:p w14:paraId="1BC5B6F4" w14:textId="77777777" w:rsidR="00DC685E" w:rsidRPr="00DD47DF" w:rsidRDefault="003D1BB3" w:rsidP="000F4D69">
            <w:pPr>
              <w:pStyle w:val="Tabulka"/>
              <w:rPr>
                <w:rFonts w:cs="Calibri"/>
              </w:rPr>
            </w:pPr>
            <w:r w:rsidRPr="00DD47DF">
              <w:rPr>
                <w:rFonts w:cs="Calibri"/>
              </w:rPr>
              <w:t>Celkové způsobilé certifikované finanční prostředky</w:t>
            </w:r>
          </w:p>
        </w:tc>
        <w:tc>
          <w:tcPr>
            <w:tcW w:w="828" w:type="pct"/>
            <w:shd w:val="clear" w:color="auto" w:fill="auto"/>
            <w:tcMar>
              <w:top w:w="0" w:type="dxa"/>
              <w:left w:w="108" w:type="dxa"/>
              <w:bottom w:w="0" w:type="dxa"/>
              <w:right w:w="108" w:type="dxa"/>
            </w:tcMar>
            <w:vAlign w:val="center"/>
          </w:tcPr>
          <w:p w14:paraId="0B086D0F" w14:textId="77777777" w:rsidR="00DC685E" w:rsidRPr="00DD47DF" w:rsidRDefault="00DC685E" w:rsidP="00501DC8">
            <w:pPr>
              <w:pStyle w:val="Tabulka"/>
              <w:rPr>
                <w:rFonts w:cs="Calibri"/>
              </w:rPr>
            </w:pPr>
            <w:r w:rsidRPr="00DD47DF">
              <w:rPr>
                <w:rFonts w:cs="Calibri"/>
              </w:rPr>
              <w:t>EUR</w:t>
            </w:r>
          </w:p>
        </w:tc>
        <w:tc>
          <w:tcPr>
            <w:tcW w:w="667" w:type="pct"/>
            <w:shd w:val="clear" w:color="auto" w:fill="auto"/>
            <w:tcMar>
              <w:top w:w="0" w:type="dxa"/>
              <w:left w:w="108" w:type="dxa"/>
              <w:bottom w:w="0" w:type="dxa"/>
              <w:right w:w="108" w:type="dxa"/>
            </w:tcMar>
            <w:vAlign w:val="center"/>
          </w:tcPr>
          <w:p w14:paraId="5D4C97B0" w14:textId="77777777" w:rsidR="00DC685E" w:rsidRPr="00DD47DF" w:rsidRDefault="000E5BB7" w:rsidP="00D51BBA">
            <w:pPr>
              <w:pStyle w:val="Tabulka"/>
              <w:rPr>
                <w:rFonts w:cs="Calibri"/>
              </w:rPr>
            </w:pPr>
            <w:r w:rsidRPr="00DD47DF">
              <w:rPr>
                <w:rFonts w:cs="Calibri"/>
              </w:rPr>
              <w:t>5</w:t>
            </w:r>
            <w:r w:rsidR="00CC653D" w:rsidRPr="00DD47DF">
              <w:rPr>
                <w:rFonts w:cs="Calibri"/>
              </w:rPr>
              <w:t>52</w:t>
            </w:r>
            <w:r w:rsidR="00DC685E" w:rsidRPr="00DD47DF">
              <w:rPr>
                <w:rFonts w:cs="Calibri"/>
              </w:rPr>
              <w:t> </w:t>
            </w:r>
            <w:r w:rsidR="00CC653D" w:rsidRPr="00DD47DF">
              <w:rPr>
                <w:rFonts w:cs="Calibri"/>
              </w:rPr>
              <w:t>4</w:t>
            </w:r>
            <w:r w:rsidR="00DC685E" w:rsidRPr="00DD47DF">
              <w:rPr>
                <w:rFonts w:cs="Calibri"/>
              </w:rPr>
              <w:t>00 000</w:t>
            </w:r>
          </w:p>
        </w:tc>
        <w:tc>
          <w:tcPr>
            <w:tcW w:w="668" w:type="pct"/>
            <w:shd w:val="clear" w:color="auto" w:fill="auto"/>
            <w:tcMar>
              <w:top w:w="0" w:type="dxa"/>
              <w:left w:w="108" w:type="dxa"/>
              <w:bottom w:w="0" w:type="dxa"/>
              <w:right w:w="108" w:type="dxa"/>
            </w:tcMar>
            <w:vAlign w:val="center"/>
          </w:tcPr>
          <w:p w14:paraId="5E642077" w14:textId="72C9C6DE" w:rsidR="00DC685E" w:rsidRPr="00DD47DF" w:rsidRDefault="003237BA" w:rsidP="00D51BBA">
            <w:pPr>
              <w:pStyle w:val="Tabulka"/>
              <w:rPr>
                <w:rFonts w:cs="Calibri"/>
              </w:rPr>
            </w:pPr>
            <w:r w:rsidRPr="00700E39">
              <w:t>2 782 298 907</w:t>
            </w:r>
          </w:p>
        </w:tc>
      </w:tr>
      <w:tr w:rsidR="00DC685E" w:rsidRPr="00DD47DF" w14:paraId="54103C15" w14:textId="77777777">
        <w:trPr>
          <w:trHeight w:val="268"/>
        </w:trPr>
        <w:tc>
          <w:tcPr>
            <w:tcW w:w="581" w:type="pct"/>
            <w:vMerge/>
            <w:shd w:val="clear" w:color="auto" w:fill="auto"/>
            <w:vAlign w:val="center"/>
          </w:tcPr>
          <w:p w14:paraId="6C214F10" w14:textId="77777777" w:rsidR="00DC685E" w:rsidRPr="00DD47DF" w:rsidRDefault="00DC685E" w:rsidP="0062043C">
            <w:pPr>
              <w:pStyle w:val="Tabulka"/>
              <w:jc w:val="left"/>
              <w:rPr>
                <w:rFonts w:cs="Calibri"/>
              </w:rPr>
            </w:pPr>
          </w:p>
        </w:tc>
        <w:tc>
          <w:tcPr>
            <w:tcW w:w="371" w:type="pct"/>
            <w:vMerge/>
            <w:vAlign w:val="center"/>
          </w:tcPr>
          <w:p w14:paraId="54E2FB1E" w14:textId="77777777" w:rsidR="00DC685E" w:rsidRPr="00DD47DF" w:rsidRDefault="00DC685E" w:rsidP="00D51BBA">
            <w:pPr>
              <w:pStyle w:val="Tabulka"/>
              <w:rPr>
                <w:rFonts w:cs="Calibri"/>
              </w:rPr>
            </w:pPr>
          </w:p>
        </w:tc>
        <w:tc>
          <w:tcPr>
            <w:tcW w:w="591" w:type="pct"/>
            <w:vMerge/>
            <w:vAlign w:val="center"/>
          </w:tcPr>
          <w:p w14:paraId="22C893BA" w14:textId="77777777" w:rsidR="00DC685E" w:rsidRPr="00DD47DF" w:rsidRDefault="00DC685E" w:rsidP="00F42269">
            <w:pPr>
              <w:pStyle w:val="Tabulka"/>
              <w:rPr>
                <w:rFonts w:cs="Calibri"/>
              </w:rPr>
            </w:pPr>
          </w:p>
        </w:tc>
        <w:tc>
          <w:tcPr>
            <w:tcW w:w="1295" w:type="pct"/>
            <w:shd w:val="clear" w:color="auto" w:fill="auto"/>
            <w:tcMar>
              <w:top w:w="0" w:type="dxa"/>
              <w:left w:w="108" w:type="dxa"/>
              <w:bottom w:w="0" w:type="dxa"/>
              <w:right w:w="108" w:type="dxa"/>
            </w:tcMar>
            <w:vAlign w:val="center"/>
          </w:tcPr>
          <w:p w14:paraId="03D81AA5" w14:textId="77777777" w:rsidR="00DC685E" w:rsidRPr="00DD47DF" w:rsidRDefault="00DC685E" w:rsidP="00501DC8">
            <w:pPr>
              <w:pStyle w:val="Tabulka"/>
              <w:rPr>
                <w:rFonts w:cs="Calibri"/>
              </w:rPr>
            </w:pPr>
            <w:r w:rsidRPr="00DD47DF">
              <w:rPr>
                <w:rFonts w:cs="Calibri"/>
              </w:rPr>
              <w:t>Počet podniků pobírajících podporu</w:t>
            </w:r>
          </w:p>
        </w:tc>
        <w:tc>
          <w:tcPr>
            <w:tcW w:w="828" w:type="pct"/>
            <w:shd w:val="clear" w:color="auto" w:fill="auto"/>
            <w:tcMar>
              <w:top w:w="0" w:type="dxa"/>
              <w:left w:w="108" w:type="dxa"/>
              <w:bottom w:w="0" w:type="dxa"/>
              <w:right w:w="108" w:type="dxa"/>
            </w:tcMar>
            <w:vAlign w:val="center"/>
          </w:tcPr>
          <w:p w14:paraId="1482D7C7" w14:textId="77777777" w:rsidR="00DC685E" w:rsidRPr="00DD47DF" w:rsidRDefault="00DC685E" w:rsidP="00501DC8">
            <w:pPr>
              <w:pStyle w:val="Tabulka"/>
              <w:rPr>
                <w:rFonts w:cs="Calibri"/>
              </w:rPr>
            </w:pPr>
            <w:r w:rsidRPr="00DD47DF">
              <w:rPr>
                <w:rFonts w:cs="Calibri"/>
              </w:rPr>
              <w:t>Podniky</w:t>
            </w:r>
          </w:p>
        </w:tc>
        <w:tc>
          <w:tcPr>
            <w:tcW w:w="667" w:type="pct"/>
            <w:shd w:val="clear" w:color="auto" w:fill="auto"/>
            <w:tcMar>
              <w:top w:w="0" w:type="dxa"/>
              <w:left w:w="108" w:type="dxa"/>
              <w:bottom w:w="0" w:type="dxa"/>
              <w:right w:w="108" w:type="dxa"/>
            </w:tcMar>
            <w:vAlign w:val="center"/>
          </w:tcPr>
          <w:p w14:paraId="7A9CAABB" w14:textId="77777777" w:rsidR="00DC685E" w:rsidRPr="00DD47DF" w:rsidRDefault="00BD5D37" w:rsidP="00D51BBA">
            <w:pPr>
              <w:pStyle w:val="Tabulka"/>
              <w:rPr>
                <w:rFonts w:cs="Calibri"/>
              </w:rPr>
            </w:pPr>
            <w:r w:rsidRPr="00DD47DF">
              <w:rPr>
                <w:rFonts w:cs="Calibri"/>
              </w:rPr>
              <w:t>4</w:t>
            </w:r>
            <w:r w:rsidR="000E5BB7" w:rsidRPr="00DD47DF">
              <w:rPr>
                <w:rFonts w:cs="Calibri"/>
              </w:rPr>
              <w:t>2</w:t>
            </w:r>
            <w:r w:rsidRPr="00DD47DF">
              <w:rPr>
                <w:rFonts w:cs="Calibri"/>
              </w:rPr>
              <w:t>0</w:t>
            </w:r>
          </w:p>
        </w:tc>
        <w:tc>
          <w:tcPr>
            <w:tcW w:w="668" w:type="pct"/>
            <w:shd w:val="clear" w:color="auto" w:fill="auto"/>
            <w:tcMar>
              <w:top w:w="0" w:type="dxa"/>
              <w:left w:w="108" w:type="dxa"/>
              <w:bottom w:w="0" w:type="dxa"/>
              <w:right w:w="108" w:type="dxa"/>
            </w:tcMar>
            <w:vAlign w:val="center"/>
          </w:tcPr>
          <w:p w14:paraId="674EC609" w14:textId="77777777" w:rsidR="00DC685E" w:rsidRPr="00DD47DF" w:rsidRDefault="00BD5D37" w:rsidP="00D51BBA">
            <w:pPr>
              <w:pStyle w:val="Tabulka"/>
              <w:rPr>
                <w:rFonts w:cs="Calibri"/>
              </w:rPr>
            </w:pPr>
            <w:r w:rsidRPr="00DD47DF">
              <w:rPr>
                <w:rFonts w:cs="Calibri"/>
              </w:rPr>
              <w:t xml:space="preserve">1 </w:t>
            </w:r>
            <w:r w:rsidR="000E5BB7" w:rsidRPr="00DD47DF">
              <w:rPr>
                <w:rFonts w:cs="Calibri"/>
              </w:rPr>
              <w:t>9</w:t>
            </w:r>
            <w:r w:rsidRPr="00DD47DF">
              <w:rPr>
                <w:rFonts w:cs="Calibri"/>
              </w:rPr>
              <w:t>70</w:t>
            </w:r>
          </w:p>
        </w:tc>
      </w:tr>
      <w:tr w:rsidR="00DC685E" w:rsidRPr="00DD47DF" w14:paraId="11813E20" w14:textId="77777777">
        <w:trPr>
          <w:trHeight w:val="335"/>
        </w:trPr>
        <w:tc>
          <w:tcPr>
            <w:tcW w:w="581" w:type="pct"/>
            <w:vMerge/>
            <w:shd w:val="clear" w:color="auto" w:fill="auto"/>
            <w:vAlign w:val="center"/>
          </w:tcPr>
          <w:p w14:paraId="0DDDD24A" w14:textId="77777777" w:rsidR="00DC685E" w:rsidRPr="00DD47DF" w:rsidRDefault="00DC685E" w:rsidP="0062043C">
            <w:pPr>
              <w:pStyle w:val="Tabulka"/>
              <w:jc w:val="left"/>
              <w:rPr>
                <w:rFonts w:cs="Calibri"/>
              </w:rPr>
            </w:pPr>
          </w:p>
        </w:tc>
        <w:tc>
          <w:tcPr>
            <w:tcW w:w="371" w:type="pct"/>
            <w:vMerge/>
            <w:vAlign w:val="center"/>
          </w:tcPr>
          <w:p w14:paraId="11D92080" w14:textId="77777777" w:rsidR="00DC685E" w:rsidRPr="00DD47DF" w:rsidRDefault="00DC685E" w:rsidP="00D51BBA">
            <w:pPr>
              <w:pStyle w:val="Tabulka"/>
              <w:rPr>
                <w:rFonts w:cs="Calibri"/>
              </w:rPr>
            </w:pPr>
          </w:p>
        </w:tc>
        <w:tc>
          <w:tcPr>
            <w:tcW w:w="591" w:type="pct"/>
            <w:vMerge/>
            <w:vAlign w:val="center"/>
          </w:tcPr>
          <w:p w14:paraId="51C08A24" w14:textId="77777777" w:rsidR="00DC685E" w:rsidRPr="00DD47DF" w:rsidRDefault="00DC685E" w:rsidP="00F42269">
            <w:pPr>
              <w:pStyle w:val="Tabulka"/>
              <w:rPr>
                <w:rFonts w:cs="Calibri"/>
              </w:rPr>
            </w:pPr>
          </w:p>
        </w:tc>
        <w:tc>
          <w:tcPr>
            <w:tcW w:w="1295" w:type="pct"/>
            <w:shd w:val="clear" w:color="auto" w:fill="auto"/>
            <w:tcMar>
              <w:top w:w="0" w:type="dxa"/>
              <w:left w:w="108" w:type="dxa"/>
              <w:bottom w:w="0" w:type="dxa"/>
              <w:right w:w="108" w:type="dxa"/>
            </w:tcMar>
            <w:vAlign w:val="center"/>
          </w:tcPr>
          <w:p w14:paraId="62807765" w14:textId="77777777" w:rsidR="00DC685E" w:rsidRPr="00DD47DF" w:rsidRDefault="00DC685E" w:rsidP="00DF5D6D">
            <w:pPr>
              <w:pStyle w:val="Tabulka"/>
              <w:rPr>
                <w:rFonts w:cs="Calibri"/>
              </w:rPr>
            </w:pPr>
            <w:r w:rsidRPr="00DD47DF">
              <w:rPr>
                <w:rFonts w:cs="Calibri"/>
              </w:rPr>
              <w:t>Počet podniků spolupracujících s výzkumnými institucemi</w:t>
            </w:r>
          </w:p>
        </w:tc>
        <w:tc>
          <w:tcPr>
            <w:tcW w:w="828" w:type="pct"/>
            <w:shd w:val="clear" w:color="auto" w:fill="auto"/>
            <w:tcMar>
              <w:top w:w="0" w:type="dxa"/>
              <w:left w:w="108" w:type="dxa"/>
              <w:bottom w:w="0" w:type="dxa"/>
              <w:right w:w="108" w:type="dxa"/>
            </w:tcMar>
            <w:vAlign w:val="center"/>
          </w:tcPr>
          <w:p w14:paraId="7571423E" w14:textId="77777777" w:rsidR="00DC685E" w:rsidRPr="00DD47DF" w:rsidRDefault="00DC685E" w:rsidP="00DF5D6D">
            <w:pPr>
              <w:pStyle w:val="Tabulka"/>
              <w:rPr>
                <w:rFonts w:cs="Calibri"/>
              </w:rPr>
            </w:pPr>
            <w:r w:rsidRPr="00DD47DF">
              <w:rPr>
                <w:rFonts w:cs="Calibri"/>
              </w:rPr>
              <w:t>Podniky</w:t>
            </w:r>
          </w:p>
        </w:tc>
        <w:tc>
          <w:tcPr>
            <w:tcW w:w="667" w:type="pct"/>
            <w:shd w:val="clear" w:color="auto" w:fill="auto"/>
            <w:tcMar>
              <w:top w:w="0" w:type="dxa"/>
              <w:left w:w="108" w:type="dxa"/>
              <w:bottom w:w="0" w:type="dxa"/>
              <w:right w:w="108" w:type="dxa"/>
            </w:tcMar>
            <w:vAlign w:val="center"/>
          </w:tcPr>
          <w:p w14:paraId="15073B96" w14:textId="41DF31BA" w:rsidR="00DC685E" w:rsidRPr="00DD47DF" w:rsidRDefault="00E71398" w:rsidP="00D51BBA">
            <w:pPr>
              <w:pStyle w:val="Tabulka"/>
              <w:rPr>
                <w:rFonts w:cs="Calibri"/>
              </w:rPr>
            </w:pPr>
            <w:r>
              <w:rPr>
                <w:rFonts w:cs="Calibri"/>
              </w:rPr>
              <w:t>3</w:t>
            </w:r>
            <w:r w:rsidR="00DC685E" w:rsidRPr="00DD47DF">
              <w:rPr>
                <w:rFonts w:cs="Calibri"/>
              </w:rPr>
              <w:t>50</w:t>
            </w:r>
          </w:p>
        </w:tc>
        <w:tc>
          <w:tcPr>
            <w:tcW w:w="668" w:type="pct"/>
            <w:shd w:val="clear" w:color="auto" w:fill="auto"/>
            <w:tcMar>
              <w:top w:w="0" w:type="dxa"/>
              <w:left w:w="108" w:type="dxa"/>
              <w:bottom w:w="0" w:type="dxa"/>
              <w:right w:w="108" w:type="dxa"/>
            </w:tcMar>
            <w:vAlign w:val="center"/>
          </w:tcPr>
          <w:p w14:paraId="5185B518" w14:textId="2A8388CF" w:rsidR="00DC685E" w:rsidRPr="00DD47DF" w:rsidRDefault="00DC685E" w:rsidP="00D51BBA">
            <w:pPr>
              <w:pStyle w:val="Tabulka"/>
              <w:rPr>
                <w:rFonts w:cs="Calibri"/>
              </w:rPr>
            </w:pPr>
            <w:r w:rsidRPr="00DD47DF">
              <w:rPr>
                <w:rFonts w:cs="Calibri"/>
              </w:rPr>
              <w:t xml:space="preserve">2 </w:t>
            </w:r>
            <w:r w:rsidR="00E71398">
              <w:rPr>
                <w:rFonts w:cs="Calibri"/>
              </w:rPr>
              <w:t>200</w:t>
            </w:r>
          </w:p>
        </w:tc>
      </w:tr>
      <w:tr w:rsidR="00DC685E" w:rsidRPr="00DD47DF" w14:paraId="234F4239" w14:textId="77777777">
        <w:trPr>
          <w:trHeight w:val="469"/>
        </w:trPr>
        <w:tc>
          <w:tcPr>
            <w:tcW w:w="581" w:type="pct"/>
            <w:vMerge w:val="restart"/>
            <w:shd w:val="clear" w:color="auto" w:fill="auto"/>
            <w:vAlign w:val="center"/>
          </w:tcPr>
          <w:p w14:paraId="26391463" w14:textId="77777777" w:rsidR="00DC685E" w:rsidRPr="00DD47DF" w:rsidRDefault="00DC685E" w:rsidP="0062043C">
            <w:pPr>
              <w:pStyle w:val="Tabulka"/>
              <w:jc w:val="left"/>
              <w:rPr>
                <w:rFonts w:cs="Calibri"/>
              </w:rPr>
            </w:pPr>
            <w:r w:rsidRPr="00DD47DF">
              <w:rPr>
                <w:rFonts w:cs="Calibri"/>
              </w:rPr>
              <w:t>Prioritní osa 2</w:t>
            </w:r>
          </w:p>
        </w:tc>
        <w:tc>
          <w:tcPr>
            <w:tcW w:w="371" w:type="pct"/>
            <w:vMerge w:val="restart"/>
            <w:vAlign w:val="center"/>
          </w:tcPr>
          <w:p w14:paraId="76CFEDBB" w14:textId="77777777" w:rsidR="00DC685E" w:rsidRPr="00DD47DF" w:rsidRDefault="00DC685E" w:rsidP="00D51BBA">
            <w:pPr>
              <w:pStyle w:val="Tabulka"/>
              <w:rPr>
                <w:rFonts w:cs="Calibri"/>
              </w:rPr>
            </w:pPr>
            <w:r w:rsidRPr="00DD47DF">
              <w:rPr>
                <w:rFonts w:cs="Calibri"/>
              </w:rPr>
              <w:t>EFRR</w:t>
            </w:r>
          </w:p>
        </w:tc>
        <w:tc>
          <w:tcPr>
            <w:tcW w:w="591" w:type="pct"/>
            <w:vMerge w:val="restart"/>
            <w:vAlign w:val="center"/>
          </w:tcPr>
          <w:p w14:paraId="21E021FC" w14:textId="77777777" w:rsidR="00DC685E" w:rsidRPr="00DD47DF" w:rsidRDefault="00DC685E" w:rsidP="00F42269">
            <w:pPr>
              <w:pStyle w:val="Tabulka"/>
              <w:rPr>
                <w:rFonts w:cs="Calibri"/>
              </w:rPr>
            </w:pPr>
            <w:r w:rsidRPr="00DD47DF">
              <w:rPr>
                <w:rFonts w:cs="Calibri"/>
              </w:rPr>
              <w:t>Méně rozvinuté regiony</w:t>
            </w:r>
          </w:p>
        </w:tc>
        <w:tc>
          <w:tcPr>
            <w:tcW w:w="1295" w:type="pct"/>
            <w:shd w:val="clear" w:color="auto" w:fill="auto"/>
            <w:tcMar>
              <w:top w:w="0" w:type="dxa"/>
              <w:left w:w="108" w:type="dxa"/>
              <w:bottom w:w="0" w:type="dxa"/>
              <w:right w:w="108" w:type="dxa"/>
            </w:tcMar>
            <w:vAlign w:val="center"/>
          </w:tcPr>
          <w:p w14:paraId="2E848E8C" w14:textId="77777777" w:rsidR="00DC685E" w:rsidRPr="00DD47DF" w:rsidRDefault="003D1BB3" w:rsidP="00501DC8">
            <w:pPr>
              <w:pStyle w:val="Tabulka"/>
              <w:rPr>
                <w:rFonts w:cs="Calibri"/>
              </w:rPr>
            </w:pPr>
            <w:r w:rsidRPr="00DD47DF">
              <w:rPr>
                <w:rFonts w:cs="Calibri"/>
              </w:rPr>
              <w:t>Celkové způsobilé certifikované finanční prostředky</w:t>
            </w:r>
          </w:p>
        </w:tc>
        <w:tc>
          <w:tcPr>
            <w:tcW w:w="828" w:type="pct"/>
            <w:shd w:val="clear" w:color="auto" w:fill="auto"/>
            <w:tcMar>
              <w:top w:w="0" w:type="dxa"/>
              <w:left w:w="108" w:type="dxa"/>
              <w:bottom w:w="0" w:type="dxa"/>
              <w:right w:w="108" w:type="dxa"/>
            </w:tcMar>
            <w:vAlign w:val="center"/>
          </w:tcPr>
          <w:p w14:paraId="2E5D6E12" w14:textId="77777777" w:rsidR="00DC685E" w:rsidRPr="00DD47DF" w:rsidRDefault="00DC685E" w:rsidP="00501DC8">
            <w:pPr>
              <w:pStyle w:val="Tabulka"/>
              <w:rPr>
                <w:rFonts w:cs="Calibri"/>
              </w:rPr>
            </w:pPr>
            <w:r w:rsidRPr="00DD47DF">
              <w:rPr>
                <w:rFonts w:cs="Calibri"/>
              </w:rPr>
              <w:t>EUR</w:t>
            </w:r>
          </w:p>
        </w:tc>
        <w:tc>
          <w:tcPr>
            <w:tcW w:w="667" w:type="pct"/>
            <w:shd w:val="clear" w:color="auto" w:fill="auto"/>
            <w:tcMar>
              <w:top w:w="0" w:type="dxa"/>
              <w:left w:w="108" w:type="dxa"/>
              <w:bottom w:w="0" w:type="dxa"/>
              <w:right w:w="108" w:type="dxa"/>
            </w:tcMar>
            <w:vAlign w:val="center"/>
          </w:tcPr>
          <w:p w14:paraId="515480E1" w14:textId="77777777" w:rsidR="00DC685E" w:rsidRPr="00DD47DF" w:rsidRDefault="000E5BB7" w:rsidP="00D51BBA">
            <w:pPr>
              <w:pStyle w:val="Tabulka"/>
              <w:rPr>
                <w:rFonts w:cs="Calibri"/>
              </w:rPr>
            </w:pPr>
            <w:r w:rsidRPr="00DD47DF">
              <w:rPr>
                <w:rFonts w:cs="Calibri"/>
              </w:rPr>
              <w:t>26</w:t>
            </w:r>
            <w:r w:rsidR="00CC653D" w:rsidRPr="00DD47DF">
              <w:rPr>
                <w:rFonts w:cs="Calibri"/>
              </w:rPr>
              <w:t>8</w:t>
            </w:r>
            <w:r w:rsidRPr="00DD47DF">
              <w:rPr>
                <w:rFonts w:cs="Calibri"/>
              </w:rPr>
              <w:t> 4</w:t>
            </w:r>
            <w:r w:rsidR="00DC685E" w:rsidRPr="00DD47DF">
              <w:rPr>
                <w:rFonts w:cs="Calibri"/>
              </w:rPr>
              <w:t>00 000</w:t>
            </w:r>
          </w:p>
        </w:tc>
        <w:tc>
          <w:tcPr>
            <w:tcW w:w="668" w:type="pct"/>
            <w:shd w:val="clear" w:color="auto" w:fill="auto"/>
            <w:tcMar>
              <w:top w:w="0" w:type="dxa"/>
              <w:left w:w="108" w:type="dxa"/>
              <w:bottom w:w="0" w:type="dxa"/>
              <w:right w:w="108" w:type="dxa"/>
            </w:tcMar>
            <w:vAlign w:val="center"/>
          </w:tcPr>
          <w:p w14:paraId="31E1177F" w14:textId="132437AE" w:rsidR="00DC685E" w:rsidRPr="00DD47DF" w:rsidRDefault="003237BA" w:rsidP="00D51BBA">
            <w:pPr>
              <w:pStyle w:val="Tabulka"/>
              <w:rPr>
                <w:rFonts w:cs="Calibri"/>
              </w:rPr>
            </w:pPr>
            <w:r w:rsidRPr="00700E39">
              <w:t>1 893 030 864</w:t>
            </w:r>
          </w:p>
        </w:tc>
      </w:tr>
      <w:tr w:rsidR="00DC685E" w:rsidRPr="00DD47DF" w14:paraId="20A6C35F" w14:textId="77777777">
        <w:trPr>
          <w:trHeight w:val="462"/>
        </w:trPr>
        <w:tc>
          <w:tcPr>
            <w:tcW w:w="581" w:type="pct"/>
            <w:vMerge/>
            <w:shd w:val="clear" w:color="auto" w:fill="auto"/>
            <w:vAlign w:val="center"/>
          </w:tcPr>
          <w:p w14:paraId="32AC4B71" w14:textId="77777777" w:rsidR="00DC685E" w:rsidRPr="00DD47DF" w:rsidRDefault="00DC685E" w:rsidP="0062043C">
            <w:pPr>
              <w:pStyle w:val="Tabulka"/>
              <w:jc w:val="left"/>
              <w:rPr>
                <w:rFonts w:cs="Calibri"/>
              </w:rPr>
            </w:pPr>
          </w:p>
        </w:tc>
        <w:tc>
          <w:tcPr>
            <w:tcW w:w="371" w:type="pct"/>
            <w:vMerge/>
            <w:vAlign w:val="center"/>
          </w:tcPr>
          <w:p w14:paraId="16D6F383" w14:textId="77777777" w:rsidR="00DC685E" w:rsidRPr="00DD47DF" w:rsidRDefault="00DC685E" w:rsidP="00D51BBA">
            <w:pPr>
              <w:pStyle w:val="Tabulka"/>
              <w:rPr>
                <w:rFonts w:cs="Calibri"/>
              </w:rPr>
            </w:pPr>
          </w:p>
        </w:tc>
        <w:tc>
          <w:tcPr>
            <w:tcW w:w="591" w:type="pct"/>
            <w:vMerge/>
            <w:vAlign w:val="center"/>
          </w:tcPr>
          <w:p w14:paraId="4F48AAAD" w14:textId="77777777" w:rsidR="00DC685E" w:rsidRPr="00DD47DF" w:rsidRDefault="00DC685E" w:rsidP="00F42269">
            <w:pPr>
              <w:pStyle w:val="Tabulka"/>
              <w:rPr>
                <w:rFonts w:cs="Calibri"/>
              </w:rPr>
            </w:pPr>
          </w:p>
        </w:tc>
        <w:tc>
          <w:tcPr>
            <w:tcW w:w="1295" w:type="pct"/>
            <w:shd w:val="clear" w:color="auto" w:fill="auto"/>
            <w:tcMar>
              <w:top w:w="0" w:type="dxa"/>
              <w:left w:w="108" w:type="dxa"/>
              <w:bottom w:w="0" w:type="dxa"/>
              <w:right w:w="108" w:type="dxa"/>
            </w:tcMar>
            <w:vAlign w:val="center"/>
          </w:tcPr>
          <w:p w14:paraId="31C890A1" w14:textId="77777777" w:rsidR="00DC685E" w:rsidRPr="00DD47DF" w:rsidRDefault="00DC685E" w:rsidP="00501DC8">
            <w:pPr>
              <w:pStyle w:val="Tabulka"/>
              <w:rPr>
                <w:rFonts w:cs="Calibri"/>
              </w:rPr>
            </w:pPr>
            <w:r w:rsidRPr="00DD47DF">
              <w:rPr>
                <w:rFonts w:cs="Calibri"/>
              </w:rPr>
              <w:t>Počet podniků pobírajících podporu</w:t>
            </w:r>
          </w:p>
        </w:tc>
        <w:tc>
          <w:tcPr>
            <w:tcW w:w="828" w:type="pct"/>
            <w:shd w:val="clear" w:color="auto" w:fill="auto"/>
            <w:tcMar>
              <w:top w:w="0" w:type="dxa"/>
              <w:left w:w="108" w:type="dxa"/>
              <w:bottom w:w="0" w:type="dxa"/>
              <w:right w:w="108" w:type="dxa"/>
            </w:tcMar>
            <w:vAlign w:val="center"/>
          </w:tcPr>
          <w:p w14:paraId="76614BE6" w14:textId="77777777" w:rsidR="00DC685E" w:rsidRPr="00DD47DF" w:rsidRDefault="00DC685E" w:rsidP="00501DC8">
            <w:pPr>
              <w:pStyle w:val="Tabulka"/>
              <w:rPr>
                <w:rFonts w:cs="Calibri"/>
              </w:rPr>
            </w:pPr>
            <w:r w:rsidRPr="00DD47DF">
              <w:rPr>
                <w:rFonts w:cs="Calibri"/>
              </w:rPr>
              <w:t>Podniky</w:t>
            </w:r>
          </w:p>
        </w:tc>
        <w:tc>
          <w:tcPr>
            <w:tcW w:w="667" w:type="pct"/>
            <w:shd w:val="clear" w:color="auto" w:fill="auto"/>
            <w:tcMar>
              <w:top w:w="0" w:type="dxa"/>
              <w:left w:w="108" w:type="dxa"/>
              <w:bottom w:w="0" w:type="dxa"/>
              <w:right w:w="108" w:type="dxa"/>
            </w:tcMar>
            <w:vAlign w:val="center"/>
          </w:tcPr>
          <w:p w14:paraId="0DA9A77A" w14:textId="77777777" w:rsidR="00DC685E" w:rsidRPr="00DD47DF" w:rsidRDefault="00A25B29" w:rsidP="00D51BBA">
            <w:pPr>
              <w:pStyle w:val="Tabulka"/>
              <w:rPr>
                <w:rFonts w:cs="Calibri"/>
              </w:rPr>
            </w:pPr>
            <w:r w:rsidRPr="00DD47DF">
              <w:rPr>
                <w:rFonts w:cs="Calibri"/>
              </w:rPr>
              <w:t>1 35</w:t>
            </w:r>
            <w:r w:rsidR="00DC685E" w:rsidRPr="00DD47DF">
              <w:rPr>
                <w:rFonts w:cs="Calibri"/>
              </w:rPr>
              <w:t>0</w:t>
            </w:r>
          </w:p>
        </w:tc>
        <w:tc>
          <w:tcPr>
            <w:tcW w:w="668" w:type="pct"/>
            <w:shd w:val="clear" w:color="auto" w:fill="auto"/>
            <w:tcMar>
              <w:top w:w="0" w:type="dxa"/>
              <w:left w:w="108" w:type="dxa"/>
              <w:bottom w:w="0" w:type="dxa"/>
              <w:right w:w="108" w:type="dxa"/>
            </w:tcMar>
            <w:vAlign w:val="center"/>
          </w:tcPr>
          <w:p w14:paraId="408A9C9B" w14:textId="726093DD" w:rsidR="00DC685E" w:rsidRPr="00DD47DF" w:rsidRDefault="008537E9" w:rsidP="00773626">
            <w:pPr>
              <w:pStyle w:val="Tabulka"/>
              <w:rPr>
                <w:rFonts w:cs="Calibri"/>
              </w:rPr>
            </w:pPr>
            <w:r>
              <w:rPr>
                <w:rFonts w:cs="Calibri"/>
              </w:rPr>
              <w:t>4 051</w:t>
            </w:r>
          </w:p>
        </w:tc>
      </w:tr>
      <w:tr w:rsidR="00DC685E" w:rsidRPr="00DD47DF" w14:paraId="2E78A5C7" w14:textId="77777777">
        <w:trPr>
          <w:trHeight w:val="485"/>
        </w:trPr>
        <w:tc>
          <w:tcPr>
            <w:tcW w:w="581" w:type="pct"/>
            <w:vMerge w:val="restart"/>
            <w:shd w:val="clear" w:color="auto" w:fill="auto"/>
            <w:vAlign w:val="center"/>
          </w:tcPr>
          <w:p w14:paraId="38A1DDEB" w14:textId="77777777" w:rsidR="00DC685E" w:rsidRPr="00DD47DF" w:rsidRDefault="00DC685E" w:rsidP="0062043C">
            <w:pPr>
              <w:pStyle w:val="Tabulka"/>
              <w:jc w:val="left"/>
              <w:rPr>
                <w:rFonts w:cs="Calibri"/>
              </w:rPr>
            </w:pPr>
            <w:r w:rsidRPr="00DD47DF">
              <w:rPr>
                <w:rFonts w:cs="Calibri"/>
              </w:rPr>
              <w:t>Prioritní osa 3</w:t>
            </w:r>
          </w:p>
        </w:tc>
        <w:tc>
          <w:tcPr>
            <w:tcW w:w="371" w:type="pct"/>
            <w:vMerge w:val="restart"/>
            <w:vAlign w:val="center"/>
          </w:tcPr>
          <w:p w14:paraId="34CB4202" w14:textId="77777777" w:rsidR="00DC685E" w:rsidRPr="00DD47DF" w:rsidRDefault="00DC685E" w:rsidP="00D51BBA">
            <w:pPr>
              <w:pStyle w:val="Tabulka"/>
              <w:rPr>
                <w:rFonts w:cs="Calibri"/>
              </w:rPr>
            </w:pPr>
            <w:r w:rsidRPr="00DD47DF">
              <w:rPr>
                <w:rFonts w:cs="Calibri"/>
              </w:rPr>
              <w:t>EFRR</w:t>
            </w:r>
          </w:p>
        </w:tc>
        <w:tc>
          <w:tcPr>
            <w:tcW w:w="591" w:type="pct"/>
            <w:vMerge w:val="restart"/>
            <w:vAlign w:val="center"/>
          </w:tcPr>
          <w:p w14:paraId="74B0250F" w14:textId="77777777" w:rsidR="00DC685E" w:rsidRPr="00DD47DF" w:rsidRDefault="00DC685E" w:rsidP="00F42269">
            <w:pPr>
              <w:pStyle w:val="Tabulka"/>
              <w:rPr>
                <w:rFonts w:cs="Calibri"/>
              </w:rPr>
            </w:pPr>
            <w:r w:rsidRPr="00DD47DF">
              <w:rPr>
                <w:rFonts w:cs="Calibri"/>
              </w:rPr>
              <w:t>Méně rozvinuté regiony</w:t>
            </w:r>
          </w:p>
        </w:tc>
        <w:tc>
          <w:tcPr>
            <w:tcW w:w="1295" w:type="pct"/>
            <w:shd w:val="clear" w:color="auto" w:fill="auto"/>
            <w:tcMar>
              <w:top w:w="0" w:type="dxa"/>
              <w:left w:w="108" w:type="dxa"/>
              <w:bottom w:w="0" w:type="dxa"/>
              <w:right w:w="108" w:type="dxa"/>
            </w:tcMar>
            <w:vAlign w:val="center"/>
          </w:tcPr>
          <w:p w14:paraId="248AA497" w14:textId="77777777" w:rsidR="00DC685E" w:rsidRPr="00DD47DF" w:rsidRDefault="003D1BB3" w:rsidP="00501DC8">
            <w:pPr>
              <w:pStyle w:val="Tabulka"/>
              <w:rPr>
                <w:rFonts w:cs="Calibri"/>
              </w:rPr>
            </w:pPr>
            <w:r w:rsidRPr="00DD47DF">
              <w:rPr>
                <w:rFonts w:cs="Calibri"/>
              </w:rPr>
              <w:t>Celkové způsobilé certifikované finanční prostředky</w:t>
            </w:r>
          </w:p>
        </w:tc>
        <w:tc>
          <w:tcPr>
            <w:tcW w:w="828" w:type="pct"/>
            <w:shd w:val="clear" w:color="auto" w:fill="auto"/>
            <w:tcMar>
              <w:top w:w="0" w:type="dxa"/>
              <w:left w:w="108" w:type="dxa"/>
              <w:bottom w:w="0" w:type="dxa"/>
              <w:right w:w="108" w:type="dxa"/>
            </w:tcMar>
            <w:vAlign w:val="center"/>
          </w:tcPr>
          <w:p w14:paraId="75D8FD4F" w14:textId="77777777" w:rsidR="00DC685E" w:rsidRPr="00DD47DF" w:rsidRDefault="00DC685E" w:rsidP="00501DC8">
            <w:pPr>
              <w:pStyle w:val="Tabulka"/>
              <w:rPr>
                <w:rFonts w:cs="Calibri"/>
              </w:rPr>
            </w:pPr>
            <w:r w:rsidRPr="00DD47DF">
              <w:rPr>
                <w:rFonts w:cs="Calibri"/>
              </w:rPr>
              <w:t>EUR</w:t>
            </w:r>
          </w:p>
        </w:tc>
        <w:tc>
          <w:tcPr>
            <w:tcW w:w="667" w:type="pct"/>
            <w:shd w:val="clear" w:color="auto" w:fill="auto"/>
            <w:tcMar>
              <w:top w:w="0" w:type="dxa"/>
              <w:left w:w="108" w:type="dxa"/>
              <w:bottom w:w="0" w:type="dxa"/>
              <w:right w:w="108" w:type="dxa"/>
            </w:tcMar>
            <w:vAlign w:val="center"/>
          </w:tcPr>
          <w:p w14:paraId="207AB257" w14:textId="05C97296" w:rsidR="00DC685E" w:rsidRPr="00DD47DF" w:rsidRDefault="000E5BB7" w:rsidP="00D51BBA">
            <w:pPr>
              <w:pStyle w:val="Tabulka"/>
              <w:rPr>
                <w:rFonts w:cs="Calibri"/>
              </w:rPr>
            </w:pPr>
            <w:r w:rsidRPr="00DD47DF">
              <w:rPr>
                <w:rFonts w:cs="Calibri"/>
              </w:rPr>
              <w:t>4</w:t>
            </w:r>
            <w:r w:rsidR="00CC653D" w:rsidRPr="00DD47DF">
              <w:rPr>
                <w:rFonts w:cs="Calibri"/>
              </w:rPr>
              <w:t>95</w:t>
            </w:r>
            <w:r w:rsidR="00DC685E" w:rsidRPr="00DD47DF">
              <w:rPr>
                <w:rFonts w:cs="Calibri"/>
              </w:rPr>
              <w:t> 000 000</w:t>
            </w:r>
          </w:p>
        </w:tc>
        <w:tc>
          <w:tcPr>
            <w:tcW w:w="668" w:type="pct"/>
            <w:shd w:val="clear" w:color="auto" w:fill="auto"/>
            <w:tcMar>
              <w:top w:w="0" w:type="dxa"/>
              <w:left w:w="108" w:type="dxa"/>
              <w:bottom w:w="0" w:type="dxa"/>
              <w:right w:w="108" w:type="dxa"/>
            </w:tcMar>
            <w:vAlign w:val="center"/>
          </w:tcPr>
          <w:p w14:paraId="1E188A26" w14:textId="09D5EA25" w:rsidR="00DC685E" w:rsidRPr="00DD47DF" w:rsidRDefault="003237BA" w:rsidP="00D51BBA">
            <w:pPr>
              <w:pStyle w:val="Tabulka"/>
              <w:rPr>
                <w:rFonts w:cs="Calibri"/>
              </w:rPr>
            </w:pPr>
            <w:r w:rsidRPr="00700E39">
              <w:t>3 000 805 255</w:t>
            </w:r>
          </w:p>
        </w:tc>
      </w:tr>
      <w:tr w:rsidR="00DC685E" w:rsidRPr="00DD47DF" w14:paraId="5C56C7CA" w14:textId="77777777">
        <w:trPr>
          <w:trHeight w:val="446"/>
        </w:trPr>
        <w:tc>
          <w:tcPr>
            <w:tcW w:w="581" w:type="pct"/>
            <w:vMerge/>
            <w:shd w:val="clear" w:color="auto" w:fill="auto"/>
            <w:vAlign w:val="center"/>
          </w:tcPr>
          <w:p w14:paraId="657C9231" w14:textId="77777777" w:rsidR="00DC685E" w:rsidRPr="00DD47DF" w:rsidRDefault="00DC685E" w:rsidP="0062043C">
            <w:pPr>
              <w:pStyle w:val="Tabulka"/>
              <w:jc w:val="left"/>
              <w:rPr>
                <w:rFonts w:cs="Calibri"/>
              </w:rPr>
            </w:pPr>
          </w:p>
        </w:tc>
        <w:tc>
          <w:tcPr>
            <w:tcW w:w="371" w:type="pct"/>
            <w:vMerge/>
            <w:vAlign w:val="center"/>
          </w:tcPr>
          <w:p w14:paraId="770145E7" w14:textId="77777777" w:rsidR="00DC685E" w:rsidRPr="00DD47DF" w:rsidRDefault="00DC685E" w:rsidP="00D51BBA">
            <w:pPr>
              <w:pStyle w:val="Tabulka"/>
              <w:rPr>
                <w:rFonts w:cs="Calibri"/>
              </w:rPr>
            </w:pPr>
          </w:p>
        </w:tc>
        <w:tc>
          <w:tcPr>
            <w:tcW w:w="591" w:type="pct"/>
            <w:vMerge/>
            <w:vAlign w:val="center"/>
          </w:tcPr>
          <w:p w14:paraId="06E3A289" w14:textId="77777777" w:rsidR="00DC685E" w:rsidRPr="00DD47DF" w:rsidRDefault="00DC685E" w:rsidP="00F42269">
            <w:pPr>
              <w:pStyle w:val="Tabulka"/>
              <w:rPr>
                <w:rFonts w:cs="Calibri"/>
              </w:rPr>
            </w:pPr>
          </w:p>
        </w:tc>
        <w:tc>
          <w:tcPr>
            <w:tcW w:w="1295" w:type="pct"/>
            <w:shd w:val="clear" w:color="auto" w:fill="auto"/>
            <w:tcMar>
              <w:top w:w="0" w:type="dxa"/>
              <w:left w:w="108" w:type="dxa"/>
              <w:bottom w:w="0" w:type="dxa"/>
              <w:right w:w="108" w:type="dxa"/>
            </w:tcMar>
            <w:vAlign w:val="center"/>
          </w:tcPr>
          <w:p w14:paraId="65DF1FBC" w14:textId="77777777" w:rsidR="00DC685E" w:rsidRPr="00DD47DF" w:rsidRDefault="00DC685E" w:rsidP="00501DC8">
            <w:pPr>
              <w:pStyle w:val="Tabulka"/>
              <w:rPr>
                <w:rFonts w:cs="Calibri"/>
              </w:rPr>
            </w:pPr>
            <w:r w:rsidRPr="00DD47DF">
              <w:rPr>
                <w:rFonts w:cs="Calibri"/>
              </w:rPr>
              <w:t>Počet podniků pobírajících podporu</w:t>
            </w:r>
          </w:p>
        </w:tc>
        <w:tc>
          <w:tcPr>
            <w:tcW w:w="828" w:type="pct"/>
            <w:shd w:val="clear" w:color="auto" w:fill="auto"/>
            <w:tcMar>
              <w:top w:w="0" w:type="dxa"/>
              <w:left w:w="108" w:type="dxa"/>
              <w:bottom w:w="0" w:type="dxa"/>
              <w:right w:w="108" w:type="dxa"/>
            </w:tcMar>
            <w:vAlign w:val="center"/>
          </w:tcPr>
          <w:p w14:paraId="3BD15174" w14:textId="77777777" w:rsidR="00DC685E" w:rsidRPr="00DD47DF" w:rsidRDefault="00DC685E" w:rsidP="00501DC8">
            <w:pPr>
              <w:pStyle w:val="Tabulka"/>
              <w:rPr>
                <w:rFonts w:cs="Calibri"/>
              </w:rPr>
            </w:pPr>
            <w:r w:rsidRPr="00DD47DF">
              <w:rPr>
                <w:rFonts w:cs="Calibri"/>
              </w:rPr>
              <w:t>Podniky</w:t>
            </w:r>
          </w:p>
        </w:tc>
        <w:tc>
          <w:tcPr>
            <w:tcW w:w="667" w:type="pct"/>
            <w:shd w:val="clear" w:color="auto" w:fill="auto"/>
            <w:tcMar>
              <w:top w:w="0" w:type="dxa"/>
              <w:left w:w="108" w:type="dxa"/>
              <w:bottom w:w="0" w:type="dxa"/>
              <w:right w:w="108" w:type="dxa"/>
            </w:tcMar>
            <w:vAlign w:val="center"/>
          </w:tcPr>
          <w:p w14:paraId="682EA708" w14:textId="77777777" w:rsidR="00DC685E" w:rsidRPr="00DD47DF" w:rsidRDefault="00A25B29" w:rsidP="00D51BBA">
            <w:pPr>
              <w:pStyle w:val="Tabulka"/>
              <w:rPr>
                <w:rFonts w:cs="Calibri"/>
              </w:rPr>
            </w:pPr>
            <w:r w:rsidRPr="00DD47DF">
              <w:rPr>
                <w:rFonts w:cs="Calibri"/>
              </w:rPr>
              <w:t>270</w:t>
            </w:r>
          </w:p>
        </w:tc>
        <w:tc>
          <w:tcPr>
            <w:tcW w:w="668" w:type="pct"/>
            <w:shd w:val="clear" w:color="auto" w:fill="auto"/>
            <w:tcMar>
              <w:top w:w="0" w:type="dxa"/>
              <w:left w:w="108" w:type="dxa"/>
              <w:bottom w:w="0" w:type="dxa"/>
              <w:right w:w="108" w:type="dxa"/>
            </w:tcMar>
            <w:vAlign w:val="center"/>
          </w:tcPr>
          <w:p w14:paraId="60CABA37" w14:textId="7E1586AF" w:rsidR="00DC685E" w:rsidRPr="00DD47DF" w:rsidRDefault="000D7209" w:rsidP="001C3462">
            <w:pPr>
              <w:pStyle w:val="Tabulka"/>
              <w:rPr>
                <w:rFonts w:cs="Calibri"/>
              </w:rPr>
            </w:pPr>
            <w:r>
              <w:rPr>
                <w:rFonts w:cs="Calibri"/>
              </w:rPr>
              <w:t>3 785</w:t>
            </w:r>
          </w:p>
        </w:tc>
      </w:tr>
      <w:tr w:rsidR="00DC685E" w:rsidRPr="00DD47DF" w14:paraId="28FDD0A1" w14:textId="77777777">
        <w:trPr>
          <w:trHeight w:val="485"/>
        </w:trPr>
        <w:tc>
          <w:tcPr>
            <w:tcW w:w="581" w:type="pct"/>
            <w:vMerge w:val="restart"/>
            <w:shd w:val="clear" w:color="auto" w:fill="auto"/>
            <w:vAlign w:val="center"/>
          </w:tcPr>
          <w:p w14:paraId="083B7B3C" w14:textId="77777777" w:rsidR="00DC685E" w:rsidRPr="00DD47DF" w:rsidRDefault="00DC685E" w:rsidP="0062043C">
            <w:pPr>
              <w:pStyle w:val="Tabulka"/>
              <w:jc w:val="left"/>
              <w:rPr>
                <w:rFonts w:cs="Calibri"/>
              </w:rPr>
            </w:pPr>
            <w:r w:rsidRPr="00DD47DF">
              <w:rPr>
                <w:rFonts w:cs="Calibri"/>
              </w:rPr>
              <w:t>Prioritní osa 4</w:t>
            </w:r>
          </w:p>
        </w:tc>
        <w:tc>
          <w:tcPr>
            <w:tcW w:w="371" w:type="pct"/>
            <w:vMerge w:val="restart"/>
            <w:vAlign w:val="center"/>
          </w:tcPr>
          <w:p w14:paraId="6CF36105" w14:textId="77777777" w:rsidR="00DC685E" w:rsidRPr="00DD47DF" w:rsidRDefault="00DC685E" w:rsidP="00D51BBA">
            <w:pPr>
              <w:pStyle w:val="Tabulka"/>
              <w:rPr>
                <w:rFonts w:cs="Calibri"/>
              </w:rPr>
            </w:pPr>
            <w:r w:rsidRPr="00DD47DF">
              <w:rPr>
                <w:rFonts w:cs="Calibri"/>
              </w:rPr>
              <w:t>EFRR</w:t>
            </w:r>
          </w:p>
        </w:tc>
        <w:tc>
          <w:tcPr>
            <w:tcW w:w="591" w:type="pct"/>
            <w:vMerge w:val="restart"/>
            <w:vAlign w:val="center"/>
          </w:tcPr>
          <w:p w14:paraId="4FDDEDCF" w14:textId="77777777" w:rsidR="00DC685E" w:rsidRPr="00DD47DF" w:rsidRDefault="00DC685E" w:rsidP="00F42269">
            <w:pPr>
              <w:pStyle w:val="Tabulka"/>
              <w:rPr>
                <w:rFonts w:cs="Calibri"/>
              </w:rPr>
            </w:pPr>
            <w:r w:rsidRPr="00DD47DF">
              <w:rPr>
                <w:rFonts w:cs="Calibri"/>
              </w:rPr>
              <w:t>Méně rozvinuté regiony</w:t>
            </w:r>
          </w:p>
        </w:tc>
        <w:tc>
          <w:tcPr>
            <w:tcW w:w="1295" w:type="pct"/>
            <w:shd w:val="clear" w:color="auto" w:fill="auto"/>
            <w:tcMar>
              <w:top w:w="0" w:type="dxa"/>
              <w:left w:w="108" w:type="dxa"/>
              <w:bottom w:w="0" w:type="dxa"/>
              <w:right w:w="108" w:type="dxa"/>
            </w:tcMar>
            <w:vAlign w:val="center"/>
          </w:tcPr>
          <w:p w14:paraId="0FF8F4BF" w14:textId="77777777" w:rsidR="00DC685E" w:rsidRPr="00DD47DF" w:rsidRDefault="003D1BB3" w:rsidP="00501DC8">
            <w:pPr>
              <w:pStyle w:val="Tabulka"/>
              <w:rPr>
                <w:rFonts w:cs="Calibri"/>
              </w:rPr>
            </w:pPr>
            <w:r w:rsidRPr="00DD47DF">
              <w:rPr>
                <w:rFonts w:cs="Calibri"/>
              </w:rPr>
              <w:t>Celkové způsobilé certifikované finanční prostředky</w:t>
            </w:r>
          </w:p>
        </w:tc>
        <w:tc>
          <w:tcPr>
            <w:tcW w:w="828" w:type="pct"/>
            <w:shd w:val="clear" w:color="auto" w:fill="auto"/>
            <w:tcMar>
              <w:top w:w="0" w:type="dxa"/>
              <w:left w:w="108" w:type="dxa"/>
              <w:bottom w:w="0" w:type="dxa"/>
              <w:right w:w="108" w:type="dxa"/>
            </w:tcMar>
            <w:vAlign w:val="center"/>
          </w:tcPr>
          <w:p w14:paraId="5CD1EEFE" w14:textId="77777777" w:rsidR="00DC685E" w:rsidRPr="00DD47DF" w:rsidRDefault="00DC685E" w:rsidP="00501DC8">
            <w:pPr>
              <w:pStyle w:val="Tabulka"/>
              <w:rPr>
                <w:rFonts w:cs="Calibri"/>
              </w:rPr>
            </w:pPr>
            <w:r w:rsidRPr="00DD47DF">
              <w:rPr>
                <w:rFonts w:cs="Calibri"/>
              </w:rPr>
              <w:t>EUR</w:t>
            </w:r>
          </w:p>
        </w:tc>
        <w:tc>
          <w:tcPr>
            <w:tcW w:w="667" w:type="pct"/>
            <w:shd w:val="clear" w:color="auto" w:fill="auto"/>
            <w:tcMar>
              <w:top w:w="0" w:type="dxa"/>
              <w:left w:w="108" w:type="dxa"/>
              <w:bottom w:w="0" w:type="dxa"/>
              <w:right w:w="108" w:type="dxa"/>
            </w:tcMar>
            <w:vAlign w:val="center"/>
          </w:tcPr>
          <w:p w14:paraId="7CCA7B88" w14:textId="77777777" w:rsidR="00DC685E" w:rsidRPr="00DD47DF" w:rsidRDefault="000E5BB7" w:rsidP="00D51BBA">
            <w:pPr>
              <w:pStyle w:val="Tabulka"/>
              <w:rPr>
                <w:rFonts w:cs="Calibri"/>
              </w:rPr>
            </w:pPr>
            <w:r w:rsidRPr="00DD47DF">
              <w:rPr>
                <w:rFonts w:cs="Calibri"/>
              </w:rPr>
              <w:t>3</w:t>
            </w:r>
            <w:r w:rsidR="00CC653D" w:rsidRPr="00DD47DF">
              <w:rPr>
                <w:rFonts w:cs="Calibri"/>
              </w:rPr>
              <w:t>1</w:t>
            </w:r>
            <w:r w:rsidRPr="00DD47DF">
              <w:rPr>
                <w:rFonts w:cs="Calibri"/>
              </w:rPr>
              <w:t>0</w:t>
            </w:r>
            <w:r w:rsidR="00DC685E" w:rsidRPr="00DD47DF">
              <w:rPr>
                <w:rFonts w:cs="Calibri"/>
              </w:rPr>
              <w:t> 000 000</w:t>
            </w:r>
          </w:p>
        </w:tc>
        <w:tc>
          <w:tcPr>
            <w:tcW w:w="668" w:type="pct"/>
            <w:shd w:val="clear" w:color="auto" w:fill="auto"/>
            <w:tcMar>
              <w:top w:w="0" w:type="dxa"/>
              <w:left w:w="108" w:type="dxa"/>
              <w:bottom w:w="0" w:type="dxa"/>
              <w:right w:w="108" w:type="dxa"/>
            </w:tcMar>
            <w:vAlign w:val="center"/>
          </w:tcPr>
          <w:p w14:paraId="7EF21ADF" w14:textId="54AFF84D" w:rsidR="00DC685E" w:rsidRPr="00DD47DF" w:rsidRDefault="003237BA" w:rsidP="00D51BBA">
            <w:pPr>
              <w:pStyle w:val="Tabulka"/>
              <w:rPr>
                <w:rFonts w:cs="Calibri"/>
              </w:rPr>
            </w:pPr>
            <w:r w:rsidRPr="00700E39">
              <w:t>1 141 012 312</w:t>
            </w:r>
          </w:p>
        </w:tc>
      </w:tr>
      <w:tr w:rsidR="00DC685E" w:rsidRPr="00DD47DF" w14:paraId="47912AE7" w14:textId="77777777">
        <w:trPr>
          <w:trHeight w:val="446"/>
        </w:trPr>
        <w:tc>
          <w:tcPr>
            <w:tcW w:w="581" w:type="pct"/>
            <w:vMerge/>
            <w:shd w:val="clear" w:color="auto" w:fill="auto"/>
            <w:vAlign w:val="center"/>
          </w:tcPr>
          <w:p w14:paraId="2C396E75" w14:textId="77777777" w:rsidR="00DC685E" w:rsidRPr="00DD47DF" w:rsidRDefault="00DC685E" w:rsidP="0062043C">
            <w:pPr>
              <w:pStyle w:val="Tabulka"/>
              <w:jc w:val="left"/>
              <w:rPr>
                <w:rFonts w:cs="Calibri"/>
              </w:rPr>
            </w:pPr>
          </w:p>
        </w:tc>
        <w:tc>
          <w:tcPr>
            <w:tcW w:w="371" w:type="pct"/>
            <w:vMerge/>
            <w:vAlign w:val="center"/>
          </w:tcPr>
          <w:p w14:paraId="324F3A4C" w14:textId="77777777" w:rsidR="00DC685E" w:rsidRPr="00DD47DF" w:rsidRDefault="00DC685E" w:rsidP="00D51BBA">
            <w:pPr>
              <w:pStyle w:val="Tabulka"/>
              <w:rPr>
                <w:rFonts w:cs="Calibri"/>
              </w:rPr>
            </w:pPr>
          </w:p>
        </w:tc>
        <w:tc>
          <w:tcPr>
            <w:tcW w:w="591" w:type="pct"/>
            <w:vMerge/>
          </w:tcPr>
          <w:p w14:paraId="247C4D81" w14:textId="77777777" w:rsidR="00DC685E" w:rsidRPr="00DD47DF" w:rsidRDefault="00DC685E" w:rsidP="0062043C">
            <w:pPr>
              <w:pStyle w:val="Tabulka"/>
              <w:rPr>
                <w:rFonts w:cs="Calibri"/>
              </w:rPr>
            </w:pPr>
          </w:p>
        </w:tc>
        <w:tc>
          <w:tcPr>
            <w:tcW w:w="1295" w:type="pct"/>
            <w:shd w:val="clear" w:color="auto" w:fill="auto"/>
            <w:tcMar>
              <w:top w:w="0" w:type="dxa"/>
              <w:left w:w="108" w:type="dxa"/>
              <w:bottom w:w="0" w:type="dxa"/>
              <w:right w:w="108" w:type="dxa"/>
            </w:tcMar>
            <w:vAlign w:val="center"/>
          </w:tcPr>
          <w:p w14:paraId="4FB603D0" w14:textId="77777777" w:rsidR="00DC685E" w:rsidRPr="00DD47DF" w:rsidRDefault="00DC685E" w:rsidP="00501DC8">
            <w:pPr>
              <w:pStyle w:val="Tabulka"/>
              <w:rPr>
                <w:rFonts w:cs="Calibri"/>
              </w:rPr>
            </w:pPr>
            <w:r w:rsidRPr="00DD47DF">
              <w:rPr>
                <w:rFonts w:cs="Calibri"/>
              </w:rPr>
              <w:t>Počet podniků pobírajících podporu</w:t>
            </w:r>
          </w:p>
        </w:tc>
        <w:tc>
          <w:tcPr>
            <w:tcW w:w="828" w:type="pct"/>
            <w:shd w:val="clear" w:color="auto" w:fill="auto"/>
            <w:tcMar>
              <w:top w:w="0" w:type="dxa"/>
              <w:left w:w="108" w:type="dxa"/>
              <w:bottom w:w="0" w:type="dxa"/>
              <w:right w:w="108" w:type="dxa"/>
            </w:tcMar>
            <w:vAlign w:val="center"/>
          </w:tcPr>
          <w:p w14:paraId="14BD1403" w14:textId="77777777" w:rsidR="00DC685E" w:rsidRPr="00DD47DF" w:rsidRDefault="00DC685E" w:rsidP="00501DC8">
            <w:pPr>
              <w:pStyle w:val="Tabulka"/>
              <w:rPr>
                <w:rFonts w:cs="Calibri"/>
              </w:rPr>
            </w:pPr>
            <w:r w:rsidRPr="00DD47DF">
              <w:rPr>
                <w:rFonts w:cs="Calibri"/>
              </w:rPr>
              <w:t>Podniky</w:t>
            </w:r>
          </w:p>
        </w:tc>
        <w:tc>
          <w:tcPr>
            <w:tcW w:w="667" w:type="pct"/>
            <w:shd w:val="clear" w:color="auto" w:fill="auto"/>
            <w:tcMar>
              <w:top w:w="0" w:type="dxa"/>
              <w:left w:w="108" w:type="dxa"/>
              <w:bottom w:w="0" w:type="dxa"/>
              <w:right w:w="108" w:type="dxa"/>
            </w:tcMar>
            <w:vAlign w:val="center"/>
          </w:tcPr>
          <w:p w14:paraId="34B57B93" w14:textId="77777777" w:rsidR="00DC685E" w:rsidRPr="00DD47DF" w:rsidRDefault="00A25B29" w:rsidP="00D51BBA">
            <w:pPr>
              <w:pStyle w:val="Tabulka"/>
              <w:rPr>
                <w:rFonts w:cs="Calibri"/>
              </w:rPr>
            </w:pPr>
            <w:r w:rsidRPr="00DD47DF">
              <w:rPr>
                <w:rFonts w:cs="Calibri"/>
              </w:rPr>
              <w:t>20</w:t>
            </w:r>
            <w:r w:rsidR="00DC685E" w:rsidRPr="00DD47DF">
              <w:rPr>
                <w:rFonts w:cs="Calibri"/>
              </w:rPr>
              <w:t>0</w:t>
            </w:r>
          </w:p>
        </w:tc>
        <w:tc>
          <w:tcPr>
            <w:tcW w:w="668" w:type="pct"/>
            <w:shd w:val="clear" w:color="auto" w:fill="auto"/>
            <w:tcMar>
              <w:top w:w="0" w:type="dxa"/>
              <w:left w:w="108" w:type="dxa"/>
              <w:bottom w:w="0" w:type="dxa"/>
              <w:right w:w="108" w:type="dxa"/>
            </w:tcMar>
            <w:vAlign w:val="center"/>
          </w:tcPr>
          <w:p w14:paraId="315290FE" w14:textId="77777777" w:rsidR="00DC685E" w:rsidRPr="00DD47DF" w:rsidRDefault="00A25B29" w:rsidP="00DF1013">
            <w:pPr>
              <w:pStyle w:val="Tabulka"/>
              <w:rPr>
                <w:rFonts w:cs="Calibri"/>
              </w:rPr>
            </w:pPr>
            <w:r w:rsidRPr="00DD47DF">
              <w:rPr>
                <w:rFonts w:cs="Calibri"/>
              </w:rPr>
              <w:t>595</w:t>
            </w:r>
          </w:p>
        </w:tc>
      </w:tr>
    </w:tbl>
    <w:p w14:paraId="2727B676" w14:textId="77777777" w:rsidR="00400DD1" w:rsidRPr="00DD47DF" w:rsidRDefault="00E134D0" w:rsidP="004126CC">
      <w:pPr>
        <w:pStyle w:val="Nadpis2"/>
        <w:keepLines/>
        <w:rPr>
          <w:rFonts w:cs="Calibri"/>
        </w:rPr>
      </w:pPr>
      <w:bookmarkStart w:id="151" w:name="_Toc351464450"/>
      <w:bookmarkStart w:id="152" w:name="_Toc520445351"/>
      <w:r w:rsidRPr="00DD47DF">
        <w:rPr>
          <w:rFonts w:cs="Calibri"/>
        </w:rPr>
        <w:lastRenderedPageBreak/>
        <w:t>Seznam příslušných partnerů zapojených do přípravy operačního programu</w:t>
      </w:r>
      <w:bookmarkEnd w:id="1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5063"/>
      </w:tblGrid>
      <w:tr w:rsidR="00400DD1" w:rsidRPr="00DD47DF" w14:paraId="55CD6D01" w14:textId="77777777">
        <w:trPr>
          <w:trHeight w:val="413"/>
        </w:trPr>
        <w:tc>
          <w:tcPr>
            <w:tcW w:w="5000" w:type="pct"/>
            <w:gridSpan w:val="2"/>
            <w:shd w:val="clear" w:color="auto" w:fill="B8CCE4"/>
            <w:vAlign w:val="center"/>
          </w:tcPr>
          <w:p w14:paraId="398F9ED7" w14:textId="77777777" w:rsidR="00400DD1" w:rsidRPr="00DD47DF" w:rsidRDefault="00400DD1" w:rsidP="004126CC">
            <w:pPr>
              <w:pStyle w:val="Tabulka"/>
              <w:keepNext/>
              <w:keepLines/>
              <w:rPr>
                <w:rFonts w:cs="Calibri"/>
                <w:b/>
                <w:color w:val="4F81BD"/>
              </w:rPr>
            </w:pPr>
            <w:r w:rsidRPr="00DD47DF">
              <w:rPr>
                <w:rFonts w:cs="Calibri"/>
                <w:b/>
              </w:rPr>
              <w:t>Platforma MPO pro přípravu OP Podnikání a inovace pro konkurenceschopnost</w:t>
            </w:r>
          </w:p>
        </w:tc>
      </w:tr>
      <w:tr w:rsidR="00400DD1" w:rsidRPr="00DD47DF" w14:paraId="5BD5E5B9" w14:textId="77777777">
        <w:trPr>
          <w:trHeight w:val="397"/>
        </w:trPr>
        <w:tc>
          <w:tcPr>
            <w:tcW w:w="2395" w:type="pct"/>
            <w:shd w:val="clear" w:color="auto" w:fill="auto"/>
            <w:vAlign w:val="center"/>
          </w:tcPr>
          <w:p w14:paraId="44DBA378" w14:textId="77777777" w:rsidR="00400DD1" w:rsidRPr="00DD47DF" w:rsidRDefault="00400DD1" w:rsidP="004126CC">
            <w:pPr>
              <w:pStyle w:val="Tabulka"/>
              <w:keepNext/>
              <w:keepLines/>
              <w:jc w:val="left"/>
              <w:rPr>
                <w:rFonts w:cs="Calibri"/>
              </w:rPr>
            </w:pPr>
            <w:r w:rsidRPr="00DD47DF">
              <w:rPr>
                <w:rFonts w:cs="Calibri"/>
              </w:rPr>
              <w:t>M</w:t>
            </w:r>
            <w:r w:rsidR="000E47D9" w:rsidRPr="00DD47DF">
              <w:rPr>
                <w:rFonts w:cs="Calibri"/>
              </w:rPr>
              <w:t>inisterstvo pro místní rozvo</w:t>
            </w:r>
            <w:r w:rsidR="00D51BBA" w:rsidRPr="00DD47DF">
              <w:rPr>
                <w:rFonts w:cs="Calibri"/>
              </w:rPr>
              <w:t>j</w:t>
            </w:r>
          </w:p>
        </w:tc>
        <w:tc>
          <w:tcPr>
            <w:tcW w:w="2605" w:type="pct"/>
            <w:shd w:val="clear" w:color="auto" w:fill="auto"/>
            <w:vAlign w:val="center"/>
          </w:tcPr>
          <w:p w14:paraId="391AFFD8" w14:textId="77777777" w:rsidR="00400DD1" w:rsidRPr="00DD47DF" w:rsidRDefault="00AF6FE3" w:rsidP="004126CC">
            <w:pPr>
              <w:pStyle w:val="Tabulka"/>
              <w:keepNext/>
              <w:keepLines/>
              <w:jc w:val="left"/>
              <w:rPr>
                <w:rFonts w:cs="Calibri"/>
              </w:rPr>
            </w:pPr>
            <w:hyperlink r:id="rId171" w:history="1">
              <w:r w:rsidR="00400DD1" w:rsidRPr="00DD47DF">
                <w:rPr>
                  <w:rStyle w:val="Hypertextovodkaz"/>
                  <w:rFonts w:cs="Calibri"/>
                  <w:bCs/>
                </w:rPr>
                <w:t>http://www.mmr.cz/cs/Uvodni-strana</w:t>
              </w:r>
            </w:hyperlink>
          </w:p>
        </w:tc>
      </w:tr>
      <w:tr w:rsidR="00400DD1" w:rsidRPr="00DD47DF" w14:paraId="753CC853" w14:textId="77777777">
        <w:trPr>
          <w:trHeight w:val="413"/>
        </w:trPr>
        <w:tc>
          <w:tcPr>
            <w:tcW w:w="2395" w:type="pct"/>
            <w:shd w:val="clear" w:color="auto" w:fill="auto"/>
            <w:vAlign w:val="center"/>
          </w:tcPr>
          <w:p w14:paraId="37DAC565" w14:textId="77777777" w:rsidR="00400DD1" w:rsidRPr="00DD47DF" w:rsidRDefault="000E47D9" w:rsidP="00F23CDB">
            <w:pPr>
              <w:pStyle w:val="Tabulka"/>
              <w:jc w:val="left"/>
              <w:rPr>
                <w:rFonts w:cs="Calibri"/>
              </w:rPr>
            </w:pPr>
            <w:r w:rsidRPr="00DD47DF">
              <w:rPr>
                <w:rFonts w:cs="Calibri"/>
              </w:rPr>
              <w:t>Ministerstvo financí</w:t>
            </w:r>
          </w:p>
        </w:tc>
        <w:tc>
          <w:tcPr>
            <w:tcW w:w="2605" w:type="pct"/>
            <w:shd w:val="clear" w:color="auto" w:fill="auto"/>
            <w:vAlign w:val="center"/>
          </w:tcPr>
          <w:p w14:paraId="5ED38FB4" w14:textId="77777777" w:rsidR="00400DD1" w:rsidRPr="00DD47DF" w:rsidRDefault="00AF6FE3" w:rsidP="00F23CDB">
            <w:pPr>
              <w:pStyle w:val="Tabulka"/>
              <w:jc w:val="left"/>
              <w:rPr>
                <w:rFonts w:cs="Calibri"/>
              </w:rPr>
            </w:pPr>
            <w:hyperlink r:id="rId172" w:history="1">
              <w:r w:rsidR="00400DD1" w:rsidRPr="00DD47DF">
                <w:rPr>
                  <w:rStyle w:val="Hypertextovodkaz"/>
                  <w:rFonts w:cs="Calibri"/>
                  <w:bCs/>
                </w:rPr>
                <w:t>http://www.mfcr.cz/cps/rde/xchg/</w:t>
              </w:r>
            </w:hyperlink>
            <w:r w:rsidR="00400DD1" w:rsidRPr="00DD47DF">
              <w:rPr>
                <w:rFonts w:cs="Calibri"/>
              </w:rPr>
              <w:t xml:space="preserve"> </w:t>
            </w:r>
          </w:p>
        </w:tc>
      </w:tr>
      <w:tr w:rsidR="00400DD1" w:rsidRPr="00DD47DF" w14:paraId="1E3AB82C" w14:textId="77777777">
        <w:trPr>
          <w:trHeight w:val="413"/>
        </w:trPr>
        <w:tc>
          <w:tcPr>
            <w:tcW w:w="2395" w:type="pct"/>
            <w:shd w:val="clear" w:color="auto" w:fill="auto"/>
            <w:vAlign w:val="center"/>
          </w:tcPr>
          <w:p w14:paraId="37DE137C" w14:textId="77777777" w:rsidR="00400DD1" w:rsidRPr="00DD47DF" w:rsidRDefault="00400DD1" w:rsidP="00F23CDB">
            <w:pPr>
              <w:pStyle w:val="Tabulka"/>
              <w:jc w:val="left"/>
              <w:rPr>
                <w:rFonts w:cs="Calibri"/>
              </w:rPr>
            </w:pPr>
            <w:r w:rsidRPr="00DD47DF">
              <w:rPr>
                <w:rFonts w:cs="Calibri"/>
              </w:rPr>
              <w:t>Ministerstvo životního p</w:t>
            </w:r>
            <w:r w:rsidR="000E47D9" w:rsidRPr="00DD47DF">
              <w:rPr>
                <w:rFonts w:cs="Calibri"/>
              </w:rPr>
              <w:t>rostředí</w:t>
            </w:r>
          </w:p>
        </w:tc>
        <w:tc>
          <w:tcPr>
            <w:tcW w:w="2605" w:type="pct"/>
            <w:shd w:val="clear" w:color="auto" w:fill="auto"/>
            <w:vAlign w:val="center"/>
          </w:tcPr>
          <w:p w14:paraId="5D9E5549" w14:textId="77777777" w:rsidR="00400DD1" w:rsidRPr="00DD47DF" w:rsidRDefault="00AF6FE3" w:rsidP="00F23CDB">
            <w:pPr>
              <w:pStyle w:val="Tabulka"/>
              <w:jc w:val="left"/>
              <w:rPr>
                <w:rFonts w:cs="Calibri"/>
              </w:rPr>
            </w:pPr>
            <w:hyperlink r:id="rId173" w:history="1">
              <w:r w:rsidR="00400DD1" w:rsidRPr="00DD47DF">
                <w:rPr>
                  <w:rStyle w:val="Hypertextovodkaz"/>
                  <w:rFonts w:cs="Calibri"/>
                  <w:bCs/>
                </w:rPr>
                <w:t>http://mzp.cz/</w:t>
              </w:r>
            </w:hyperlink>
            <w:r w:rsidR="00400DD1" w:rsidRPr="00DD47DF">
              <w:rPr>
                <w:rFonts w:cs="Calibri"/>
              </w:rPr>
              <w:t xml:space="preserve"> </w:t>
            </w:r>
          </w:p>
        </w:tc>
      </w:tr>
      <w:tr w:rsidR="00400DD1" w:rsidRPr="00DD47DF" w14:paraId="04000713" w14:textId="77777777">
        <w:trPr>
          <w:trHeight w:val="413"/>
        </w:trPr>
        <w:tc>
          <w:tcPr>
            <w:tcW w:w="2395" w:type="pct"/>
            <w:shd w:val="clear" w:color="auto" w:fill="auto"/>
            <w:vAlign w:val="center"/>
          </w:tcPr>
          <w:p w14:paraId="4DB843FA" w14:textId="77777777" w:rsidR="00400DD1" w:rsidRPr="00DD47DF" w:rsidRDefault="00400DD1" w:rsidP="00F23CDB">
            <w:pPr>
              <w:pStyle w:val="Tabulka"/>
              <w:jc w:val="left"/>
              <w:rPr>
                <w:rFonts w:cs="Calibri"/>
              </w:rPr>
            </w:pPr>
            <w:r w:rsidRPr="00DD47DF">
              <w:rPr>
                <w:rFonts w:cs="Calibri"/>
              </w:rPr>
              <w:t>Ministe</w:t>
            </w:r>
            <w:r w:rsidR="000E47D9" w:rsidRPr="00DD47DF">
              <w:rPr>
                <w:rFonts w:cs="Calibri"/>
              </w:rPr>
              <w:t>rstvo práce a sociálních věcí</w:t>
            </w:r>
          </w:p>
        </w:tc>
        <w:tc>
          <w:tcPr>
            <w:tcW w:w="2605" w:type="pct"/>
            <w:shd w:val="clear" w:color="auto" w:fill="auto"/>
            <w:vAlign w:val="center"/>
          </w:tcPr>
          <w:p w14:paraId="3114BF6A" w14:textId="77777777" w:rsidR="00400DD1" w:rsidRPr="00DD47DF" w:rsidRDefault="00AF6FE3" w:rsidP="00F23CDB">
            <w:pPr>
              <w:pStyle w:val="Tabulka"/>
              <w:jc w:val="left"/>
              <w:rPr>
                <w:rFonts w:cs="Calibri"/>
              </w:rPr>
            </w:pPr>
            <w:hyperlink r:id="rId174" w:history="1">
              <w:r w:rsidR="00400DD1" w:rsidRPr="00DD47DF">
                <w:rPr>
                  <w:rStyle w:val="Hypertextovodkaz"/>
                  <w:rFonts w:cs="Calibri"/>
                  <w:bCs/>
                </w:rPr>
                <w:t>http://www.mpsv.cz/cs/</w:t>
              </w:r>
            </w:hyperlink>
            <w:r w:rsidR="00400DD1" w:rsidRPr="00DD47DF">
              <w:rPr>
                <w:rFonts w:cs="Calibri"/>
              </w:rPr>
              <w:t xml:space="preserve"> </w:t>
            </w:r>
          </w:p>
        </w:tc>
      </w:tr>
      <w:tr w:rsidR="00400DD1" w:rsidRPr="00DD47DF" w14:paraId="5870DEA4" w14:textId="77777777">
        <w:trPr>
          <w:trHeight w:val="699"/>
        </w:trPr>
        <w:tc>
          <w:tcPr>
            <w:tcW w:w="2395" w:type="pct"/>
            <w:shd w:val="clear" w:color="auto" w:fill="auto"/>
            <w:vAlign w:val="center"/>
          </w:tcPr>
          <w:p w14:paraId="101C14E9" w14:textId="77777777" w:rsidR="00400DD1" w:rsidRPr="00DD47DF" w:rsidRDefault="00400DD1" w:rsidP="00F23CDB">
            <w:pPr>
              <w:pStyle w:val="Tabulka"/>
              <w:jc w:val="left"/>
              <w:rPr>
                <w:rFonts w:cs="Calibri"/>
              </w:rPr>
            </w:pPr>
            <w:r w:rsidRPr="00DD47DF">
              <w:rPr>
                <w:rFonts w:cs="Calibri"/>
              </w:rPr>
              <w:t>Ministerstvo šk</w:t>
            </w:r>
            <w:r w:rsidR="000E47D9" w:rsidRPr="00DD47DF">
              <w:rPr>
                <w:rFonts w:cs="Calibri"/>
              </w:rPr>
              <w:t>olství, mládeže a tělovýchovy</w:t>
            </w:r>
          </w:p>
        </w:tc>
        <w:tc>
          <w:tcPr>
            <w:tcW w:w="2605" w:type="pct"/>
            <w:shd w:val="clear" w:color="auto" w:fill="auto"/>
            <w:vAlign w:val="center"/>
          </w:tcPr>
          <w:p w14:paraId="205ADA2E" w14:textId="77777777" w:rsidR="00400DD1" w:rsidRPr="00DD47DF" w:rsidRDefault="00AF6FE3" w:rsidP="00F23CDB">
            <w:pPr>
              <w:pStyle w:val="Tabulka"/>
              <w:jc w:val="left"/>
              <w:rPr>
                <w:rFonts w:cs="Calibri"/>
              </w:rPr>
            </w:pPr>
            <w:hyperlink r:id="rId175" w:history="1">
              <w:r w:rsidR="00400DD1" w:rsidRPr="00DD47DF">
                <w:rPr>
                  <w:rStyle w:val="Hypertextovodkaz"/>
                  <w:rFonts w:cs="Calibri"/>
                  <w:bCs/>
                </w:rPr>
                <w:t>http://www.msmt.cz/</w:t>
              </w:r>
            </w:hyperlink>
            <w:r w:rsidR="00400DD1" w:rsidRPr="00DD47DF">
              <w:rPr>
                <w:rFonts w:cs="Calibri"/>
              </w:rPr>
              <w:t xml:space="preserve"> </w:t>
            </w:r>
          </w:p>
        </w:tc>
      </w:tr>
      <w:tr w:rsidR="00400DD1" w:rsidRPr="00DD47DF" w14:paraId="1848360C" w14:textId="77777777">
        <w:trPr>
          <w:trHeight w:val="699"/>
        </w:trPr>
        <w:tc>
          <w:tcPr>
            <w:tcW w:w="2395" w:type="pct"/>
            <w:shd w:val="clear" w:color="auto" w:fill="auto"/>
            <w:vAlign w:val="center"/>
          </w:tcPr>
          <w:p w14:paraId="7D1A21CD" w14:textId="77777777" w:rsidR="00400DD1" w:rsidRPr="00DD47DF" w:rsidRDefault="000E47D9" w:rsidP="00F23CDB">
            <w:pPr>
              <w:pStyle w:val="Tabulka"/>
              <w:jc w:val="left"/>
              <w:rPr>
                <w:rFonts w:cs="Calibri"/>
              </w:rPr>
            </w:pPr>
            <w:r w:rsidRPr="00DD47DF">
              <w:rPr>
                <w:rFonts w:cs="Calibri"/>
              </w:rPr>
              <w:t>Ministerstvo zemědělství</w:t>
            </w:r>
          </w:p>
        </w:tc>
        <w:tc>
          <w:tcPr>
            <w:tcW w:w="2605" w:type="pct"/>
            <w:shd w:val="clear" w:color="auto" w:fill="auto"/>
            <w:vAlign w:val="center"/>
          </w:tcPr>
          <w:p w14:paraId="6E8FA8B6" w14:textId="77777777" w:rsidR="00400DD1" w:rsidRPr="00DD47DF" w:rsidRDefault="00AF6FE3" w:rsidP="00F23CDB">
            <w:pPr>
              <w:pStyle w:val="Tabulka"/>
              <w:jc w:val="left"/>
              <w:rPr>
                <w:rFonts w:cs="Calibri"/>
              </w:rPr>
            </w:pPr>
            <w:hyperlink r:id="rId176" w:history="1">
              <w:r w:rsidR="00400DD1" w:rsidRPr="00DD47DF">
                <w:rPr>
                  <w:rStyle w:val="Hypertextovodkaz"/>
                  <w:rFonts w:cs="Calibri"/>
                  <w:bCs/>
                </w:rPr>
                <w:t>http://eagri.cz/public/web/mze/ministerstvo-zemedelstvi/</w:t>
              </w:r>
            </w:hyperlink>
            <w:r w:rsidR="00400DD1" w:rsidRPr="00DD47DF">
              <w:rPr>
                <w:rFonts w:cs="Calibri"/>
              </w:rPr>
              <w:t xml:space="preserve"> </w:t>
            </w:r>
          </w:p>
        </w:tc>
      </w:tr>
      <w:tr w:rsidR="00400DD1" w:rsidRPr="00DD47DF" w14:paraId="740DBB65" w14:textId="77777777">
        <w:trPr>
          <w:trHeight w:val="413"/>
        </w:trPr>
        <w:tc>
          <w:tcPr>
            <w:tcW w:w="2395" w:type="pct"/>
            <w:shd w:val="clear" w:color="auto" w:fill="auto"/>
            <w:vAlign w:val="center"/>
          </w:tcPr>
          <w:p w14:paraId="254E1B70" w14:textId="77777777" w:rsidR="00400DD1" w:rsidRPr="00DD47DF" w:rsidRDefault="000E47D9" w:rsidP="00F23CDB">
            <w:pPr>
              <w:pStyle w:val="Tabulka"/>
              <w:jc w:val="left"/>
              <w:rPr>
                <w:rFonts w:cs="Calibri"/>
              </w:rPr>
            </w:pPr>
            <w:r w:rsidRPr="00DD47DF">
              <w:rPr>
                <w:rFonts w:cs="Calibri"/>
              </w:rPr>
              <w:t>Ministerstvo dopravy</w:t>
            </w:r>
          </w:p>
        </w:tc>
        <w:tc>
          <w:tcPr>
            <w:tcW w:w="2605" w:type="pct"/>
            <w:shd w:val="clear" w:color="auto" w:fill="auto"/>
            <w:vAlign w:val="center"/>
          </w:tcPr>
          <w:p w14:paraId="407F708E" w14:textId="77777777" w:rsidR="00400DD1" w:rsidRPr="00DD47DF" w:rsidRDefault="00AF6FE3" w:rsidP="00F23CDB">
            <w:pPr>
              <w:pStyle w:val="Tabulka"/>
              <w:jc w:val="left"/>
              <w:rPr>
                <w:rFonts w:cs="Calibri"/>
              </w:rPr>
            </w:pPr>
            <w:hyperlink r:id="rId177" w:history="1">
              <w:r w:rsidR="00400DD1" w:rsidRPr="00DD47DF">
                <w:rPr>
                  <w:rStyle w:val="Hypertextovodkaz"/>
                  <w:rFonts w:cs="Calibri"/>
                  <w:bCs/>
                </w:rPr>
                <w:t>http://www.mdcr.cz/cs/default.htm</w:t>
              </w:r>
            </w:hyperlink>
            <w:r w:rsidR="00400DD1" w:rsidRPr="00DD47DF">
              <w:rPr>
                <w:rFonts w:cs="Calibri"/>
              </w:rPr>
              <w:t xml:space="preserve"> </w:t>
            </w:r>
          </w:p>
        </w:tc>
      </w:tr>
      <w:tr w:rsidR="00400DD1" w:rsidRPr="00DD47DF" w14:paraId="55425F1D" w14:textId="77777777">
        <w:trPr>
          <w:trHeight w:val="397"/>
        </w:trPr>
        <w:tc>
          <w:tcPr>
            <w:tcW w:w="2395" w:type="pct"/>
            <w:shd w:val="clear" w:color="auto" w:fill="auto"/>
            <w:vAlign w:val="center"/>
          </w:tcPr>
          <w:p w14:paraId="4DDAFA4A" w14:textId="77777777" w:rsidR="00400DD1" w:rsidRPr="00DD47DF" w:rsidRDefault="00400DD1" w:rsidP="00F23CDB">
            <w:pPr>
              <w:pStyle w:val="Tabulka"/>
              <w:jc w:val="left"/>
              <w:rPr>
                <w:rFonts w:cs="Calibri"/>
              </w:rPr>
            </w:pPr>
            <w:r w:rsidRPr="00DD47DF">
              <w:rPr>
                <w:rFonts w:cs="Calibri"/>
              </w:rPr>
              <w:t xml:space="preserve">Agentura CzechInvest </w:t>
            </w:r>
          </w:p>
        </w:tc>
        <w:tc>
          <w:tcPr>
            <w:tcW w:w="2605" w:type="pct"/>
            <w:shd w:val="clear" w:color="auto" w:fill="auto"/>
            <w:vAlign w:val="center"/>
          </w:tcPr>
          <w:p w14:paraId="64C0D899" w14:textId="77777777" w:rsidR="00400DD1" w:rsidRPr="00DD47DF" w:rsidRDefault="00AF6FE3" w:rsidP="00F23CDB">
            <w:pPr>
              <w:pStyle w:val="Tabulka"/>
              <w:jc w:val="left"/>
              <w:rPr>
                <w:rFonts w:cs="Calibri"/>
              </w:rPr>
            </w:pPr>
            <w:hyperlink r:id="rId178" w:history="1">
              <w:r w:rsidR="00400DD1" w:rsidRPr="00DD47DF">
                <w:rPr>
                  <w:rStyle w:val="Hypertextovodkaz"/>
                  <w:rFonts w:cs="Calibri"/>
                  <w:bCs/>
                </w:rPr>
                <w:t>http://czechinvest.org/</w:t>
              </w:r>
            </w:hyperlink>
            <w:r w:rsidR="00400DD1" w:rsidRPr="00DD47DF">
              <w:rPr>
                <w:rFonts w:cs="Calibri"/>
              </w:rPr>
              <w:t xml:space="preserve"> </w:t>
            </w:r>
          </w:p>
        </w:tc>
      </w:tr>
      <w:tr w:rsidR="00400DD1" w:rsidRPr="00DD47DF" w14:paraId="0B215E7C" w14:textId="77777777">
        <w:trPr>
          <w:trHeight w:val="413"/>
        </w:trPr>
        <w:tc>
          <w:tcPr>
            <w:tcW w:w="2395" w:type="pct"/>
            <w:shd w:val="clear" w:color="auto" w:fill="auto"/>
            <w:vAlign w:val="center"/>
          </w:tcPr>
          <w:p w14:paraId="6E47CD33" w14:textId="77777777" w:rsidR="00400DD1" w:rsidRPr="00DD47DF" w:rsidRDefault="000E47D9" w:rsidP="00F23CDB">
            <w:pPr>
              <w:pStyle w:val="Tabulka"/>
              <w:jc w:val="left"/>
              <w:rPr>
                <w:rFonts w:cs="Calibri"/>
              </w:rPr>
            </w:pPr>
            <w:r w:rsidRPr="00DD47DF">
              <w:rPr>
                <w:rFonts w:cs="Calibri"/>
              </w:rPr>
              <w:t>Hospodářská komora ČR</w:t>
            </w:r>
          </w:p>
        </w:tc>
        <w:tc>
          <w:tcPr>
            <w:tcW w:w="2605" w:type="pct"/>
            <w:shd w:val="clear" w:color="auto" w:fill="auto"/>
            <w:vAlign w:val="center"/>
          </w:tcPr>
          <w:p w14:paraId="53980C6C" w14:textId="77777777" w:rsidR="00400DD1" w:rsidRPr="00DD47DF" w:rsidRDefault="00AF6FE3" w:rsidP="00F23CDB">
            <w:pPr>
              <w:pStyle w:val="Tabulka"/>
              <w:jc w:val="left"/>
              <w:rPr>
                <w:rFonts w:cs="Calibri"/>
              </w:rPr>
            </w:pPr>
            <w:hyperlink r:id="rId179" w:history="1">
              <w:r w:rsidR="00400DD1" w:rsidRPr="00DD47DF">
                <w:rPr>
                  <w:rStyle w:val="Hypertextovodkaz"/>
                  <w:rFonts w:cs="Calibri"/>
                  <w:bCs/>
                </w:rPr>
                <w:t>http://www.komora.cz/</w:t>
              </w:r>
            </w:hyperlink>
            <w:r w:rsidR="00400DD1" w:rsidRPr="00DD47DF">
              <w:rPr>
                <w:rFonts w:cs="Calibri"/>
              </w:rPr>
              <w:t xml:space="preserve"> </w:t>
            </w:r>
          </w:p>
        </w:tc>
      </w:tr>
      <w:tr w:rsidR="00400DD1" w:rsidRPr="00DD47DF" w14:paraId="35387B21" w14:textId="77777777">
        <w:trPr>
          <w:trHeight w:val="413"/>
        </w:trPr>
        <w:tc>
          <w:tcPr>
            <w:tcW w:w="2395" w:type="pct"/>
            <w:shd w:val="clear" w:color="auto" w:fill="auto"/>
            <w:vAlign w:val="center"/>
          </w:tcPr>
          <w:p w14:paraId="1A3266F5" w14:textId="77777777" w:rsidR="00400DD1" w:rsidRPr="00DD47DF" w:rsidRDefault="00400DD1" w:rsidP="00F23CDB">
            <w:pPr>
              <w:pStyle w:val="Tabulka"/>
              <w:jc w:val="left"/>
              <w:rPr>
                <w:rFonts w:cs="Calibri"/>
              </w:rPr>
            </w:pPr>
            <w:r w:rsidRPr="00DD47DF">
              <w:rPr>
                <w:rFonts w:cs="Calibri"/>
              </w:rPr>
              <w:t>Potravinářská komora ČR</w:t>
            </w:r>
          </w:p>
        </w:tc>
        <w:tc>
          <w:tcPr>
            <w:tcW w:w="2605" w:type="pct"/>
            <w:shd w:val="clear" w:color="auto" w:fill="auto"/>
            <w:vAlign w:val="center"/>
          </w:tcPr>
          <w:p w14:paraId="1AA4896B" w14:textId="77777777" w:rsidR="00400DD1" w:rsidRPr="00DD47DF" w:rsidRDefault="00AF6FE3" w:rsidP="00F23CDB">
            <w:pPr>
              <w:pStyle w:val="Tabulka"/>
              <w:jc w:val="left"/>
              <w:rPr>
                <w:rFonts w:cs="Calibri"/>
              </w:rPr>
            </w:pPr>
            <w:hyperlink r:id="rId180" w:history="1">
              <w:r w:rsidR="00400DD1" w:rsidRPr="00DD47DF">
                <w:rPr>
                  <w:rStyle w:val="Hypertextovodkaz"/>
                  <w:rFonts w:cs="Calibri"/>
                  <w:bCs/>
                </w:rPr>
                <w:t>http://www.pkcr.cz/</w:t>
              </w:r>
            </w:hyperlink>
            <w:r w:rsidR="00400DD1" w:rsidRPr="00DD47DF">
              <w:rPr>
                <w:rFonts w:cs="Calibri"/>
              </w:rPr>
              <w:t xml:space="preserve"> </w:t>
            </w:r>
          </w:p>
        </w:tc>
      </w:tr>
      <w:tr w:rsidR="00400DD1" w:rsidRPr="00DD47DF" w14:paraId="3BF24982" w14:textId="77777777">
        <w:trPr>
          <w:trHeight w:val="413"/>
        </w:trPr>
        <w:tc>
          <w:tcPr>
            <w:tcW w:w="2395" w:type="pct"/>
            <w:shd w:val="clear" w:color="auto" w:fill="auto"/>
            <w:vAlign w:val="center"/>
          </w:tcPr>
          <w:p w14:paraId="52D86FBD" w14:textId="77777777" w:rsidR="00400DD1" w:rsidRPr="00DD47DF" w:rsidRDefault="00400DD1" w:rsidP="00F23CDB">
            <w:pPr>
              <w:pStyle w:val="Tabulka"/>
              <w:jc w:val="left"/>
              <w:rPr>
                <w:rFonts w:cs="Calibri"/>
              </w:rPr>
            </w:pPr>
            <w:r w:rsidRPr="00DD47DF">
              <w:rPr>
                <w:rFonts w:cs="Calibri"/>
              </w:rPr>
              <w:t>Technologická agentura ČR</w:t>
            </w:r>
          </w:p>
        </w:tc>
        <w:tc>
          <w:tcPr>
            <w:tcW w:w="2605" w:type="pct"/>
            <w:shd w:val="clear" w:color="auto" w:fill="auto"/>
            <w:vAlign w:val="center"/>
          </w:tcPr>
          <w:p w14:paraId="54437BD4" w14:textId="77777777" w:rsidR="00400DD1" w:rsidRPr="00DD47DF" w:rsidRDefault="00AF6FE3" w:rsidP="00F23CDB">
            <w:pPr>
              <w:pStyle w:val="Tabulka"/>
              <w:jc w:val="left"/>
              <w:rPr>
                <w:rFonts w:cs="Calibri"/>
              </w:rPr>
            </w:pPr>
            <w:hyperlink r:id="rId181" w:history="1">
              <w:r w:rsidR="00400DD1" w:rsidRPr="00DD47DF">
                <w:rPr>
                  <w:rStyle w:val="Hypertextovodkaz"/>
                  <w:rFonts w:cs="Calibri"/>
                  <w:bCs/>
                </w:rPr>
                <w:t>http://tacr.cz/</w:t>
              </w:r>
            </w:hyperlink>
            <w:r w:rsidR="00400DD1" w:rsidRPr="00DD47DF">
              <w:rPr>
                <w:rFonts w:cs="Calibri"/>
              </w:rPr>
              <w:t xml:space="preserve"> </w:t>
            </w:r>
          </w:p>
        </w:tc>
      </w:tr>
      <w:tr w:rsidR="00400DD1" w:rsidRPr="00DD47DF" w14:paraId="7EF2AD1D" w14:textId="77777777">
        <w:trPr>
          <w:trHeight w:val="397"/>
        </w:trPr>
        <w:tc>
          <w:tcPr>
            <w:tcW w:w="2395" w:type="pct"/>
            <w:shd w:val="clear" w:color="auto" w:fill="auto"/>
            <w:vAlign w:val="center"/>
          </w:tcPr>
          <w:p w14:paraId="58FAE3BB" w14:textId="77777777" w:rsidR="00400DD1" w:rsidRPr="00DD47DF" w:rsidRDefault="00400DD1" w:rsidP="00F23CDB">
            <w:pPr>
              <w:pStyle w:val="Tabulka"/>
              <w:jc w:val="left"/>
              <w:rPr>
                <w:rFonts w:cs="Calibri"/>
              </w:rPr>
            </w:pPr>
            <w:r w:rsidRPr="00DD47DF">
              <w:rPr>
                <w:rFonts w:cs="Calibri"/>
              </w:rPr>
              <w:t>Českomoravská záruční a rozvojová banka</w:t>
            </w:r>
          </w:p>
        </w:tc>
        <w:tc>
          <w:tcPr>
            <w:tcW w:w="2605" w:type="pct"/>
            <w:shd w:val="clear" w:color="auto" w:fill="auto"/>
            <w:vAlign w:val="center"/>
          </w:tcPr>
          <w:p w14:paraId="2BFF5F2B" w14:textId="77777777" w:rsidR="00400DD1" w:rsidRPr="00DD47DF" w:rsidRDefault="00AF6FE3" w:rsidP="00F23CDB">
            <w:pPr>
              <w:pStyle w:val="Tabulka"/>
              <w:jc w:val="left"/>
              <w:rPr>
                <w:rFonts w:cs="Calibri"/>
              </w:rPr>
            </w:pPr>
            <w:hyperlink r:id="rId182" w:history="1">
              <w:r w:rsidR="00400DD1" w:rsidRPr="00DD47DF">
                <w:rPr>
                  <w:rStyle w:val="Hypertextovodkaz"/>
                  <w:rFonts w:cs="Calibri"/>
                  <w:bCs/>
                </w:rPr>
                <w:t>http://www.cmzrb.cz/</w:t>
              </w:r>
            </w:hyperlink>
            <w:r w:rsidR="00400DD1" w:rsidRPr="00DD47DF">
              <w:rPr>
                <w:rFonts w:cs="Calibri"/>
              </w:rPr>
              <w:t xml:space="preserve"> </w:t>
            </w:r>
          </w:p>
        </w:tc>
      </w:tr>
      <w:tr w:rsidR="00400DD1" w:rsidRPr="00DD47DF" w14:paraId="79D4E98B" w14:textId="77777777" w:rsidTr="00991550">
        <w:trPr>
          <w:trHeight w:val="417"/>
        </w:trPr>
        <w:tc>
          <w:tcPr>
            <w:tcW w:w="2395" w:type="pct"/>
            <w:shd w:val="clear" w:color="auto" w:fill="auto"/>
            <w:vAlign w:val="center"/>
          </w:tcPr>
          <w:p w14:paraId="3EE83017" w14:textId="77777777" w:rsidR="00400DD1" w:rsidRPr="00DD47DF" w:rsidRDefault="00400DD1" w:rsidP="00F23CDB">
            <w:pPr>
              <w:pStyle w:val="Tabulka"/>
              <w:jc w:val="left"/>
              <w:rPr>
                <w:rFonts w:cs="Calibri"/>
              </w:rPr>
            </w:pPr>
            <w:r w:rsidRPr="00DD47DF">
              <w:rPr>
                <w:rFonts w:cs="Calibri"/>
              </w:rPr>
              <w:t xml:space="preserve">Rada pro výzkum, vývoj a inovace </w:t>
            </w:r>
          </w:p>
        </w:tc>
        <w:tc>
          <w:tcPr>
            <w:tcW w:w="2605" w:type="pct"/>
            <w:shd w:val="clear" w:color="auto" w:fill="auto"/>
            <w:vAlign w:val="center"/>
          </w:tcPr>
          <w:p w14:paraId="6C89B440" w14:textId="77777777" w:rsidR="00400DD1" w:rsidRPr="00DD47DF" w:rsidRDefault="00AF6FE3" w:rsidP="00F23CDB">
            <w:pPr>
              <w:pStyle w:val="Tabulka"/>
              <w:jc w:val="left"/>
              <w:rPr>
                <w:rFonts w:cs="Calibri"/>
              </w:rPr>
            </w:pPr>
            <w:hyperlink r:id="rId183" w:history="1">
              <w:r w:rsidR="00400DD1" w:rsidRPr="00DD47DF">
                <w:rPr>
                  <w:rStyle w:val="Hypertextovodkaz"/>
                  <w:rFonts w:cs="Calibri"/>
                  <w:bCs/>
                </w:rPr>
                <w:t>http://www.vyzkum.cz/FrontClanek.aspx?idsekce=496</w:t>
              </w:r>
            </w:hyperlink>
            <w:r w:rsidR="00400DD1" w:rsidRPr="00DD47DF">
              <w:rPr>
                <w:rFonts w:cs="Calibri"/>
              </w:rPr>
              <w:t xml:space="preserve"> </w:t>
            </w:r>
          </w:p>
        </w:tc>
      </w:tr>
      <w:tr w:rsidR="00400DD1" w:rsidRPr="00DD47DF" w14:paraId="3828C45A" w14:textId="77777777">
        <w:trPr>
          <w:trHeight w:val="397"/>
        </w:trPr>
        <w:tc>
          <w:tcPr>
            <w:tcW w:w="2395" w:type="pct"/>
            <w:shd w:val="clear" w:color="auto" w:fill="auto"/>
            <w:vAlign w:val="center"/>
          </w:tcPr>
          <w:p w14:paraId="781061B8" w14:textId="77777777" w:rsidR="00400DD1" w:rsidRPr="00DD47DF" w:rsidRDefault="00400DD1" w:rsidP="00F23CDB">
            <w:pPr>
              <w:pStyle w:val="Tabulka"/>
              <w:jc w:val="left"/>
              <w:rPr>
                <w:rFonts w:cs="Calibri"/>
              </w:rPr>
            </w:pPr>
            <w:r w:rsidRPr="00DD47DF">
              <w:rPr>
                <w:rFonts w:cs="Calibri"/>
              </w:rPr>
              <w:t>Svaz průmyslu a dopravy ČR</w:t>
            </w:r>
          </w:p>
        </w:tc>
        <w:tc>
          <w:tcPr>
            <w:tcW w:w="2605" w:type="pct"/>
            <w:shd w:val="clear" w:color="auto" w:fill="auto"/>
            <w:vAlign w:val="center"/>
          </w:tcPr>
          <w:p w14:paraId="2781C329" w14:textId="77777777" w:rsidR="00400DD1" w:rsidRPr="00DD47DF" w:rsidRDefault="00AF6FE3" w:rsidP="00F23CDB">
            <w:pPr>
              <w:pStyle w:val="Tabulka"/>
              <w:jc w:val="left"/>
              <w:rPr>
                <w:rFonts w:cs="Calibri"/>
              </w:rPr>
            </w:pPr>
            <w:hyperlink r:id="rId184" w:history="1">
              <w:r w:rsidR="00400DD1" w:rsidRPr="00DD47DF">
                <w:rPr>
                  <w:rStyle w:val="Hypertextovodkaz"/>
                  <w:rFonts w:cs="Calibri"/>
                  <w:bCs/>
                </w:rPr>
                <w:t>http://www.spcr.cz/</w:t>
              </w:r>
            </w:hyperlink>
            <w:r w:rsidR="00400DD1" w:rsidRPr="00DD47DF">
              <w:rPr>
                <w:rFonts w:cs="Calibri"/>
              </w:rPr>
              <w:t xml:space="preserve"> </w:t>
            </w:r>
          </w:p>
        </w:tc>
      </w:tr>
      <w:tr w:rsidR="00400DD1" w:rsidRPr="00DD47DF" w14:paraId="52BF993B" w14:textId="77777777">
        <w:trPr>
          <w:trHeight w:val="413"/>
        </w:trPr>
        <w:tc>
          <w:tcPr>
            <w:tcW w:w="2395" w:type="pct"/>
            <w:shd w:val="clear" w:color="auto" w:fill="auto"/>
            <w:vAlign w:val="center"/>
          </w:tcPr>
          <w:p w14:paraId="0F017CFA" w14:textId="77777777" w:rsidR="00400DD1" w:rsidRPr="00DD47DF" w:rsidRDefault="00400DD1" w:rsidP="00F23CDB">
            <w:pPr>
              <w:pStyle w:val="Tabulka"/>
              <w:jc w:val="left"/>
              <w:rPr>
                <w:rFonts w:cs="Calibri"/>
              </w:rPr>
            </w:pPr>
            <w:r w:rsidRPr="00DD47DF">
              <w:rPr>
                <w:rFonts w:cs="Calibri"/>
              </w:rPr>
              <w:t>Svaz obchodu a cestovního ruchu</w:t>
            </w:r>
          </w:p>
        </w:tc>
        <w:tc>
          <w:tcPr>
            <w:tcW w:w="2605" w:type="pct"/>
            <w:shd w:val="clear" w:color="auto" w:fill="auto"/>
            <w:vAlign w:val="center"/>
          </w:tcPr>
          <w:p w14:paraId="472432D9" w14:textId="77777777" w:rsidR="00400DD1" w:rsidRPr="00DD47DF" w:rsidRDefault="00AF6FE3" w:rsidP="00F23CDB">
            <w:pPr>
              <w:pStyle w:val="Tabulka"/>
              <w:jc w:val="left"/>
              <w:rPr>
                <w:rFonts w:cs="Calibri"/>
              </w:rPr>
            </w:pPr>
            <w:hyperlink r:id="rId185" w:history="1">
              <w:r w:rsidR="00400DD1" w:rsidRPr="00DD47DF">
                <w:rPr>
                  <w:rStyle w:val="Hypertextovodkaz"/>
                  <w:rFonts w:cs="Calibri"/>
                  <w:bCs/>
                </w:rPr>
                <w:t>http://www.socr.cz/</w:t>
              </w:r>
            </w:hyperlink>
            <w:r w:rsidR="00400DD1" w:rsidRPr="00DD47DF">
              <w:rPr>
                <w:rFonts w:cs="Calibri"/>
              </w:rPr>
              <w:t xml:space="preserve"> </w:t>
            </w:r>
          </w:p>
        </w:tc>
      </w:tr>
      <w:tr w:rsidR="00400DD1" w:rsidRPr="00DD47DF" w14:paraId="255683C6" w14:textId="77777777">
        <w:trPr>
          <w:trHeight w:val="413"/>
        </w:trPr>
        <w:tc>
          <w:tcPr>
            <w:tcW w:w="2395" w:type="pct"/>
            <w:shd w:val="clear" w:color="auto" w:fill="auto"/>
            <w:vAlign w:val="center"/>
          </w:tcPr>
          <w:p w14:paraId="1B664394" w14:textId="77777777" w:rsidR="00400DD1" w:rsidRPr="00DD47DF" w:rsidRDefault="00400DD1" w:rsidP="00F23CDB">
            <w:pPr>
              <w:pStyle w:val="Tabulka"/>
              <w:jc w:val="left"/>
              <w:rPr>
                <w:rFonts w:cs="Calibri"/>
              </w:rPr>
            </w:pPr>
            <w:r w:rsidRPr="00DD47DF">
              <w:rPr>
                <w:rFonts w:cs="Calibri"/>
              </w:rPr>
              <w:t>Svaz podnikatelů ve stavebnictví</w:t>
            </w:r>
          </w:p>
        </w:tc>
        <w:tc>
          <w:tcPr>
            <w:tcW w:w="2605" w:type="pct"/>
            <w:shd w:val="clear" w:color="auto" w:fill="auto"/>
            <w:vAlign w:val="center"/>
          </w:tcPr>
          <w:p w14:paraId="3D3B41C2" w14:textId="77777777" w:rsidR="00400DD1" w:rsidRPr="00DD47DF" w:rsidRDefault="00AF6FE3" w:rsidP="00F23CDB">
            <w:pPr>
              <w:pStyle w:val="Tabulka"/>
              <w:jc w:val="left"/>
              <w:rPr>
                <w:rFonts w:cs="Calibri"/>
              </w:rPr>
            </w:pPr>
            <w:hyperlink r:id="rId186" w:history="1">
              <w:r w:rsidR="00400DD1" w:rsidRPr="00DD47DF">
                <w:rPr>
                  <w:rStyle w:val="Hypertextovodkaz"/>
                  <w:rFonts w:cs="Calibri"/>
                  <w:bCs/>
                </w:rPr>
                <w:t>http://www.sps.cz/index.ASP</w:t>
              </w:r>
            </w:hyperlink>
            <w:r w:rsidR="00400DD1" w:rsidRPr="00DD47DF">
              <w:rPr>
                <w:rFonts w:cs="Calibri"/>
              </w:rPr>
              <w:t xml:space="preserve"> </w:t>
            </w:r>
          </w:p>
        </w:tc>
      </w:tr>
      <w:tr w:rsidR="00400DD1" w:rsidRPr="00DD47DF" w14:paraId="31D9032E" w14:textId="77777777">
        <w:trPr>
          <w:trHeight w:val="413"/>
        </w:trPr>
        <w:tc>
          <w:tcPr>
            <w:tcW w:w="2395" w:type="pct"/>
            <w:shd w:val="clear" w:color="auto" w:fill="auto"/>
            <w:vAlign w:val="center"/>
          </w:tcPr>
          <w:p w14:paraId="030A03AC" w14:textId="77777777" w:rsidR="00400DD1" w:rsidRPr="00DD47DF" w:rsidRDefault="00400DD1" w:rsidP="00F23CDB">
            <w:pPr>
              <w:pStyle w:val="Tabulka"/>
              <w:jc w:val="left"/>
              <w:rPr>
                <w:rFonts w:cs="Calibri"/>
              </w:rPr>
            </w:pPr>
            <w:r w:rsidRPr="00DD47DF">
              <w:rPr>
                <w:rFonts w:cs="Calibri"/>
              </w:rPr>
              <w:t>Svaz měst a obcí ČR</w:t>
            </w:r>
          </w:p>
        </w:tc>
        <w:tc>
          <w:tcPr>
            <w:tcW w:w="2605" w:type="pct"/>
            <w:shd w:val="clear" w:color="auto" w:fill="auto"/>
            <w:vAlign w:val="center"/>
          </w:tcPr>
          <w:p w14:paraId="323B8E90" w14:textId="77777777" w:rsidR="00400DD1" w:rsidRPr="00DD47DF" w:rsidRDefault="00AF6FE3" w:rsidP="00F23CDB">
            <w:pPr>
              <w:pStyle w:val="Tabulka"/>
              <w:jc w:val="left"/>
              <w:rPr>
                <w:rFonts w:cs="Calibri"/>
              </w:rPr>
            </w:pPr>
            <w:hyperlink r:id="rId187" w:history="1">
              <w:r w:rsidR="00400DD1" w:rsidRPr="00DD47DF">
                <w:rPr>
                  <w:rStyle w:val="Hypertextovodkaz"/>
                  <w:rFonts w:cs="Calibri"/>
                  <w:bCs/>
                </w:rPr>
                <w:t>http://www.smocr.cz/</w:t>
              </w:r>
            </w:hyperlink>
            <w:r w:rsidR="00400DD1" w:rsidRPr="00DD47DF">
              <w:rPr>
                <w:rFonts w:cs="Calibri"/>
              </w:rPr>
              <w:t xml:space="preserve"> </w:t>
            </w:r>
          </w:p>
        </w:tc>
      </w:tr>
      <w:tr w:rsidR="00400DD1" w:rsidRPr="00DD47DF" w14:paraId="2E5EB23C" w14:textId="77777777">
        <w:trPr>
          <w:trHeight w:val="397"/>
        </w:trPr>
        <w:tc>
          <w:tcPr>
            <w:tcW w:w="2395" w:type="pct"/>
            <w:shd w:val="clear" w:color="auto" w:fill="auto"/>
            <w:vAlign w:val="center"/>
          </w:tcPr>
          <w:p w14:paraId="6D5BD686" w14:textId="77777777" w:rsidR="00400DD1" w:rsidRPr="00DD47DF" w:rsidRDefault="00400DD1" w:rsidP="00F23CDB">
            <w:pPr>
              <w:pStyle w:val="Tabulka"/>
              <w:jc w:val="left"/>
              <w:rPr>
                <w:rFonts w:cs="Calibri"/>
              </w:rPr>
            </w:pPr>
            <w:r w:rsidRPr="00DD47DF">
              <w:rPr>
                <w:rFonts w:cs="Calibri"/>
              </w:rPr>
              <w:t>Svaz místních samospráv ČR</w:t>
            </w:r>
          </w:p>
        </w:tc>
        <w:tc>
          <w:tcPr>
            <w:tcW w:w="2605" w:type="pct"/>
            <w:shd w:val="clear" w:color="auto" w:fill="auto"/>
            <w:vAlign w:val="center"/>
          </w:tcPr>
          <w:p w14:paraId="7741B236" w14:textId="77777777" w:rsidR="00400DD1" w:rsidRPr="00DD47DF" w:rsidRDefault="00AF6FE3" w:rsidP="00F23CDB">
            <w:pPr>
              <w:pStyle w:val="Tabulka"/>
              <w:jc w:val="left"/>
              <w:rPr>
                <w:rFonts w:cs="Calibri"/>
              </w:rPr>
            </w:pPr>
            <w:hyperlink r:id="rId188" w:history="1">
              <w:r w:rsidR="00400DD1" w:rsidRPr="00DD47DF">
                <w:rPr>
                  <w:rStyle w:val="Hypertextovodkaz"/>
                  <w:rFonts w:cs="Calibri"/>
                  <w:bCs/>
                </w:rPr>
                <w:t>http://www.smscr.cz/</w:t>
              </w:r>
            </w:hyperlink>
            <w:r w:rsidR="00400DD1" w:rsidRPr="00DD47DF">
              <w:rPr>
                <w:rFonts w:cs="Calibri"/>
              </w:rPr>
              <w:t xml:space="preserve"> </w:t>
            </w:r>
          </w:p>
        </w:tc>
      </w:tr>
      <w:tr w:rsidR="00400DD1" w:rsidRPr="00DD47DF" w14:paraId="1DCE546C" w14:textId="77777777">
        <w:trPr>
          <w:trHeight w:val="715"/>
        </w:trPr>
        <w:tc>
          <w:tcPr>
            <w:tcW w:w="2395" w:type="pct"/>
            <w:shd w:val="clear" w:color="auto" w:fill="auto"/>
            <w:vAlign w:val="center"/>
          </w:tcPr>
          <w:p w14:paraId="01E881F1" w14:textId="77777777" w:rsidR="00400DD1" w:rsidRPr="00DD47DF" w:rsidRDefault="00400DD1" w:rsidP="00F23CDB">
            <w:pPr>
              <w:pStyle w:val="Tabulka"/>
              <w:jc w:val="left"/>
              <w:rPr>
                <w:rFonts w:cs="Calibri"/>
              </w:rPr>
            </w:pPr>
            <w:r w:rsidRPr="00DD47DF">
              <w:rPr>
                <w:rFonts w:cs="Calibri"/>
              </w:rPr>
              <w:t>Českomoravská konfederace odborových svazů</w:t>
            </w:r>
          </w:p>
        </w:tc>
        <w:tc>
          <w:tcPr>
            <w:tcW w:w="2605" w:type="pct"/>
            <w:shd w:val="clear" w:color="auto" w:fill="auto"/>
            <w:vAlign w:val="center"/>
          </w:tcPr>
          <w:p w14:paraId="4FCD9B5E" w14:textId="77777777" w:rsidR="00400DD1" w:rsidRPr="00DD47DF" w:rsidRDefault="00AF6FE3" w:rsidP="00F23CDB">
            <w:pPr>
              <w:pStyle w:val="Tabulka"/>
              <w:jc w:val="left"/>
              <w:rPr>
                <w:rFonts w:cs="Calibri"/>
              </w:rPr>
            </w:pPr>
            <w:hyperlink r:id="rId189" w:history="1">
              <w:r w:rsidR="00400DD1" w:rsidRPr="00DD47DF">
                <w:rPr>
                  <w:rStyle w:val="Hypertextovodkaz"/>
                  <w:rFonts w:cs="Calibri"/>
                  <w:bCs/>
                </w:rPr>
                <w:t>http://www.cmkos.cz/</w:t>
              </w:r>
            </w:hyperlink>
            <w:r w:rsidR="00400DD1" w:rsidRPr="00DD47DF">
              <w:rPr>
                <w:rFonts w:cs="Calibri"/>
              </w:rPr>
              <w:t xml:space="preserve"> </w:t>
            </w:r>
          </w:p>
        </w:tc>
      </w:tr>
      <w:tr w:rsidR="00400DD1" w:rsidRPr="00DD47DF" w14:paraId="40A3B4F7" w14:textId="77777777">
        <w:trPr>
          <w:trHeight w:val="699"/>
        </w:trPr>
        <w:tc>
          <w:tcPr>
            <w:tcW w:w="2395" w:type="pct"/>
            <w:shd w:val="clear" w:color="auto" w:fill="auto"/>
            <w:vAlign w:val="center"/>
          </w:tcPr>
          <w:p w14:paraId="0F89739A" w14:textId="77777777" w:rsidR="00400DD1" w:rsidRPr="00DD47DF" w:rsidRDefault="00400DD1" w:rsidP="00F23CDB">
            <w:pPr>
              <w:pStyle w:val="Tabulka"/>
              <w:jc w:val="left"/>
              <w:rPr>
                <w:rFonts w:cs="Calibri"/>
              </w:rPr>
            </w:pPr>
            <w:r w:rsidRPr="00DD47DF">
              <w:rPr>
                <w:rFonts w:cs="Calibri"/>
              </w:rPr>
              <w:t>Konfederace zaměstnavatelských a podnikatelských svazů</w:t>
            </w:r>
          </w:p>
        </w:tc>
        <w:tc>
          <w:tcPr>
            <w:tcW w:w="2605" w:type="pct"/>
            <w:shd w:val="clear" w:color="auto" w:fill="auto"/>
            <w:vAlign w:val="center"/>
          </w:tcPr>
          <w:p w14:paraId="27248F8C" w14:textId="77777777" w:rsidR="00400DD1" w:rsidRPr="00DD47DF" w:rsidRDefault="00AF6FE3" w:rsidP="00F23CDB">
            <w:pPr>
              <w:pStyle w:val="Tabulka"/>
              <w:jc w:val="left"/>
              <w:rPr>
                <w:rFonts w:cs="Calibri"/>
              </w:rPr>
            </w:pPr>
            <w:hyperlink r:id="rId190" w:history="1">
              <w:r w:rsidR="00400DD1" w:rsidRPr="00DD47DF">
                <w:rPr>
                  <w:rStyle w:val="Hypertextovodkaz"/>
                  <w:rFonts w:cs="Calibri"/>
                  <w:bCs/>
                </w:rPr>
                <w:t>http://www.kzps.cz/</w:t>
              </w:r>
            </w:hyperlink>
            <w:r w:rsidR="00400DD1" w:rsidRPr="00DD47DF">
              <w:rPr>
                <w:rFonts w:cs="Calibri"/>
              </w:rPr>
              <w:t xml:space="preserve"> </w:t>
            </w:r>
          </w:p>
        </w:tc>
      </w:tr>
      <w:tr w:rsidR="00400DD1" w:rsidRPr="00DD47DF" w14:paraId="5166A767" w14:textId="77777777">
        <w:trPr>
          <w:trHeight w:val="397"/>
        </w:trPr>
        <w:tc>
          <w:tcPr>
            <w:tcW w:w="2395" w:type="pct"/>
            <w:shd w:val="clear" w:color="auto" w:fill="auto"/>
            <w:vAlign w:val="center"/>
          </w:tcPr>
          <w:p w14:paraId="63625007" w14:textId="77777777" w:rsidR="00400DD1" w:rsidRPr="00DD47DF" w:rsidRDefault="00400DD1" w:rsidP="00F23CDB">
            <w:pPr>
              <w:pStyle w:val="Tabulka"/>
              <w:jc w:val="left"/>
              <w:rPr>
                <w:rFonts w:cs="Calibri"/>
              </w:rPr>
            </w:pPr>
            <w:r w:rsidRPr="00DD47DF">
              <w:rPr>
                <w:rFonts w:cs="Calibri"/>
              </w:rPr>
              <w:t>Asociace MSP a živnostníků ČR</w:t>
            </w:r>
          </w:p>
        </w:tc>
        <w:tc>
          <w:tcPr>
            <w:tcW w:w="2605" w:type="pct"/>
            <w:shd w:val="clear" w:color="auto" w:fill="auto"/>
            <w:vAlign w:val="center"/>
          </w:tcPr>
          <w:p w14:paraId="4DA516C0" w14:textId="77777777" w:rsidR="00400DD1" w:rsidRPr="00DD47DF" w:rsidRDefault="00AF6FE3" w:rsidP="00F23CDB">
            <w:pPr>
              <w:pStyle w:val="Tabulka"/>
              <w:jc w:val="left"/>
              <w:rPr>
                <w:rFonts w:cs="Calibri"/>
              </w:rPr>
            </w:pPr>
            <w:hyperlink r:id="rId191" w:history="1">
              <w:r w:rsidR="00400DD1" w:rsidRPr="00DD47DF">
                <w:rPr>
                  <w:rStyle w:val="Hypertextovodkaz"/>
                  <w:rFonts w:cs="Calibri"/>
                  <w:bCs/>
                </w:rPr>
                <w:t>http://www.amsp.cz/</w:t>
              </w:r>
            </w:hyperlink>
            <w:r w:rsidR="00400DD1" w:rsidRPr="00DD47DF">
              <w:rPr>
                <w:rFonts w:cs="Calibri"/>
              </w:rPr>
              <w:t xml:space="preserve"> </w:t>
            </w:r>
          </w:p>
        </w:tc>
      </w:tr>
      <w:tr w:rsidR="00400DD1" w:rsidRPr="00DD47DF" w14:paraId="3FCE521D" w14:textId="77777777">
        <w:trPr>
          <w:trHeight w:val="429"/>
        </w:trPr>
        <w:tc>
          <w:tcPr>
            <w:tcW w:w="2395" w:type="pct"/>
            <w:shd w:val="clear" w:color="auto" w:fill="auto"/>
            <w:vAlign w:val="center"/>
          </w:tcPr>
          <w:p w14:paraId="6A310A95" w14:textId="77777777" w:rsidR="00400DD1" w:rsidRPr="00DD47DF" w:rsidRDefault="00400DD1" w:rsidP="00F23CDB">
            <w:pPr>
              <w:pStyle w:val="Tabulka"/>
              <w:jc w:val="left"/>
              <w:rPr>
                <w:rFonts w:cs="Calibri"/>
              </w:rPr>
            </w:pPr>
            <w:r w:rsidRPr="00DD47DF">
              <w:rPr>
                <w:rFonts w:cs="Calibri"/>
              </w:rPr>
              <w:t>Asociace krajů ČR</w:t>
            </w:r>
          </w:p>
        </w:tc>
        <w:tc>
          <w:tcPr>
            <w:tcW w:w="2605" w:type="pct"/>
            <w:shd w:val="clear" w:color="auto" w:fill="auto"/>
            <w:vAlign w:val="center"/>
          </w:tcPr>
          <w:p w14:paraId="766FF31B" w14:textId="77777777" w:rsidR="00400DD1" w:rsidRPr="00DD47DF" w:rsidRDefault="00AF6FE3" w:rsidP="00F23CDB">
            <w:pPr>
              <w:pStyle w:val="Tabulka"/>
              <w:jc w:val="left"/>
              <w:rPr>
                <w:rFonts w:cs="Calibri"/>
              </w:rPr>
            </w:pPr>
            <w:hyperlink r:id="rId192" w:history="1">
              <w:r w:rsidR="00400DD1" w:rsidRPr="00DD47DF">
                <w:rPr>
                  <w:rStyle w:val="Hypertextovodkaz"/>
                  <w:rFonts w:cs="Calibri"/>
                  <w:bCs/>
                </w:rPr>
                <w:t>http://www.asociacekraju.cz/</w:t>
              </w:r>
            </w:hyperlink>
            <w:r w:rsidR="00400DD1" w:rsidRPr="00DD47DF">
              <w:rPr>
                <w:rFonts w:cs="Calibri"/>
              </w:rPr>
              <w:t xml:space="preserve"> </w:t>
            </w:r>
          </w:p>
        </w:tc>
      </w:tr>
      <w:tr w:rsidR="00400DD1" w:rsidRPr="00DD47DF" w14:paraId="1C3ADA1E" w14:textId="77777777">
        <w:trPr>
          <w:trHeight w:val="413"/>
        </w:trPr>
        <w:tc>
          <w:tcPr>
            <w:tcW w:w="2395" w:type="pct"/>
            <w:shd w:val="clear" w:color="auto" w:fill="auto"/>
            <w:vAlign w:val="center"/>
          </w:tcPr>
          <w:p w14:paraId="6930ED63" w14:textId="77777777" w:rsidR="00400DD1" w:rsidRPr="00DD47DF" w:rsidRDefault="00400DD1" w:rsidP="00F23CDB">
            <w:pPr>
              <w:pStyle w:val="Tabulka"/>
              <w:jc w:val="left"/>
              <w:rPr>
                <w:rFonts w:cs="Calibri"/>
              </w:rPr>
            </w:pPr>
            <w:r w:rsidRPr="00DD47DF">
              <w:rPr>
                <w:rFonts w:cs="Calibri"/>
              </w:rPr>
              <w:t xml:space="preserve">Nestátní neziskové organizace </w:t>
            </w:r>
          </w:p>
        </w:tc>
        <w:tc>
          <w:tcPr>
            <w:tcW w:w="2605" w:type="pct"/>
            <w:shd w:val="clear" w:color="auto" w:fill="auto"/>
            <w:vAlign w:val="center"/>
          </w:tcPr>
          <w:p w14:paraId="150FDA6A" w14:textId="77777777" w:rsidR="00400DD1" w:rsidRPr="00DD47DF" w:rsidRDefault="00AF6FE3" w:rsidP="00F23CDB">
            <w:pPr>
              <w:pStyle w:val="Tabulka"/>
              <w:jc w:val="left"/>
              <w:rPr>
                <w:rFonts w:cs="Calibri"/>
              </w:rPr>
            </w:pPr>
            <w:hyperlink r:id="rId193" w:history="1">
              <w:r w:rsidR="00400DD1" w:rsidRPr="00DD47DF">
                <w:rPr>
                  <w:rStyle w:val="Hypertextovodkaz"/>
                  <w:rFonts w:cs="Calibri"/>
                  <w:bCs/>
                </w:rPr>
                <w:t>http://www.asociacenno.cz/</w:t>
              </w:r>
            </w:hyperlink>
            <w:r w:rsidR="00400DD1" w:rsidRPr="00DD47DF">
              <w:rPr>
                <w:rFonts w:cs="Calibri"/>
              </w:rPr>
              <w:t xml:space="preserve"> </w:t>
            </w:r>
          </w:p>
        </w:tc>
      </w:tr>
      <w:tr w:rsidR="00400DD1" w:rsidRPr="00DD47DF" w14:paraId="1267D498" w14:textId="77777777">
        <w:trPr>
          <w:trHeight w:val="699"/>
        </w:trPr>
        <w:tc>
          <w:tcPr>
            <w:tcW w:w="2395" w:type="pct"/>
            <w:shd w:val="clear" w:color="auto" w:fill="auto"/>
            <w:vAlign w:val="center"/>
          </w:tcPr>
          <w:p w14:paraId="18CE80ED" w14:textId="77777777" w:rsidR="00400DD1" w:rsidRPr="00DD47DF" w:rsidRDefault="00400DD1" w:rsidP="00F23CDB">
            <w:pPr>
              <w:pStyle w:val="Tabulka"/>
              <w:jc w:val="left"/>
              <w:rPr>
                <w:rFonts w:cs="Calibri"/>
              </w:rPr>
            </w:pPr>
            <w:r w:rsidRPr="00DD47DF">
              <w:rPr>
                <w:rFonts w:cs="Calibri"/>
              </w:rPr>
              <w:t>Národní síť Místních akčních skupin České republiky, o.s.</w:t>
            </w:r>
          </w:p>
        </w:tc>
        <w:tc>
          <w:tcPr>
            <w:tcW w:w="2605" w:type="pct"/>
            <w:shd w:val="clear" w:color="auto" w:fill="auto"/>
            <w:vAlign w:val="center"/>
          </w:tcPr>
          <w:p w14:paraId="4534B746" w14:textId="77777777" w:rsidR="00400DD1" w:rsidRPr="00DD47DF" w:rsidRDefault="00AF6FE3" w:rsidP="00F23CDB">
            <w:pPr>
              <w:pStyle w:val="Tabulka"/>
              <w:jc w:val="left"/>
              <w:rPr>
                <w:rFonts w:cs="Calibri"/>
              </w:rPr>
            </w:pPr>
            <w:hyperlink r:id="rId194" w:history="1">
              <w:r w:rsidR="00400DD1" w:rsidRPr="00DD47DF">
                <w:rPr>
                  <w:rStyle w:val="Hypertextovodkaz"/>
                  <w:rFonts w:cs="Calibri"/>
                  <w:bCs/>
                </w:rPr>
                <w:t>http://nsmascr.cz/o-nas/mistni-akncni-skupiny/</w:t>
              </w:r>
            </w:hyperlink>
            <w:r w:rsidR="00400DD1" w:rsidRPr="00DD47DF">
              <w:rPr>
                <w:rFonts w:cs="Calibri"/>
              </w:rPr>
              <w:t xml:space="preserve"> </w:t>
            </w:r>
          </w:p>
        </w:tc>
      </w:tr>
      <w:tr w:rsidR="00400DD1" w:rsidRPr="00DD47DF" w14:paraId="3F96F53C" w14:textId="77777777">
        <w:trPr>
          <w:trHeight w:val="413"/>
        </w:trPr>
        <w:tc>
          <w:tcPr>
            <w:tcW w:w="2395" w:type="pct"/>
            <w:shd w:val="clear" w:color="auto" w:fill="auto"/>
            <w:vAlign w:val="center"/>
          </w:tcPr>
          <w:p w14:paraId="34538EBB" w14:textId="77777777" w:rsidR="00400DD1" w:rsidRPr="00DD47DF" w:rsidRDefault="00400DD1" w:rsidP="00F23CDB">
            <w:pPr>
              <w:pStyle w:val="Tabulka"/>
              <w:jc w:val="left"/>
              <w:rPr>
                <w:rFonts w:cs="Calibri"/>
              </w:rPr>
            </w:pPr>
            <w:r w:rsidRPr="00DD47DF">
              <w:rPr>
                <w:rFonts w:cs="Calibri"/>
              </w:rPr>
              <w:t>Český statistický úřad</w:t>
            </w:r>
          </w:p>
        </w:tc>
        <w:tc>
          <w:tcPr>
            <w:tcW w:w="2605" w:type="pct"/>
            <w:shd w:val="clear" w:color="auto" w:fill="auto"/>
            <w:vAlign w:val="center"/>
          </w:tcPr>
          <w:p w14:paraId="049768AA" w14:textId="77777777" w:rsidR="00400DD1" w:rsidRPr="00DD47DF" w:rsidRDefault="00AF6FE3" w:rsidP="00F23CDB">
            <w:pPr>
              <w:pStyle w:val="Tabulka"/>
              <w:jc w:val="left"/>
              <w:rPr>
                <w:rFonts w:cs="Calibri"/>
              </w:rPr>
            </w:pPr>
            <w:hyperlink r:id="rId195" w:history="1">
              <w:r w:rsidR="00400DD1" w:rsidRPr="00DD47DF">
                <w:rPr>
                  <w:rStyle w:val="Hypertextovodkaz"/>
                  <w:rFonts w:cs="Calibri"/>
                  <w:bCs/>
                </w:rPr>
                <w:t>http://www.czso.cz/</w:t>
              </w:r>
            </w:hyperlink>
            <w:r w:rsidR="00400DD1" w:rsidRPr="00DD47DF">
              <w:rPr>
                <w:rFonts w:cs="Calibri"/>
              </w:rPr>
              <w:t xml:space="preserve"> </w:t>
            </w:r>
          </w:p>
        </w:tc>
      </w:tr>
      <w:tr w:rsidR="00400DD1" w:rsidRPr="00DD47DF" w14:paraId="742AE5C5" w14:textId="77777777">
        <w:trPr>
          <w:trHeight w:val="413"/>
        </w:trPr>
        <w:tc>
          <w:tcPr>
            <w:tcW w:w="2395" w:type="pct"/>
            <w:shd w:val="clear" w:color="auto" w:fill="auto"/>
            <w:vAlign w:val="center"/>
          </w:tcPr>
          <w:p w14:paraId="1D4AD079" w14:textId="77777777" w:rsidR="00400DD1" w:rsidRPr="00DD47DF" w:rsidRDefault="00400DD1" w:rsidP="00F23CDB">
            <w:pPr>
              <w:pStyle w:val="Tabulka"/>
              <w:jc w:val="left"/>
              <w:rPr>
                <w:rFonts w:cs="Calibri"/>
              </w:rPr>
            </w:pPr>
            <w:r w:rsidRPr="00DD47DF">
              <w:rPr>
                <w:rFonts w:cs="Calibri"/>
              </w:rPr>
              <w:lastRenderedPageBreak/>
              <w:t>Hlavní město Praha</w:t>
            </w:r>
          </w:p>
        </w:tc>
        <w:tc>
          <w:tcPr>
            <w:tcW w:w="2605" w:type="pct"/>
            <w:shd w:val="clear" w:color="auto" w:fill="auto"/>
            <w:vAlign w:val="center"/>
          </w:tcPr>
          <w:p w14:paraId="5A2C64FB" w14:textId="77777777" w:rsidR="00400DD1" w:rsidRPr="00DD47DF" w:rsidRDefault="00AF6FE3" w:rsidP="00F23CDB">
            <w:pPr>
              <w:pStyle w:val="Tabulka"/>
              <w:jc w:val="left"/>
              <w:rPr>
                <w:rFonts w:cs="Calibri"/>
              </w:rPr>
            </w:pPr>
            <w:hyperlink r:id="rId196" w:history="1">
              <w:r w:rsidR="00400DD1" w:rsidRPr="00DD47DF">
                <w:rPr>
                  <w:rStyle w:val="Hypertextovodkaz"/>
                  <w:rFonts w:cs="Calibri"/>
                  <w:bCs/>
                </w:rPr>
                <w:t>http://www.praha.eu/jnp/cz/home/index.html</w:t>
              </w:r>
            </w:hyperlink>
            <w:r w:rsidR="00400DD1" w:rsidRPr="00DD47DF">
              <w:rPr>
                <w:rFonts w:cs="Calibri"/>
              </w:rPr>
              <w:t xml:space="preserve"> </w:t>
            </w:r>
          </w:p>
        </w:tc>
      </w:tr>
    </w:tbl>
    <w:p w14:paraId="2CBDA8AF" w14:textId="77777777" w:rsidR="00400DD1" w:rsidRPr="00DD47DF" w:rsidRDefault="00400DD1" w:rsidP="00400DD1">
      <w:pPr>
        <w:pStyle w:val="Standardn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920"/>
      </w:tblGrid>
      <w:tr w:rsidR="00400DD1" w:rsidRPr="00DD47DF" w14:paraId="41009AFA" w14:textId="77777777">
        <w:trPr>
          <w:trHeight w:val="431"/>
        </w:trPr>
        <w:tc>
          <w:tcPr>
            <w:tcW w:w="5000" w:type="pct"/>
            <w:gridSpan w:val="2"/>
            <w:shd w:val="clear" w:color="auto" w:fill="B8CCE4"/>
            <w:vAlign w:val="center"/>
          </w:tcPr>
          <w:p w14:paraId="02FD0DA1" w14:textId="77777777" w:rsidR="00400DD1" w:rsidRPr="00DD47DF" w:rsidRDefault="00400DD1" w:rsidP="00F23CDB">
            <w:pPr>
              <w:pStyle w:val="Tabulka"/>
              <w:keepNext/>
              <w:keepLines/>
              <w:rPr>
                <w:rFonts w:cs="Calibri"/>
                <w:b/>
              </w:rPr>
            </w:pPr>
            <w:r w:rsidRPr="00DD47DF">
              <w:rPr>
                <w:rFonts w:cs="Calibri"/>
                <w:b/>
              </w:rPr>
              <w:t>Pracovní skupiny pro rozpracování jednotlivých prioritních os OP PIK</w:t>
            </w:r>
          </w:p>
        </w:tc>
      </w:tr>
      <w:tr w:rsidR="00400DD1" w:rsidRPr="00DD47DF" w14:paraId="540E065D" w14:textId="77777777">
        <w:trPr>
          <w:trHeight w:val="414"/>
        </w:trPr>
        <w:tc>
          <w:tcPr>
            <w:tcW w:w="5000" w:type="pct"/>
            <w:gridSpan w:val="2"/>
            <w:shd w:val="clear" w:color="auto" w:fill="DBE5F1"/>
            <w:vAlign w:val="center"/>
          </w:tcPr>
          <w:p w14:paraId="4F463938" w14:textId="77777777" w:rsidR="00400DD1" w:rsidRPr="00DD47DF" w:rsidRDefault="005F4918" w:rsidP="00F23CDB">
            <w:pPr>
              <w:pStyle w:val="Tabulka"/>
              <w:keepNext/>
              <w:keepLines/>
              <w:rPr>
                <w:rFonts w:cs="Calibri"/>
                <w:b/>
              </w:rPr>
            </w:pPr>
            <w:r w:rsidRPr="00DD47DF">
              <w:rPr>
                <w:rFonts w:cs="Calibri"/>
                <w:b/>
              </w:rPr>
              <w:t xml:space="preserve">PS </w:t>
            </w:r>
            <w:r w:rsidR="00400DD1" w:rsidRPr="00DD47DF">
              <w:rPr>
                <w:rFonts w:cs="Calibri"/>
                <w:b/>
              </w:rPr>
              <w:t>1 „</w:t>
            </w:r>
            <w:r w:rsidR="00CB7936" w:rsidRPr="00DD47DF">
              <w:rPr>
                <w:rFonts w:cs="Calibri"/>
                <w:b/>
              </w:rPr>
              <w:t>Rozvoj výzkumu a vývoje pro inovace</w:t>
            </w:r>
            <w:r w:rsidR="00400DD1" w:rsidRPr="00DD47DF">
              <w:rPr>
                <w:rFonts w:cs="Calibri"/>
                <w:b/>
              </w:rPr>
              <w:t>“</w:t>
            </w:r>
          </w:p>
        </w:tc>
      </w:tr>
      <w:tr w:rsidR="00400DD1" w:rsidRPr="00DD47DF" w14:paraId="507CE76D" w14:textId="77777777">
        <w:trPr>
          <w:trHeight w:val="414"/>
        </w:trPr>
        <w:tc>
          <w:tcPr>
            <w:tcW w:w="2391" w:type="pct"/>
            <w:shd w:val="clear" w:color="auto" w:fill="auto"/>
            <w:vAlign w:val="center"/>
          </w:tcPr>
          <w:p w14:paraId="391702A4" w14:textId="77777777" w:rsidR="00400DD1" w:rsidRPr="00DD47DF" w:rsidRDefault="00400DD1" w:rsidP="00F23CDB">
            <w:pPr>
              <w:pStyle w:val="Tabulka"/>
              <w:keepNext/>
              <w:keepLines/>
              <w:jc w:val="left"/>
              <w:rPr>
                <w:rFonts w:cs="Calibri"/>
              </w:rPr>
            </w:pPr>
            <w:r w:rsidRPr="00DD47DF">
              <w:rPr>
                <w:rFonts w:cs="Calibri"/>
              </w:rPr>
              <w:t>Ministerstvo šk</w:t>
            </w:r>
            <w:r w:rsidR="000E47D9" w:rsidRPr="00DD47DF">
              <w:rPr>
                <w:rFonts w:cs="Calibri"/>
              </w:rPr>
              <w:t>olství, mládeže a tělovýchovy</w:t>
            </w:r>
          </w:p>
        </w:tc>
        <w:tc>
          <w:tcPr>
            <w:tcW w:w="2609" w:type="pct"/>
            <w:shd w:val="clear" w:color="auto" w:fill="auto"/>
            <w:vAlign w:val="center"/>
          </w:tcPr>
          <w:p w14:paraId="42CD13C9" w14:textId="77777777" w:rsidR="00400DD1" w:rsidRPr="00DD47DF" w:rsidRDefault="00AF6FE3" w:rsidP="00F23CDB">
            <w:pPr>
              <w:pStyle w:val="Tabulka"/>
              <w:keepNext/>
              <w:keepLines/>
              <w:jc w:val="left"/>
              <w:rPr>
                <w:rFonts w:cs="Calibri"/>
              </w:rPr>
            </w:pPr>
            <w:hyperlink r:id="rId197" w:history="1">
              <w:r w:rsidR="00400DD1" w:rsidRPr="00DD47DF">
                <w:rPr>
                  <w:rStyle w:val="Hypertextovodkaz"/>
                  <w:rFonts w:cs="Calibri"/>
                  <w:bCs/>
                </w:rPr>
                <w:t>http://www.msmt.cz/</w:t>
              </w:r>
            </w:hyperlink>
          </w:p>
        </w:tc>
      </w:tr>
      <w:tr w:rsidR="00400DD1" w:rsidRPr="00DD47DF" w14:paraId="16F11F61" w14:textId="77777777">
        <w:trPr>
          <w:trHeight w:val="414"/>
        </w:trPr>
        <w:tc>
          <w:tcPr>
            <w:tcW w:w="2391" w:type="pct"/>
            <w:shd w:val="clear" w:color="auto" w:fill="auto"/>
            <w:vAlign w:val="center"/>
          </w:tcPr>
          <w:p w14:paraId="62C71F88" w14:textId="77777777" w:rsidR="00400DD1" w:rsidRPr="00DD47DF" w:rsidRDefault="000E47D9" w:rsidP="00F23CDB">
            <w:pPr>
              <w:pStyle w:val="Tabulka"/>
              <w:jc w:val="left"/>
              <w:rPr>
                <w:rFonts w:cs="Calibri"/>
              </w:rPr>
            </w:pPr>
            <w:r w:rsidRPr="00DD47DF">
              <w:rPr>
                <w:rFonts w:cs="Calibri"/>
              </w:rPr>
              <w:t>Ministerstvo kultury</w:t>
            </w:r>
          </w:p>
        </w:tc>
        <w:tc>
          <w:tcPr>
            <w:tcW w:w="2609" w:type="pct"/>
            <w:shd w:val="clear" w:color="auto" w:fill="auto"/>
            <w:vAlign w:val="center"/>
          </w:tcPr>
          <w:p w14:paraId="0C118392" w14:textId="77777777" w:rsidR="00400DD1" w:rsidRPr="00DD47DF" w:rsidRDefault="00AF6FE3" w:rsidP="00F23CDB">
            <w:pPr>
              <w:pStyle w:val="Tabulka"/>
              <w:jc w:val="left"/>
              <w:rPr>
                <w:rFonts w:cs="Calibri"/>
              </w:rPr>
            </w:pPr>
            <w:hyperlink r:id="rId198" w:history="1">
              <w:r w:rsidR="00400DD1" w:rsidRPr="00DD47DF">
                <w:rPr>
                  <w:rStyle w:val="Hypertextovodkaz"/>
                  <w:rFonts w:cs="Calibri"/>
                  <w:bCs/>
                </w:rPr>
                <w:t>http://www.mkcr.cz/</w:t>
              </w:r>
            </w:hyperlink>
            <w:r w:rsidR="00400DD1" w:rsidRPr="00DD47DF">
              <w:rPr>
                <w:rFonts w:cs="Calibri"/>
              </w:rPr>
              <w:t xml:space="preserve"> </w:t>
            </w:r>
          </w:p>
        </w:tc>
      </w:tr>
      <w:tr w:rsidR="00400DD1" w:rsidRPr="00DD47DF" w14:paraId="2A637455" w14:textId="77777777">
        <w:trPr>
          <w:trHeight w:val="414"/>
        </w:trPr>
        <w:tc>
          <w:tcPr>
            <w:tcW w:w="2391" w:type="pct"/>
            <w:shd w:val="clear" w:color="auto" w:fill="auto"/>
            <w:vAlign w:val="center"/>
          </w:tcPr>
          <w:p w14:paraId="3B4D8D94" w14:textId="77777777" w:rsidR="00400DD1" w:rsidRPr="00DD47DF" w:rsidRDefault="000E47D9" w:rsidP="00F23CDB">
            <w:pPr>
              <w:pStyle w:val="Tabulka"/>
              <w:jc w:val="left"/>
              <w:rPr>
                <w:rFonts w:cs="Calibri"/>
              </w:rPr>
            </w:pPr>
            <w:r w:rsidRPr="00DD47DF">
              <w:rPr>
                <w:rFonts w:cs="Calibri"/>
              </w:rPr>
              <w:t>Ministerstvo dopravy</w:t>
            </w:r>
          </w:p>
        </w:tc>
        <w:tc>
          <w:tcPr>
            <w:tcW w:w="2609" w:type="pct"/>
            <w:shd w:val="clear" w:color="auto" w:fill="auto"/>
            <w:vAlign w:val="center"/>
          </w:tcPr>
          <w:p w14:paraId="293D293B" w14:textId="77777777" w:rsidR="00400DD1" w:rsidRPr="00DD47DF" w:rsidRDefault="00AF6FE3" w:rsidP="00F23CDB">
            <w:pPr>
              <w:pStyle w:val="Tabulka"/>
              <w:jc w:val="left"/>
              <w:rPr>
                <w:rFonts w:cs="Calibri"/>
              </w:rPr>
            </w:pPr>
            <w:hyperlink r:id="rId199" w:history="1">
              <w:r w:rsidR="00400DD1" w:rsidRPr="00DD47DF">
                <w:rPr>
                  <w:rStyle w:val="Hypertextovodkaz"/>
                  <w:rFonts w:cs="Calibri"/>
                  <w:bCs/>
                </w:rPr>
                <w:t>http://www.mdcr.cz/cs/default.htm</w:t>
              </w:r>
            </w:hyperlink>
          </w:p>
        </w:tc>
      </w:tr>
      <w:tr w:rsidR="00400DD1" w:rsidRPr="00DD47DF" w14:paraId="452DEF1D" w14:textId="77777777">
        <w:trPr>
          <w:trHeight w:val="414"/>
        </w:trPr>
        <w:tc>
          <w:tcPr>
            <w:tcW w:w="2391" w:type="pct"/>
            <w:shd w:val="clear" w:color="auto" w:fill="auto"/>
            <w:vAlign w:val="center"/>
          </w:tcPr>
          <w:p w14:paraId="4472A7B0" w14:textId="77777777" w:rsidR="00400DD1" w:rsidRPr="00DD47DF" w:rsidRDefault="00400DD1" w:rsidP="00F23CDB">
            <w:pPr>
              <w:pStyle w:val="Tabulka"/>
              <w:jc w:val="left"/>
              <w:rPr>
                <w:rFonts w:cs="Calibri"/>
              </w:rPr>
            </w:pPr>
            <w:r w:rsidRPr="00DD47DF">
              <w:rPr>
                <w:rFonts w:cs="Calibri"/>
              </w:rPr>
              <w:t>Technologická agentura ČR</w:t>
            </w:r>
          </w:p>
        </w:tc>
        <w:tc>
          <w:tcPr>
            <w:tcW w:w="2609" w:type="pct"/>
            <w:shd w:val="clear" w:color="auto" w:fill="auto"/>
            <w:vAlign w:val="center"/>
          </w:tcPr>
          <w:p w14:paraId="7D97D75C" w14:textId="77777777" w:rsidR="00400DD1" w:rsidRPr="00DD47DF" w:rsidRDefault="00AF6FE3" w:rsidP="00F23CDB">
            <w:pPr>
              <w:pStyle w:val="Tabulka"/>
              <w:jc w:val="left"/>
              <w:rPr>
                <w:rFonts w:cs="Calibri"/>
              </w:rPr>
            </w:pPr>
            <w:hyperlink r:id="rId200" w:history="1">
              <w:r w:rsidR="00400DD1" w:rsidRPr="00DD47DF">
                <w:rPr>
                  <w:rStyle w:val="Hypertextovodkaz"/>
                  <w:rFonts w:cs="Calibri"/>
                  <w:bCs/>
                </w:rPr>
                <w:t>http://tacr.cz/</w:t>
              </w:r>
            </w:hyperlink>
          </w:p>
        </w:tc>
      </w:tr>
      <w:tr w:rsidR="00400DD1" w:rsidRPr="00DD47DF" w14:paraId="3691F901" w14:textId="77777777">
        <w:trPr>
          <w:trHeight w:val="414"/>
        </w:trPr>
        <w:tc>
          <w:tcPr>
            <w:tcW w:w="2391" w:type="pct"/>
            <w:shd w:val="clear" w:color="auto" w:fill="auto"/>
            <w:vAlign w:val="center"/>
          </w:tcPr>
          <w:p w14:paraId="0E3B0DC5" w14:textId="77777777" w:rsidR="00400DD1" w:rsidRPr="00DD47DF" w:rsidRDefault="00400DD1" w:rsidP="00F23CDB">
            <w:pPr>
              <w:pStyle w:val="Tabulka"/>
              <w:jc w:val="left"/>
              <w:rPr>
                <w:rFonts w:cs="Calibri"/>
              </w:rPr>
            </w:pPr>
            <w:r w:rsidRPr="00DD47DF">
              <w:rPr>
                <w:rFonts w:cs="Calibri"/>
              </w:rPr>
              <w:t>Technologické centrum akademie věd</w:t>
            </w:r>
          </w:p>
        </w:tc>
        <w:tc>
          <w:tcPr>
            <w:tcW w:w="2609" w:type="pct"/>
            <w:shd w:val="clear" w:color="auto" w:fill="auto"/>
            <w:vAlign w:val="center"/>
          </w:tcPr>
          <w:p w14:paraId="0A8BF711" w14:textId="77777777" w:rsidR="00400DD1" w:rsidRPr="00DD47DF" w:rsidRDefault="00AF6FE3" w:rsidP="00F23CDB">
            <w:pPr>
              <w:pStyle w:val="Tabulka"/>
              <w:jc w:val="left"/>
              <w:rPr>
                <w:rFonts w:cs="Calibri"/>
              </w:rPr>
            </w:pPr>
            <w:hyperlink r:id="rId201" w:history="1">
              <w:r w:rsidR="00400DD1" w:rsidRPr="00DD47DF">
                <w:rPr>
                  <w:rStyle w:val="Hypertextovodkaz"/>
                  <w:rFonts w:cs="Calibri"/>
                  <w:bCs/>
                </w:rPr>
                <w:t>http://www.tc.cz/cs/</w:t>
              </w:r>
            </w:hyperlink>
            <w:r w:rsidR="00400DD1" w:rsidRPr="00DD47DF">
              <w:rPr>
                <w:rFonts w:cs="Calibri"/>
              </w:rPr>
              <w:t xml:space="preserve"> </w:t>
            </w:r>
          </w:p>
        </w:tc>
      </w:tr>
      <w:tr w:rsidR="00400DD1" w:rsidRPr="00DD47DF" w14:paraId="15EFB467" w14:textId="77777777">
        <w:trPr>
          <w:trHeight w:val="414"/>
        </w:trPr>
        <w:tc>
          <w:tcPr>
            <w:tcW w:w="2391" w:type="pct"/>
            <w:shd w:val="clear" w:color="auto" w:fill="auto"/>
            <w:vAlign w:val="center"/>
          </w:tcPr>
          <w:p w14:paraId="190A6D30" w14:textId="77777777" w:rsidR="00400DD1" w:rsidRPr="00DD47DF" w:rsidRDefault="00400DD1" w:rsidP="00F23CDB">
            <w:pPr>
              <w:pStyle w:val="Tabulka"/>
              <w:jc w:val="left"/>
              <w:rPr>
                <w:rFonts w:cs="Calibri"/>
              </w:rPr>
            </w:pPr>
            <w:r w:rsidRPr="00DD47DF">
              <w:rPr>
                <w:rFonts w:cs="Calibri"/>
              </w:rPr>
              <w:t>Jihomoravské inovační centrum</w:t>
            </w:r>
          </w:p>
        </w:tc>
        <w:tc>
          <w:tcPr>
            <w:tcW w:w="2609" w:type="pct"/>
            <w:shd w:val="clear" w:color="auto" w:fill="auto"/>
            <w:vAlign w:val="center"/>
          </w:tcPr>
          <w:p w14:paraId="400B8B67" w14:textId="77777777" w:rsidR="00400DD1" w:rsidRPr="00DD47DF" w:rsidRDefault="00AF6FE3" w:rsidP="00F23CDB">
            <w:pPr>
              <w:pStyle w:val="Tabulka"/>
              <w:jc w:val="left"/>
              <w:rPr>
                <w:rFonts w:cs="Calibri"/>
              </w:rPr>
            </w:pPr>
            <w:hyperlink r:id="rId202" w:history="1">
              <w:r w:rsidR="00400DD1" w:rsidRPr="00DD47DF">
                <w:rPr>
                  <w:rStyle w:val="Hypertextovodkaz"/>
                  <w:rFonts w:cs="Calibri"/>
                  <w:bCs/>
                </w:rPr>
                <w:t>http://www.jic.cz/</w:t>
              </w:r>
            </w:hyperlink>
            <w:r w:rsidR="00400DD1" w:rsidRPr="00DD47DF">
              <w:rPr>
                <w:rFonts w:cs="Calibri"/>
              </w:rPr>
              <w:t xml:space="preserve"> </w:t>
            </w:r>
          </w:p>
        </w:tc>
      </w:tr>
      <w:tr w:rsidR="00400DD1" w:rsidRPr="00DD47DF" w14:paraId="54B6AF28" w14:textId="77777777">
        <w:trPr>
          <w:trHeight w:val="414"/>
        </w:trPr>
        <w:tc>
          <w:tcPr>
            <w:tcW w:w="2391" w:type="pct"/>
            <w:shd w:val="clear" w:color="auto" w:fill="auto"/>
            <w:vAlign w:val="center"/>
          </w:tcPr>
          <w:p w14:paraId="27E89FEC" w14:textId="77777777" w:rsidR="00400DD1" w:rsidRPr="00DD47DF" w:rsidRDefault="00400DD1" w:rsidP="00F23CDB">
            <w:pPr>
              <w:pStyle w:val="Tabulka"/>
              <w:jc w:val="left"/>
              <w:rPr>
                <w:rFonts w:cs="Calibri"/>
              </w:rPr>
            </w:pPr>
            <w:r w:rsidRPr="00DD47DF">
              <w:rPr>
                <w:rFonts w:cs="Calibri"/>
              </w:rPr>
              <w:t>Hospodářská komora ČR</w:t>
            </w:r>
          </w:p>
        </w:tc>
        <w:tc>
          <w:tcPr>
            <w:tcW w:w="2609" w:type="pct"/>
            <w:shd w:val="clear" w:color="auto" w:fill="auto"/>
            <w:vAlign w:val="center"/>
          </w:tcPr>
          <w:p w14:paraId="224BE5AC" w14:textId="77777777" w:rsidR="00400DD1" w:rsidRPr="00DD47DF" w:rsidRDefault="00AF6FE3" w:rsidP="00F23CDB">
            <w:pPr>
              <w:pStyle w:val="Tabulka"/>
              <w:jc w:val="left"/>
              <w:rPr>
                <w:rFonts w:cs="Calibri"/>
              </w:rPr>
            </w:pPr>
            <w:hyperlink r:id="rId203" w:history="1">
              <w:r w:rsidR="00400DD1" w:rsidRPr="00DD47DF">
                <w:rPr>
                  <w:rStyle w:val="Hypertextovodkaz"/>
                  <w:rFonts w:cs="Calibri"/>
                  <w:bCs/>
                </w:rPr>
                <w:t>http://www.komora.cz/</w:t>
              </w:r>
            </w:hyperlink>
          </w:p>
        </w:tc>
      </w:tr>
      <w:tr w:rsidR="00400DD1" w:rsidRPr="00DD47DF" w14:paraId="5CC24DD5" w14:textId="77777777">
        <w:trPr>
          <w:trHeight w:val="414"/>
        </w:trPr>
        <w:tc>
          <w:tcPr>
            <w:tcW w:w="2391" w:type="pct"/>
            <w:shd w:val="clear" w:color="auto" w:fill="auto"/>
            <w:vAlign w:val="center"/>
          </w:tcPr>
          <w:p w14:paraId="7F6A69CB" w14:textId="77777777" w:rsidR="00400DD1" w:rsidRPr="00DD47DF" w:rsidRDefault="00400DD1" w:rsidP="00F23CDB">
            <w:pPr>
              <w:pStyle w:val="Tabulka"/>
              <w:jc w:val="left"/>
              <w:rPr>
                <w:rFonts w:cs="Calibri"/>
              </w:rPr>
            </w:pPr>
            <w:r w:rsidRPr="00DD47DF">
              <w:rPr>
                <w:rFonts w:cs="Calibri"/>
              </w:rPr>
              <w:t>Potravinářská komora ČR</w:t>
            </w:r>
          </w:p>
        </w:tc>
        <w:tc>
          <w:tcPr>
            <w:tcW w:w="2609" w:type="pct"/>
            <w:shd w:val="clear" w:color="auto" w:fill="auto"/>
            <w:vAlign w:val="center"/>
          </w:tcPr>
          <w:p w14:paraId="30698FE7" w14:textId="77777777" w:rsidR="00400DD1" w:rsidRPr="00DD47DF" w:rsidRDefault="00AF6FE3" w:rsidP="00F23CDB">
            <w:pPr>
              <w:pStyle w:val="Tabulka"/>
              <w:jc w:val="left"/>
              <w:rPr>
                <w:rFonts w:cs="Calibri"/>
              </w:rPr>
            </w:pPr>
            <w:hyperlink r:id="rId204" w:history="1">
              <w:r w:rsidR="00400DD1" w:rsidRPr="00DD47DF">
                <w:rPr>
                  <w:rStyle w:val="Hypertextovodkaz"/>
                  <w:rFonts w:cs="Calibri"/>
                  <w:bCs/>
                </w:rPr>
                <w:t>http://www.pkcr.cz/</w:t>
              </w:r>
            </w:hyperlink>
          </w:p>
        </w:tc>
      </w:tr>
      <w:tr w:rsidR="00400DD1" w:rsidRPr="00DD47DF" w14:paraId="2635F320" w14:textId="77777777">
        <w:trPr>
          <w:trHeight w:val="414"/>
        </w:trPr>
        <w:tc>
          <w:tcPr>
            <w:tcW w:w="2391" w:type="pct"/>
            <w:shd w:val="clear" w:color="auto" w:fill="auto"/>
            <w:vAlign w:val="center"/>
          </w:tcPr>
          <w:p w14:paraId="2530D812" w14:textId="77777777" w:rsidR="00400DD1" w:rsidRPr="00DD47DF" w:rsidRDefault="00400DD1" w:rsidP="00F23CDB">
            <w:pPr>
              <w:pStyle w:val="Tabulka"/>
              <w:jc w:val="left"/>
              <w:rPr>
                <w:rFonts w:cs="Calibri"/>
              </w:rPr>
            </w:pPr>
            <w:r w:rsidRPr="00DD47DF">
              <w:rPr>
                <w:rFonts w:cs="Calibri"/>
              </w:rPr>
              <w:t>Svaz průmyslu a dopravy ČR</w:t>
            </w:r>
          </w:p>
        </w:tc>
        <w:tc>
          <w:tcPr>
            <w:tcW w:w="2609" w:type="pct"/>
            <w:shd w:val="clear" w:color="auto" w:fill="auto"/>
            <w:vAlign w:val="center"/>
          </w:tcPr>
          <w:p w14:paraId="5DDDEF66" w14:textId="77777777" w:rsidR="00400DD1" w:rsidRPr="00DD47DF" w:rsidRDefault="00AF6FE3" w:rsidP="00F23CDB">
            <w:pPr>
              <w:pStyle w:val="Tabulka"/>
              <w:jc w:val="left"/>
              <w:rPr>
                <w:rFonts w:cs="Calibri"/>
              </w:rPr>
            </w:pPr>
            <w:hyperlink r:id="rId205" w:history="1">
              <w:r w:rsidR="00400DD1" w:rsidRPr="00DD47DF">
                <w:rPr>
                  <w:rStyle w:val="Hypertextovodkaz"/>
                  <w:rFonts w:cs="Calibri"/>
                  <w:bCs/>
                </w:rPr>
                <w:t>http://www.spcr.cz/</w:t>
              </w:r>
            </w:hyperlink>
          </w:p>
        </w:tc>
      </w:tr>
      <w:tr w:rsidR="00400DD1" w:rsidRPr="00DD47DF" w14:paraId="2B0D5992" w14:textId="77777777">
        <w:trPr>
          <w:trHeight w:val="414"/>
        </w:trPr>
        <w:tc>
          <w:tcPr>
            <w:tcW w:w="2391" w:type="pct"/>
            <w:shd w:val="clear" w:color="auto" w:fill="auto"/>
            <w:vAlign w:val="center"/>
          </w:tcPr>
          <w:p w14:paraId="7EBCC8A5" w14:textId="77777777" w:rsidR="00400DD1" w:rsidRPr="00DD47DF" w:rsidRDefault="00400DD1" w:rsidP="00F23CDB">
            <w:pPr>
              <w:pStyle w:val="Tabulka"/>
              <w:jc w:val="left"/>
              <w:rPr>
                <w:rFonts w:cs="Calibri"/>
              </w:rPr>
            </w:pPr>
            <w:r w:rsidRPr="00DD47DF">
              <w:rPr>
                <w:rFonts w:cs="Calibri"/>
              </w:rPr>
              <w:t>Svaz obchodu a cestovního ruchu</w:t>
            </w:r>
          </w:p>
        </w:tc>
        <w:tc>
          <w:tcPr>
            <w:tcW w:w="2609" w:type="pct"/>
            <w:shd w:val="clear" w:color="auto" w:fill="auto"/>
            <w:vAlign w:val="center"/>
          </w:tcPr>
          <w:p w14:paraId="2B6A60B9" w14:textId="77777777" w:rsidR="00400DD1" w:rsidRPr="00DD47DF" w:rsidRDefault="00AF6FE3" w:rsidP="00F23CDB">
            <w:pPr>
              <w:pStyle w:val="Tabulka"/>
              <w:jc w:val="left"/>
              <w:rPr>
                <w:rFonts w:cs="Calibri"/>
              </w:rPr>
            </w:pPr>
            <w:hyperlink r:id="rId206" w:history="1">
              <w:r w:rsidR="00400DD1" w:rsidRPr="00DD47DF">
                <w:rPr>
                  <w:rStyle w:val="Hypertextovodkaz"/>
                  <w:rFonts w:cs="Calibri"/>
                  <w:bCs/>
                </w:rPr>
                <w:t>http://www.socr.cz/</w:t>
              </w:r>
            </w:hyperlink>
            <w:r w:rsidR="00400DD1" w:rsidRPr="00DD47DF">
              <w:rPr>
                <w:rFonts w:cs="Calibri"/>
              </w:rPr>
              <w:t xml:space="preserve"> </w:t>
            </w:r>
          </w:p>
        </w:tc>
      </w:tr>
      <w:tr w:rsidR="00400DD1" w:rsidRPr="00DD47DF" w14:paraId="30DB55E5" w14:textId="77777777">
        <w:trPr>
          <w:trHeight w:val="414"/>
        </w:trPr>
        <w:tc>
          <w:tcPr>
            <w:tcW w:w="2391" w:type="pct"/>
            <w:shd w:val="clear" w:color="auto" w:fill="auto"/>
            <w:vAlign w:val="center"/>
          </w:tcPr>
          <w:p w14:paraId="3A321101" w14:textId="77777777" w:rsidR="00400DD1" w:rsidRPr="00DD47DF" w:rsidRDefault="00400DD1" w:rsidP="00F23CDB">
            <w:pPr>
              <w:pStyle w:val="Tabulka"/>
              <w:jc w:val="left"/>
              <w:rPr>
                <w:rFonts w:cs="Calibri"/>
              </w:rPr>
            </w:pPr>
            <w:r w:rsidRPr="00DD47DF">
              <w:rPr>
                <w:rFonts w:cs="Calibri"/>
              </w:rPr>
              <w:t>Svaz měst a obcí ČR</w:t>
            </w:r>
          </w:p>
        </w:tc>
        <w:tc>
          <w:tcPr>
            <w:tcW w:w="2609" w:type="pct"/>
            <w:shd w:val="clear" w:color="auto" w:fill="auto"/>
            <w:vAlign w:val="center"/>
          </w:tcPr>
          <w:p w14:paraId="2DC31A79" w14:textId="77777777" w:rsidR="00400DD1" w:rsidRPr="00DD47DF" w:rsidRDefault="00AF6FE3" w:rsidP="00F23CDB">
            <w:pPr>
              <w:pStyle w:val="Tabulka"/>
              <w:jc w:val="left"/>
              <w:rPr>
                <w:rFonts w:cs="Calibri"/>
              </w:rPr>
            </w:pPr>
            <w:hyperlink r:id="rId207" w:history="1">
              <w:r w:rsidR="00400DD1" w:rsidRPr="00DD47DF">
                <w:rPr>
                  <w:rStyle w:val="Hypertextovodkaz"/>
                  <w:rFonts w:cs="Calibri"/>
                  <w:bCs/>
                </w:rPr>
                <w:t>http://www.smocr.cz/</w:t>
              </w:r>
            </w:hyperlink>
            <w:r w:rsidR="00400DD1" w:rsidRPr="00DD47DF">
              <w:rPr>
                <w:rFonts w:cs="Calibri"/>
              </w:rPr>
              <w:t xml:space="preserve"> </w:t>
            </w:r>
          </w:p>
        </w:tc>
      </w:tr>
      <w:tr w:rsidR="00400DD1" w:rsidRPr="00DD47DF" w14:paraId="2B49CFE7" w14:textId="77777777">
        <w:trPr>
          <w:trHeight w:val="414"/>
        </w:trPr>
        <w:tc>
          <w:tcPr>
            <w:tcW w:w="2391" w:type="pct"/>
            <w:shd w:val="clear" w:color="auto" w:fill="auto"/>
            <w:vAlign w:val="center"/>
          </w:tcPr>
          <w:p w14:paraId="697B0609" w14:textId="77777777" w:rsidR="00400DD1" w:rsidRPr="00DD47DF" w:rsidRDefault="00400DD1" w:rsidP="00F23CDB">
            <w:pPr>
              <w:pStyle w:val="Tabulka"/>
              <w:jc w:val="left"/>
              <w:rPr>
                <w:rFonts w:cs="Calibri"/>
              </w:rPr>
            </w:pPr>
            <w:r w:rsidRPr="00DD47DF">
              <w:rPr>
                <w:rFonts w:cs="Calibri"/>
              </w:rPr>
              <w:t>Asociace výzkumných organizací</w:t>
            </w:r>
          </w:p>
        </w:tc>
        <w:tc>
          <w:tcPr>
            <w:tcW w:w="2609" w:type="pct"/>
            <w:shd w:val="clear" w:color="auto" w:fill="auto"/>
            <w:vAlign w:val="center"/>
          </w:tcPr>
          <w:p w14:paraId="2FA36AED" w14:textId="77777777" w:rsidR="00400DD1" w:rsidRPr="00DD47DF" w:rsidRDefault="00AF6FE3" w:rsidP="00F23CDB">
            <w:pPr>
              <w:pStyle w:val="Tabulka"/>
              <w:jc w:val="left"/>
              <w:rPr>
                <w:rFonts w:cs="Calibri"/>
              </w:rPr>
            </w:pPr>
            <w:hyperlink r:id="rId208" w:history="1">
              <w:r w:rsidR="00400DD1" w:rsidRPr="00DD47DF">
                <w:rPr>
                  <w:rStyle w:val="Hypertextovodkaz"/>
                  <w:rFonts w:cs="Calibri"/>
                  <w:bCs/>
                </w:rPr>
                <w:t>http://www.avo.cz/</w:t>
              </w:r>
            </w:hyperlink>
            <w:r w:rsidR="00400DD1" w:rsidRPr="00DD47DF">
              <w:rPr>
                <w:rFonts w:cs="Calibri"/>
              </w:rPr>
              <w:t xml:space="preserve"> </w:t>
            </w:r>
          </w:p>
        </w:tc>
      </w:tr>
      <w:tr w:rsidR="00400DD1" w:rsidRPr="00DD47DF" w14:paraId="76970FE5" w14:textId="77777777">
        <w:trPr>
          <w:trHeight w:val="414"/>
        </w:trPr>
        <w:tc>
          <w:tcPr>
            <w:tcW w:w="2391" w:type="pct"/>
            <w:shd w:val="clear" w:color="auto" w:fill="auto"/>
            <w:vAlign w:val="center"/>
          </w:tcPr>
          <w:p w14:paraId="49B9A789" w14:textId="77777777" w:rsidR="00400DD1" w:rsidRPr="00DD47DF" w:rsidRDefault="00400DD1" w:rsidP="00F23CDB">
            <w:pPr>
              <w:pStyle w:val="Tabulka"/>
              <w:jc w:val="left"/>
              <w:rPr>
                <w:rFonts w:cs="Calibri"/>
              </w:rPr>
            </w:pPr>
            <w:r w:rsidRPr="00DD47DF">
              <w:rPr>
                <w:rFonts w:cs="Calibri"/>
              </w:rPr>
              <w:t>Asociace inovačního podnikání</w:t>
            </w:r>
          </w:p>
        </w:tc>
        <w:tc>
          <w:tcPr>
            <w:tcW w:w="2609" w:type="pct"/>
            <w:shd w:val="clear" w:color="auto" w:fill="auto"/>
            <w:vAlign w:val="center"/>
          </w:tcPr>
          <w:p w14:paraId="725D0BB5" w14:textId="77777777" w:rsidR="00400DD1" w:rsidRPr="00DD47DF" w:rsidRDefault="00AF6FE3" w:rsidP="00F23CDB">
            <w:pPr>
              <w:pStyle w:val="Tabulka"/>
              <w:jc w:val="left"/>
              <w:rPr>
                <w:rFonts w:cs="Calibri"/>
              </w:rPr>
            </w:pPr>
            <w:hyperlink r:id="rId209" w:history="1">
              <w:r w:rsidR="00400DD1" w:rsidRPr="00DD47DF">
                <w:rPr>
                  <w:rStyle w:val="Hypertextovodkaz"/>
                  <w:rFonts w:cs="Calibri"/>
                  <w:bCs/>
                </w:rPr>
                <w:t>http://www.aipcr.cz/</w:t>
              </w:r>
            </w:hyperlink>
            <w:r w:rsidR="00400DD1" w:rsidRPr="00DD47DF">
              <w:rPr>
                <w:rFonts w:cs="Calibri"/>
              </w:rPr>
              <w:t xml:space="preserve"> </w:t>
            </w:r>
          </w:p>
        </w:tc>
      </w:tr>
      <w:tr w:rsidR="00400DD1" w:rsidRPr="00DD47DF" w14:paraId="7CE3F947" w14:textId="77777777">
        <w:trPr>
          <w:trHeight w:val="414"/>
        </w:trPr>
        <w:tc>
          <w:tcPr>
            <w:tcW w:w="2391" w:type="pct"/>
            <w:shd w:val="clear" w:color="auto" w:fill="auto"/>
            <w:vAlign w:val="center"/>
          </w:tcPr>
          <w:p w14:paraId="1C49A8D3" w14:textId="77777777" w:rsidR="00400DD1" w:rsidRPr="00DD47DF" w:rsidRDefault="00400DD1" w:rsidP="00F23CDB">
            <w:pPr>
              <w:pStyle w:val="Tabulka"/>
              <w:jc w:val="left"/>
              <w:rPr>
                <w:rFonts w:cs="Calibri"/>
              </w:rPr>
            </w:pPr>
            <w:r w:rsidRPr="00DD47DF">
              <w:rPr>
                <w:rFonts w:cs="Calibri"/>
              </w:rPr>
              <w:t>Asociace malých a středních podniků</w:t>
            </w:r>
          </w:p>
        </w:tc>
        <w:tc>
          <w:tcPr>
            <w:tcW w:w="2609" w:type="pct"/>
            <w:shd w:val="clear" w:color="auto" w:fill="auto"/>
            <w:vAlign w:val="center"/>
          </w:tcPr>
          <w:p w14:paraId="50DE5808" w14:textId="77777777" w:rsidR="00400DD1" w:rsidRPr="00DD47DF" w:rsidRDefault="00AF6FE3" w:rsidP="00F23CDB">
            <w:pPr>
              <w:pStyle w:val="Tabulka"/>
              <w:jc w:val="left"/>
              <w:rPr>
                <w:rFonts w:cs="Calibri"/>
              </w:rPr>
            </w:pPr>
            <w:hyperlink r:id="rId210" w:history="1">
              <w:r w:rsidR="00400DD1" w:rsidRPr="00DD47DF">
                <w:rPr>
                  <w:rStyle w:val="Hypertextovodkaz"/>
                  <w:rFonts w:cs="Calibri"/>
                  <w:bCs/>
                </w:rPr>
                <w:t>http://www.amsp.cz/</w:t>
              </w:r>
            </w:hyperlink>
          </w:p>
        </w:tc>
      </w:tr>
      <w:tr w:rsidR="00400DD1" w:rsidRPr="00DD47DF" w14:paraId="4F2A7C2D" w14:textId="77777777">
        <w:trPr>
          <w:trHeight w:val="414"/>
        </w:trPr>
        <w:tc>
          <w:tcPr>
            <w:tcW w:w="2391" w:type="pct"/>
            <w:shd w:val="clear" w:color="auto" w:fill="auto"/>
            <w:vAlign w:val="center"/>
          </w:tcPr>
          <w:p w14:paraId="50DF18D8" w14:textId="77777777" w:rsidR="00400DD1" w:rsidRPr="00DD47DF" w:rsidRDefault="00400DD1" w:rsidP="00F23CDB">
            <w:pPr>
              <w:pStyle w:val="Tabulka"/>
              <w:jc w:val="left"/>
              <w:rPr>
                <w:rFonts w:cs="Calibri"/>
              </w:rPr>
            </w:pPr>
            <w:r w:rsidRPr="00DD47DF">
              <w:rPr>
                <w:rFonts w:cs="Calibri"/>
              </w:rPr>
              <w:t>Nestátní neziskové organizace</w:t>
            </w:r>
          </w:p>
        </w:tc>
        <w:tc>
          <w:tcPr>
            <w:tcW w:w="2609" w:type="pct"/>
            <w:shd w:val="clear" w:color="auto" w:fill="auto"/>
            <w:vAlign w:val="center"/>
          </w:tcPr>
          <w:p w14:paraId="19C900A5" w14:textId="77777777" w:rsidR="00400DD1" w:rsidRPr="00DD47DF" w:rsidRDefault="00AF6FE3" w:rsidP="00F23CDB">
            <w:pPr>
              <w:pStyle w:val="Tabulka"/>
              <w:jc w:val="left"/>
              <w:rPr>
                <w:rFonts w:cs="Calibri"/>
              </w:rPr>
            </w:pPr>
            <w:hyperlink r:id="rId211" w:history="1">
              <w:r w:rsidR="00400DD1" w:rsidRPr="00DD47DF">
                <w:rPr>
                  <w:rStyle w:val="Hypertextovodkaz"/>
                  <w:rFonts w:cs="Calibri"/>
                  <w:bCs/>
                </w:rPr>
                <w:t>http://www.asociacenno.cz/</w:t>
              </w:r>
            </w:hyperlink>
          </w:p>
        </w:tc>
      </w:tr>
      <w:tr w:rsidR="00400DD1" w:rsidRPr="00DD47DF" w14:paraId="4467AEA3" w14:textId="77777777">
        <w:trPr>
          <w:trHeight w:val="414"/>
        </w:trPr>
        <w:tc>
          <w:tcPr>
            <w:tcW w:w="2391" w:type="pct"/>
            <w:shd w:val="clear" w:color="auto" w:fill="auto"/>
            <w:vAlign w:val="center"/>
          </w:tcPr>
          <w:p w14:paraId="2BEABA11" w14:textId="77777777" w:rsidR="00400DD1" w:rsidRPr="00DD47DF" w:rsidRDefault="00400DD1" w:rsidP="00F23CDB">
            <w:pPr>
              <w:pStyle w:val="Tabulka"/>
              <w:jc w:val="left"/>
              <w:rPr>
                <w:rFonts w:cs="Calibri"/>
              </w:rPr>
            </w:pPr>
            <w:r w:rsidRPr="00DD47DF">
              <w:rPr>
                <w:rFonts w:cs="Calibri"/>
              </w:rPr>
              <w:t>Konfederace zaměstnavatelských a podnikatelských svazů</w:t>
            </w:r>
          </w:p>
        </w:tc>
        <w:tc>
          <w:tcPr>
            <w:tcW w:w="2609" w:type="pct"/>
            <w:shd w:val="clear" w:color="auto" w:fill="auto"/>
            <w:vAlign w:val="center"/>
          </w:tcPr>
          <w:p w14:paraId="66F0F158" w14:textId="77777777" w:rsidR="00400DD1" w:rsidRPr="00DD47DF" w:rsidRDefault="00AF6FE3" w:rsidP="00F23CDB">
            <w:pPr>
              <w:pStyle w:val="Tabulka"/>
              <w:jc w:val="left"/>
              <w:rPr>
                <w:rFonts w:cs="Calibri"/>
              </w:rPr>
            </w:pPr>
            <w:hyperlink r:id="rId212" w:history="1">
              <w:r w:rsidR="00400DD1" w:rsidRPr="00DD47DF">
                <w:rPr>
                  <w:rStyle w:val="Hypertextovodkaz"/>
                  <w:rFonts w:cs="Calibri"/>
                  <w:bCs/>
                </w:rPr>
                <w:t>http://www.kzps.cz/</w:t>
              </w:r>
            </w:hyperlink>
          </w:p>
        </w:tc>
      </w:tr>
      <w:tr w:rsidR="00400DD1" w:rsidRPr="00DD47DF" w14:paraId="336D8620" w14:textId="77777777">
        <w:trPr>
          <w:trHeight w:val="414"/>
        </w:trPr>
        <w:tc>
          <w:tcPr>
            <w:tcW w:w="2391" w:type="pct"/>
            <w:shd w:val="clear" w:color="auto" w:fill="auto"/>
            <w:vAlign w:val="center"/>
          </w:tcPr>
          <w:p w14:paraId="58A36BBF" w14:textId="77777777" w:rsidR="00400DD1" w:rsidRPr="00DD47DF" w:rsidRDefault="00400DD1" w:rsidP="00F23CDB">
            <w:pPr>
              <w:pStyle w:val="Tabulka"/>
              <w:jc w:val="left"/>
              <w:rPr>
                <w:rFonts w:cs="Calibri"/>
              </w:rPr>
            </w:pPr>
            <w:r w:rsidRPr="00DD47DF">
              <w:rPr>
                <w:rFonts w:cs="Calibri"/>
              </w:rPr>
              <w:t>Česká konference rektorů</w:t>
            </w:r>
          </w:p>
        </w:tc>
        <w:tc>
          <w:tcPr>
            <w:tcW w:w="2609" w:type="pct"/>
            <w:shd w:val="clear" w:color="auto" w:fill="auto"/>
            <w:vAlign w:val="center"/>
          </w:tcPr>
          <w:p w14:paraId="106951A3" w14:textId="77777777" w:rsidR="00400DD1" w:rsidRPr="00DD47DF" w:rsidRDefault="00AF6FE3" w:rsidP="00F23CDB">
            <w:pPr>
              <w:pStyle w:val="Tabulka"/>
              <w:jc w:val="left"/>
              <w:rPr>
                <w:rFonts w:cs="Calibri"/>
              </w:rPr>
            </w:pPr>
            <w:hyperlink r:id="rId213" w:history="1">
              <w:r w:rsidR="00400DD1" w:rsidRPr="00DD47DF">
                <w:rPr>
                  <w:rStyle w:val="Hypertextovodkaz"/>
                  <w:rFonts w:cs="Calibri"/>
                  <w:bCs/>
                </w:rPr>
                <w:t>http://crc.muni.cz/</w:t>
              </w:r>
            </w:hyperlink>
            <w:r w:rsidR="00400DD1" w:rsidRPr="00DD47DF">
              <w:rPr>
                <w:rFonts w:cs="Calibri"/>
              </w:rPr>
              <w:t xml:space="preserve"> </w:t>
            </w:r>
          </w:p>
        </w:tc>
      </w:tr>
      <w:tr w:rsidR="00400DD1" w:rsidRPr="00DD47DF" w14:paraId="35CAA394" w14:textId="77777777">
        <w:trPr>
          <w:trHeight w:val="414"/>
        </w:trPr>
        <w:tc>
          <w:tcPr>
            <w:tcW w:w="2391" w:type="pct"/>
            <w:shd w:val="clear" w:color="auto" w:fill="auto"/>
            <w:vAlign w:val="center"/>
          </w:tcPr>
          <w:p w14:paraId="0BBF3E0A" w14:textId="77777777" w:rsidR="00400DD1" w:rsidRPr="00DD47DF" w:rsidRDefault="00400DD1" w:rsidP="00F23CDB">
            <w:pPr>
              <w:pStyle w:val="Tabulka"/>
              <w:jc w:val="left"/>
              <w:rPr>
                <w:rFonts w:cs="Calibri"/>
              </w:rPr>
            </w:pPr>
            <w:r w:rsidRPr="00DD47DF">
              <w:rPr>
                <w:rFonts w:cs="Calibri"/>
              </w:rPr>
              <w:t>Univerzita Tomáše Bati</w:t>
            </w:r>
          </w:p>
        </w:tc>
        <w:tc>
          <w:tcPr>
            <w:tcW w:w="2609" w:type="pct"/>
            <w:shd w:val="clear" w:color="auto" w:fill="auto"/>
            <w:vAlign w:val="center"/>
          </w:tcPr>
          <w:p w14:paraId="42BBB2E4" w14:textId="77777777" w:rsidR="00400DD1" w:rsidRPr="00DD47DF" w:rsidRDefault="00AF6FE3" w:rsidP="00F23CDB">
            <w:pPr>
              <w:pStyle w:val="Tabulka"/>
              <w:jc w:val="left"/>
              <w:rPr>
                <w:rFonts w:cs="Calibri"/>
              </w:rPr>
            </w:pPr>
            <w:hyperlink r:id="rId214" w:history="1">
              <w:r w:rsidR="00400DD1" w:rsidRPr="00DD47DF">
                <w:rPr>
                  <w:rStyle w:val="Hypertextovodkaz"/>
                  <w:rFonts w:cs="Calibri"/>
                  <w:bCs/>
                </w:rPr>
                <w:t>http://www.utb.cz/</w:t>
              </w:r>
            </w:hyperlink>
            <w:r w:rsidR="00400DD1" w:rsidRPr="00DD47DF">
              <w:rPr>
                <w:rFonts w:cs="Calibri"/>
              </w:rPr>
              <w:t xml:space="preserve"> </w:t>
            </w:r>
          </w:p>
        </w:tc>
      </w:tr>
      <w:tr w:rsidR="00400DD1" w:rsidRPr="00DD47DF" w14:paraId="4E6ADEEE" w14:textId="77777777">
        <w:trPr>
          <w:trHeight w:val="414"/>
        </w:trPr>
        <w:tc>
          <w:tcPr>
            <w:tcW w:w="2391" w:type="pct"/>
            <w:shd w:val="clear" w:color="auto" w:fill="auto"/>
            <w:vAlign w:val="center"/>
          </w:tcPr>
          <w:p w14:paraId="39F23AEF" w14:textId="77777777" w:rsidR="00400DD1" w:rsidRPr="00DD47DF" w:rsidRDefault="00400DD1" w:rsidP="00F23CDB">
            <w:pPr>
              <w:pStyle w:val="Tabulka"/>
              <w:jc w:val="left"/>
              <w:rPr>
                <w:rFonts w:cs="Calibri"/>
              </w:rPr>
            </w:pPr>
            <w:r w:rsidRPr="00DD47DF">
              <w:rPr>
                <w:rFonts w:cs="Calibri"/>
              </w:rPr>
              <w:t>Národní síť Místních akčních skupin České republiky, o.s.</w:t>
            </w:r>
          </w:p>
        </w:tc>
        <w:tc>
          <w:tcPr>
            <w:tcW w:w="2609" w:type="pct"/>
            <w:shd w:val="clear" w:color="auto" w:fill="auto"/>
            <w:vAlign w:val="center"/>
          </w:tcPr>
          <w:p w14:paraId="1CCBB852" w14:textId="77777777" w:rsidR="00400DD1" w:rsidRPr="00DD47DF" w:rsidRDefault="00AF6FE3" w:rsidP="00F23CDB">
            <w:pPr>
              <w:pStyle w:val="Tabulka"/>
              <w:jc w:val="left"/>
              <w:rPr>
                <w:rFonts w:cs="Calibri"/>
              </w:rPr>
            </w:pPr>
            <w:hyperlink r:id="rId215" w:history="1">
              <w:r w:rsidR="00400DD1" w:rsidRPr="00DD47DF">
                <w:rPr>
                  <w:rStyle w:val="Hypertextovodkaz"/>
                  <w:rFonts w:cs="Calibri"/>
                  <w:bCs/>
                </w:rPr>
                <w:t>http://nsmascr.cz/o-nas/mistni-akncni-skupiny/</w:t>
              </w:r>
            </w:hyperlink>
          </w:p>
        </w:tc>
      </w:tr>
      <w:tr w:rsidR="00400DD1" w:rsidRPr="00DD47DF" w14:paraId="7560F03B" w14:textId="77777777">
        <w:trPr>
          <w:trHeight w:val="414"/>
        </w:trPr>
        <w:tc>
          <w:tcPr>
            <w:tcW w:w="2391" w:type="pct"/>
            <w:shd w:val="clear" w:color="auto" w:fill="auto"/>
            <w:vAlign w:val="center"/>
          </w:tcPr>
          <w:p w14:paraId="74F732B0" w14:textId="77777777" w:rsidR="00400DD1" w:rsidRPr="00DD47DF" w:rsidRDefault="00400DD1" w:rsidP="00F23CDB">
            <w:pPr>
              <w:pStyle w:val="Tabulka"/>
              <w:jc w:val="left"/>
              <w:rPr>
                <w:rFonts w:cs="Calibri"/>
              </w:rPr>
            </w:pPr>
            <w:r w:rsidRPr="00DD47DF">
              <w:rPr>
                <w:rFonts w:cs="Calibri"/>
              </w:rPr>
              <w:t>Hlavní město Praha</w:t>
            </w:r>
          </w:p>
        </w:tc>
        <w:tc>
          <w:tcPr>
            <w:tcW w:w="2609" w:type="pct"/>
            <w:shd w:val="clear" w:color="auto" w:fill="auto"/>
            <w:vAlign w:val="center"/>
          </w:tcPr>
          <w:p w14:paraId="4A608F29" w14:textId="77777777" w:rsidR="00400DD1" w:rsidRPr="00DD47DF" w:rsidRDefault="00AF6FE3" w:rsidP="00F23CDB">
            <w:pPr>
              <w:pStyle w:val="Tabulka"/>
              <w:jc w:val="left"/>
              <w:rPr>
                <w:rFonts w:cs="Calibri"/>
              </w:rPr>
            </w:pPr>
            <w:hyperlink r:id="rId216" w:history="1">
              <w:r w:rsidR="00400DD1" w:rsidRPr="00DD47DF">
                <w:rPr>
                  <w:rStyle w:val="Hypertextovodkaz"/>
                  <w:rFonts w:cs="Calibri"/>
                  <w:bCs/>
                </w:rPr>
                <w:t>http://www.praha.eu/jnp/cz/home/index.html</w:t>
              </w:r>
            </w:hyperlink>
          </w:p>
        </w:tc>
      </w:tr>
      <w:tr w:rsidR="00400DD1" w:rsidRPr="00DD47DF" w14:paraId="29F04FF6" w14:textId="77777777">
        <w:trPr>
          <w:trHeight w:val="414"/>
        </w:trPr>
        <w:tc>
          <w:tcPr>
            <w:tcW w:w="2391" w:type="pct"/>
            <w:shd w:val="clear" w:color="auto" w:fill="auto"/>
            <w:vAlign w:val="center"/>
          </w:tcPr>
          <w:p w14:paraId="22ED0D8F" w14:textId="77777777" w:rsidR="00400DD1" w:rsidRPr="00DD47DF" w:rsidRDefault="00400DD1" w:rsidP="00F23CDB">
            <w:pPr>
              <w:pStyle w:val="Tabulka"/>
              <w:jc w:val="left"/>
              <w:rPr>
                <w:rFonts w:cs="Calibri"/>
              </w:rPr>
            </w:pPr>
            <w:r w:rsidRPr="00DD47DF">
              <w:rPr>
                <w:rFonts w:cs="Calibri"/>
              </w:rPr>
              <w:t>RNDr. Marek Blažka</w:t>
            </w:r>
          </w:p>
        </w:tc>
        <w:tc>
          <w:tcPr>
            <w:tcW w:w="2609" w:type="pct"/>
            <w:shd w:val="clear" w:color="auto" w:fill="auto"/>
            <w:vAlign w:val="center"/>
          </w:tcPr>
          <w:p w14:paraId="7B2DDFD1" w14:textId="77777777" w:rsidR="00400DD1" w:rsidRPr="00DD47DF" w:rsidRDefault="00400DD1" w:rsidP="00F23CDB">
            <w:pPr>
              <w:pStyle w:val="Tabulka"/>
              <w:jc w:val="left"/>
              <w:rPr>
                <w:rFonts w:cs="Calibri"/>
              </w:rPr>
            </w:pPr>
          </w:p>
        </w:tc>
      </w:tr>
    </w:tbl>
    <w:p w14:paraId="03384DBD" w14:textId="77777777" w:rsidR="00400DD1" w:rsidRPr="00DD47DF" w:rsidRDefault="00400DD1" w:rsidP="00400DD1">
      <w:pPr>
        <w:pStyle w:val="Standardn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912"/>
      </w:tblGrid>
      <w:tr w:rsidR="00400DD1" w:rsidRPr="00DD47DF" w14:paraId="198EE30A" w14:textId="77777777">
        <w:trPr>
          <w:trHeight w:val="414"/>
        </w:trPr>
        <w:tc>
          <w:tcPr>
            <w:tcW w:w="5000" w:type="pct"/>
            <w:gridSpan w:val="2"/>
            <w:shd w:val="clear" w:color="auto" w:fill="DBE5F1"/>
            <w:vAlign w:val="center"/>
          </w:tcPr>
          <w:p w14:paraId="220AF612" w14:textId="77777777" w:rsidR="00400DD1" w:rsidRPr="00DD47DF" w:rsidRDefault="005F4918" w:rsidP="004126CC">
            <w:pPr>
              <w:pStyle w:val="Tabulka"/>
              <w:keepNext/>
              <w:keepLines/>
              <w:rPr>
                <w:rFonts w:cs="Calibri"/>
                <w:b/>
              </w:rPr>
            </w:pPr>
            <w:r w:rsidRPr="00DD47DF">
              <w:rPr>
                <w:rFonts w:cs="Calibri"/>
                <w:b/>
              </w:rPr>
              <w:t xml:space="preserve">PS </w:t>
            </w:r>
            <w:r w:rsidR="00400DD1" w:rsidRPr="00DD47DF">
              <w:rPr>
                <w:rFonts w:cs="Calibri"/>
                <w:b/>
              </w:rPr>
              <w:t>2 „</w:t>
            </w:r>
            <w:r w:rsidR="005821F5" w:rsidRPr="00DD47DF">
              <w:rPr>
                <w:rFonts w:cs="Calibri"/>
                <w:b/>
              </w:rPr>
              <w:t>Rozvoj podnikání a konkurenceschopnosti malých a středních podniků</w:t>
            </w:r>
            <w:r w:rsidR="00400DD1" w:rsidRPr="00DD47DF">
              <w:rPr>
                <w:rFonts w:cs="Calibri"/>
                <w:b/>
              </w:rPr>
              <w:t>“</w:t>
            </w:r>
          </w:p>
        </w:tc>
      </w:tr>
      <w:tr w:rsidR="00400DD1" w:rsidRPr="00DD47DF" w14:paraId="3240E00F" w14:textId="77777777">
        <w:trPr>
          <w:trHeight w:val="414"/>
        </w:trPr>
        <w:tc>
          <w:tcPr>
            <w:tcW w:w="2395" w:type="pct"/>
            <w:shd w:val="clear" w:color="auto" w:fill="auto"/>
            <w:vAlign w:val="center"/>
          </w:tcPr>
          <w:p w14:paraId="19A8C097" w14:textId="77777777" w:rsidR="00400DD1" w:rsidRPr="00DD47DF" w:rsidRDefault="00400DD1" w:rsidP="004126CC">
            <w:pPr>
              <w:pStyle w:val="Tabulka"/>
              <w:keepNext/>
              <w:keepLines/>
              <w:jc w:val="left"/>
              <w:rPr>
                <w:rFonts w:cs="Calibri"/>
              </w:rPr>
            </w:pPr>
            <w:r w:rsidRPr="00DD47DF">
              <w:rPr>
                <w:rFonts w:cs="Calibri"/>
              </w:rPr>
              <w:t>Ministerstvo školství, mládeže a tělovýchovy</w:t>
            </w:r>
          </w:p>
        </w:tc>
        <w:tc>
          <w:tcPr>
            <w:tcW w:w="2605" w:type="pct"/>
            <w:shd w:val="clear" w:color="auto" w:fill="auto"/>
            <w:vAlign w:val="center"/>
          </w:tcPr>
          <w:p w14:paraId="79F11F0B" w14:textId="77777777" w:rsidR="00400DD1" w:rsidRPr="00DD47DF" w:rsidRDefault="00AF6FE3" w:rsidP="004126CC">
            <w:pPr>
              <w:pStyle w:val="Tabulka"/>
              <w:keepNext/>
              <w:keepLines/>
              <w:jc w:val="left"/>
              <w:rPr>
                <w:rFonts w:cs="Calibri"/>
              </w:rPr>
            </w:pPr>
            <w:hyperlink r:id="rId217" w:history="1">
              <w:r w:rsidR="00400DD1" w:rsidRPr="00DD47DF">
                <w:rPr>
                  <w:rStyle w:val="Hypertextovodkaz"/>
                  <w:rFonts w:cs="Calibri"/>
                  <w:bCs/>
                </w:rPr>
                <w:t>http://www.msmt.cz/</w:t>
              </w:r>
            </w:hyperlink>
          </w:p>
        </w:tc>
      </w:tr>
      <w:tr w:rsidR="00400DD1" w:rsidRPr="00DD47DF" w14:paraId="7C92D2BF" w14:textId="77777777">
        <w:trPr>
          <w:trHeight w:val="414"/>
        </w:trPr>
        <w:tc>
          <w:tcPr>
            <w:tcW w:w="2395" w:type="pct"/>
            <w:shd w:val="clear" w:color="auto" w:fill="auto"/>
            <w:vAlign w:val="center"/>
          </w:tcPr>
          <w:p w14:paraId="7DE06B0C" w14:textId="77777777" w:rsidR="00400DD1" w:rsidRPr="00DD47DF" w:rsidRDefault="000E47D9" w:rsidP="00F23CDB">
            <w:pPr>
              <w:pStyle w:val="Tabulka"/>
              <w:jc w:val="left"/>
              <w:rPr>
                <w:rFonts w:cs="Calibri"/>
              </w:rPr>
            </w:pPr>
            <w:r w:rsidRPr="00DD47DF">
              <w:rPr>
                <w:rFonts w:cs="Calibri"/>
              </w:rPr>
              <w:t>Ministerstvo kultury</w:t>
            </w:r>
          </w:p>
        </w:tc>
        <w:tc>
          <w:tcPr>
            <w:tcW w:w="2605" w:type="pct"/>
            <w:shd w:val="clear" w:color="auto" w:fill="auto"/>
            <w:vAlign w:val="center"/>
          </w:tcPr>
          <w:p w14:paraId="2577B621" w14:textId="77777777" w:rsidR="00400DD1" w:rsidRPr="00DD47DF" w:rsidRDefault="00AF6FE3" w:rsidP="00F23CDB">
            <w:pPr>
              <w:pStyle w:val="Tabulka"/>
              <w:jc w:val="left"/>
              <w:rPr>
                <w:rFonts w:cs="Calibri"/>
              </w:rPr>
            </w:pPr>
            <w:hyperlink r:id="rId218" w:history="1">
              <w:r w:rsidR="00400DD1" w:rsidRPr="00DD47DF">
                <w:rPr>
                  <w:rStyle w:val="Hypertextovodkaz"/>
                  <w:rFonts w:cs="Calibri"/>
                  <w:bCs/>
                </w:rPr>
                <w:t>http://www.mkcr.cz/</w:t>
              </w:r>
            </w:hyperlink>
            <w:r w:rsidR="00400DD1" w:rsidRPr="00DD47DF">
              <w:rPr>
                <w:rFonts w:cs="Calibri"/>
              </w:rPr>
              <w:t xml:space="preserve"> </w:t>
            </w:r>
          </w:p>
        </w:tc>
      </w:tr>
      <w:tr w:rsidR="00400DD1" w:rsidRPr="00DD47DF" w14:paraId="3DAAAE08" w14:textId="77777777">
        <w:trPr>
          <w:trHeight w:val="414"/>
        </w:trPr>
        <w:tc>
          <w:tcPr>
            <w:tcW w:w="2395" w:type="pct"/>
            <w:shd w:val="clear" w:color="auto" w:fill="auto"/>
            <w:vAlign w:val="center"/>
          </w:tcPr>
          <w:p w14:paraId="27ABE386" w14:textId="77777777" w:rsidR="00400DD1" w:rsidRPr="00DD47DF" w:rsidRDefault="00400DD1" w:rsidP="00F23CDB">
            <w:pPr>
              <w:pStyle w:val="Tabulka"/>
              <w:jc w:val="left"/>
              <w:rPr>
                <w:rFonts w:cs="Calibri"/>
              </w:rPr>
            </w:pPr>
            <w:r w:rsidRPr="00DD47DF">
              <w:rPr>
                <w:rFonts w:cs="Calibri"/>
              </w:rPr>
              <w:t>Ministe</w:t>
            </w:r>
            <w:r w:rsidR="000E47D9" w:rsidRPr="00DD47DF">
              <w:rPr>
                <w:rFonts w:cs="Calibri"/>
              </w:rPr>
              <w:t>rstvo práce a sociálních věcí</w:t>
            </w:r>
          </w:p>
        </w:tc>
        <w:tc>
          <w:tcPr>
            <w:tcW w:w="2605" w:type="pct"/>
            <w:shd w:val="clear" w:color="auto" w:fill="auto"/>
            <w:vAlign w:val="center"/>
          </w:tcPr>
          <w:p w14:paraId="08444228" w14:textId="77777777" w:rsidR="00400DD1" w:rsidRPr="00DD47DF" w:rsidRDefault="00AF6FE3" w:rsidP="00F23CDB">
            <w:pPr>
              <w:pStyle w:val="Tabulka"/>
              <w:jc w:val="left"/>
              <w:rPr>
                <w:rFonts w:cs="Calibri"/>
              </w:rPr>
            </w:pPr>
            <w:hyperlink r:id="rId219" w:history="1">
              <w:r w:rsidR="00400DD1" w:rsidRPr="00DD47DF">
                <w:rPr>
                  <w:rStyle w:val="Hypertextovodkaz"/>
                  <w:rFonts w:cs="Calibri"/>
                  <w:bCs/>
                </w:rPr>
                <w:t>http://www.mpsv.cz/cs/</w:t>
              </w:r>
            </w:hyperlink>
            <w:r w:rsidR="00400DD1" w:rsidRPr="00DD47DF">
              <w:rPr>
                <w:rFonts w:cs="Calibri"/>
              </w:rPr>
              <w:t xml:space="preserve"> </w:t>
            </w:r>
          </w:p>
        </w:tc>
      </w:tr>
      <w:tr w:rsidR="00400DD1" w:rsidRPr="00DD47DF" w14:paraId="17969D1E" w14:textId="77777777">
        <w:trPr>
          <w:trHeight w:val="414"/>
        </w:trPr>
        <w:tc>
          <w:tcPr>
            <w:tcW w:w="2395" w:type="pct"/>
            <w:shd w:val="clear" w:color="auto" w:fill="auto"/>
            <w:vAlign w:val="center"/>
          </w:tcPr>
          <w:p w14:paraId="57E336E8" w14:textId="77777777" w:rsidR="00400DD1" w:rsidRPr="00DD47DF" w:rsidRDefault="00400DD1" w:rsidP="00F23CDB">
            <w:pPr>
              <w:pStyle w:val="Tabulka"/>
              <w:jc w:val="left"/>
              <w:rPr>
                <w:rFonts w:cs="Calibri"/>
              </w:rPr>
            </w:pPr>
            <w:r w:rsidRPr="00DD47DF">
              <w:rPr>
                <w:rFonts w:cs="Calibri"/>
              </w:rPr>
              <w:lastRenderedPageBreak/>
              <w:t>Ministers</w:t>
            </w:r>
            <w:r w:rsidR="000E47D9" w:rsidRPr="00DD47DF">
              <w:rPr>
                <w:rFonts w:cs="Calibri"/>
              </w:rPr>
              <w:t>tvo dopravy</w:t>
            </w:r>
          </w:p>
        </w:tc>
        <w:tc>
          <w:tcPr>
            <w:tcW w:w="2605" w:type="pct"/>
            <w:shd w:val="clear" w:color="auto" w:fill="auto"/>
            <w:vAlign w:val="center"/>
          </w:tcPr>
          <w:p w14:paraId="42BE3F7E" w14:textId="77777777" w:rsidR="00400DD1" w:rsidRPr="00DD47DF" w:rsidRDefault="00AF6FE3" w:rsidP="00F23CDB">
            <w:pPr>
              <w:pStyle w:val="Tabulka"/>
              <w:jc w:val="left"/>
              <w:rPr>
                <w:rFonts w:cs="Calibri"/>
              </w:rPr>
            </w:pPr>
            <w:hyperlink r:id="rId220" w:history="1">
              <w:r w:rsidR="00400DD1" w:rsidRPr="00DD47DF">
                <w:rPr>
                  <w:rStyle w:val="Hypertextovodkaz"/>
                  <w:rFonts w:cs="Calibri"/>
                  <w:bCs/>
                </w:rPr>
                <w:t>http://www.mdcr.cz/cs/default.htm</w:t>
              </w:r>
            </w:hyperlink>
            <w:r w:rsidR="00400DD1" w:rsidRPr="00DD47DF">
              <w:rPr>
                <w:rFonts w:cs="Calibri"/>
              </w:rPr>
              <w:t xml:space="preserve"> </w:t>
            </w:r>
          </w:p>
        </w:tc>
      </w:tr>
      <w:tr w:rsidR="00400DD1" w:rsidRPr="00DD47DF" w14:paraId="4D79B89C" w14:textId="77777777">
        <w:trPr>
          <w:trHeight w:val="414"/>
        </w:trPr>
        <w:tc>
          <w:tcPr>
            <w:tcW w:w="2395" w:type="pct"/>
            <w:shd w:val="clear" w:color="auto" w:fill="auto"/>
            <w:vAlign w:val="center"/>
          </w:tcPr>
          <w:p w14:paraId="0816414C" w14:textId="77777777" w:rsidR="00400DD1" w:rsidRPr="00DD47DF" w:rsidRDefault="00400DD1" w:rsidP="00F23CDB">
            <w:pPr>
              <w:pStyle w:val="Tabulka"/>
              <w:jc w:val="left"/>
              <w:rPr>
                <w:rFonts w:cs="Calibri"/>
              </w:rPr>
            </w:pPr>
            <w:r w:rsidRPr="00DD47DF">
              <w:rPr>
                <w:rFonts w:cs="Calibri"/>
              </w:rPr>
              <w:t>Jihomoravské inovační centrum</w:t>
            </w:r>
          </w:p>
        </w:tc>
        <w:tc>
          <w:tcPr>
            <w:tcW w:w="2605" w:type="pct"/>
            <w:shd w:val="clear" w:color="auto" w:fill="auto"/>
            <w:vAlign w:val="center"/>
          </w:tcPr>
          <w:p w14:paraId="58D3B954" w14:textId="77777777" w:rsidR="00400DD1" w:rsidRPr="00DD47DF" w:rsidRDefault="00AF6FE3" w:rsidP="00F23CDB">
            <w:pPr>
              <w:pStyle w:val="Tabulka"/>
              <w:jc w:val="left"/>
              <w:rPr>
                <w:rFonts w:cs="Calibri"/>
              </w:rPr>
            </w:pPr>
            <w:hyperlink r:id="rId221" w:history="1">
              <w:r w:rsidR="00400DD1" w:rsidRPr="00DD47DF">
                <w:rPr>
                  <w:rStyle w:val="Hypertextovodkaz"/>
                  <w:rFonts w:cs="Calibri"/>
                  <w:bCs/>
                </w:rPr>
                <w:t>http://www.jic.cz/</w:t>
              </w:r>
            </w:hyperlink>
            <w:r w:rsidR="00400DD1" w:rsidRPr="00DD47DF">
              <w:rPr>
                <w:rFonts w:cs="Calibri"/>
              </w:rPr>
              <w:t xml:space="preserve"> </w:t>
            </w:r>
          </w:p>
        </w:tc>
      </w:tr>
      <w:tr w:rsidR="00400DD1" w:rsidRPr="00DD47DF" w14:paraId="405A127D" w14:textId="77777777">
        <w:trPr>
          <w:trHeight w:val="414"/>
        </w:trPr>
        <w:tc>
          <w:tcPr>
            <w:tcW w:w="2395" w:type="pct"/>
            <w:shd w:val="clear" w:color="auto" w:fill="auto"/>
            <w:vAlign w:val="center"/>
          </w:tcPr>
          <w:p w14:paraId="51AC247E" w14:textId="77777777" w:rsidR="00400DD1" w:rsidRPr="00DD47DF" w:rsidRDefault="00400DD1" w:rsidP="00F23CDB">
            <w:pPr>
              <w:pStyle w:val="Tabulka"/>
              <w:jc w:val="left"/>
              <w:rPr>
                <w:rFonts w:cs="Calibri"/>
              </w:rPr>
            </w:pPr>
            <w:r w:rsidRPr="00DD47DF">
              <w:rPr>
                <w:rFonts w:cs="Calibri"/>
              </w:rPr>
              <w:t>Technologická agentura ČR</w:t>
            </w:r>
          </w:p>
        </w:tc>
        <w:tc>
          <w:tcPr>
            <w:tcW w:w="2605" w:type="pct"/>
            <w:shd w:val="clear" w:color="auto" w:fill="auto"/>
            <w:vAlign w:val="center"/>
          </w:tcPr>
          <w:p w14:paraId="5400DE39" w14:textId="77777777" w:rsidR="00400DD1" w:rsidRPr="00DD47DF" w:rsidRDefault="00AF6FE3" w:rsidP="00F23CDB">
            <w:pPr>
              <w:pStyle w:val="Tabulka"/>
              <w:jc w:val="left"/>
              <w:rPr>
                <w:rFonts w:cs="Calibri"/>
              </w:rPr>
            </w:pPr>
            <w:hyperlink r:id="rId222" w:history="1">
              <w:r w:rsidR="00400DD1" w:rsidRPr="00DD47DF">
                <w:rPr>
                  <w:rStyle w:val="Hypertextovodkaz"/>
                  <w:rFonts w:cs="Calibri"/>
                  <w:bCs/>
                </w:rPr>
                <w:t>http://tacr.cz/</w:t>
              </w:r>
            </w:hyperlink>
          </w:p>
        </w:tc>
      </w:tr>
      <w:tr w:rsidR="00400DD1" w:rsidRPr="00DD47DF" w14:paraId="0F2A05D5" w14:textId="77777777">
        <w:trPr>
          <w:trHeight w:val="414"/>
        </w:trPr>
        <w:tc>
          <w:tcPr>
            <w:tcW w:w="2395" w:type="pct"/>
            <w:shd w:val="clear" w:color="auto" w:fill="auto"/>
            <w:vAlign w:val="center"/>
          </w:tcPr>
          <w:p w14:paraId="5A8420D2" w14:textId="77777777" w:rsidR="00400DD1" w:rsidRPr="00DD47DF" w:rsidRDefault="00400DD1" w:rsidP="00F23CDB">
            <w:pPr>
              <w:pStyle w:val="Tabulka"/>
              <w:jc w:val="left"/>
              <w:rPr>
                <w:rFonts w:cs="Calibri"/>
              </w:rPr>
            </w:pPr>
            <w:r w:rsidRPr="00DD47DF">
              <w:rPr>
                <w:rFonts w:cs="Calibri"/>
              </w:rPr>
              <w:t>Hospodářská komora ČR</w:t>
            </w:r>
          </w:p>
        </w:tc>
        <w:tc>
          <w:tcPr>
            <w:tcW w:w="2605" w:type="pct"/>
            <w:shd w:val="clear" w:color="auto" w:fill="auto"/>
            <w:vAlign w:val="center"/>
          </w:tcPr>
          <w:p w14:paraId="19EC0935" w14:textId="77777777" w:rsidR="00400DD1" w:rsidRPr="00DD47DF" w:rsidRDefault="00AF6FE3" w:rsidP="00F23CDB">
            <w:pPr>
              <w:pStyle w:val="Tabulka"/>
              <w:jc w:val="left"/>
              <w:rPr>
                <w:rFonts w:cs="Calibri"/>
              </w:rPr>
            </w:pPr>
            <w:hyperlink r:id="rId223" w:history="1">
              <w:r w:rsidR="00400DD1" w:rsidRPr="00DD47DF">
                <w:rPr>
                  <w:rStyle w:val="Hypertextovodkaz"/>
                  <w:rFonts w:cs="Calibri"/>
                  <w:bCs/>
                </w:rPr>
                <w:t>http://www.komora.cz/</w:t>
              </w:r>
            </w:hyperlink>
          </w:p>
        </w:tc>
      </w:tr>
      <w:tr w:rsidR="00400DD1" w:rsidRPr="00DD47DF" w14:paraId="1E83604B" w14:textId="77777777">
        <w:trPr>
          <w:trHeight w:val="414"/>
        </w:trPr>
        <w:tc>
          <w:tcPr>
            <w:tcW w:w="2395" w:type="pct"/>
            <w:shd w:val="clear" w:color="auto" w:fill="auto"/>
            <w:vAlign w:val="center"/>
          </w:tcPr>
          <w:p w14:paraId="5A2E6C1B" w14:textId="77777777" w:rsidR="00400DD1" w:rsidRPr="00DD47DF" w:rsidRDefault="00400DD1" w:rsidP="00F23CDB">
            <w:pPr>
              <w:pStyle w:val="Tabulka"/>
              <w:jc w:val="left"/>
              <w:rPr>
                <w:rFonts w:cs="Calibri"/>
              </w:rPr>
            </w:pPr>
            <w:r w:rsidRPr="00DD47DF">
              <w:rPr>
                <w:rFonts w:cs="Calibri"/>
              </w:rPr>
              <w:t>Českomoravská záruční a rozvojová banka</w:t>
            </w:r>
          </w:p>
        </w:tc>
        <w:tc>
          <w:tcPr>
            <w:tcW w:w="2605" w:type="pct"/>
            <w:shd w:val="clear" w:color="auto" w:fill="auto"/>
            <w:vAlign w:val="center"/>
          </w:tcPr>
          <w:p w14:paraId="41F63CB2" w14:textId="77777777" w:rsidR="00400DD1" w:rsidRPr="00DD47DF" w:rsidRDefault="00AF6FE3" w:rsidP="00F23CDB">
            <w:pPr>
              <w:pStyle w:val="Tabulka"/>
              <w:jc w:val="left"/>
              <w:rPr>
                <w:rFonts w:cs="Calibri"/>
              </w:rPr>
            </w:pPr>
            <w:hyperlink r:id="rId224" w:history="1">
              <w:r w:rsidR="00400DD1" w:rsidRPr="00DD47DF">
                <w:rPr>
                  <w:rStyle w:val="Hypertextovodkaz"/>
                  <w:rFonts w:cs="Calibri"/>
                  <w:bCs/>
                </w:rPr>
                <w:t>http://www.cmzrb.cz/</w:t>
              </w:r>
            </w:hyperlink>
            <w:r w:rsidR="00400DD1" w:rsidRPr="00DD47DF">
              <w:rPr>
                <w:rFonts w:cs="Calibri"/>
              </w:rPr>
              <w:t xml:space="preserve"> </w:t>
            </w:r>
          </w:p>
        </w:tc>
      </w:tr>
      <w:tr w:rsidR="00400DD1" w:rsidRPr="00DD47DF" w14:paraId="725F456D" w14:textId="77777777">
        <w:trPr>
          <w:trHeight w:val="414"/>
        </w:trPr>
        <w:tc>
          <w:tcPr>
            <w:tcW w:w="2395" w:type="pct"/>
            <w:shd w:val="clear" w:color="auto" w:fill="auto"/>
            <w:vAlign w:val="center"/>
          </w:tcPr>
          <w:p w14:paraId="3111D8BE" w14:textId="77777777" w:rsidR="00400DD1" w:rsidRPr="00DD47DF" w:rsidRDefault="00400DD1" w:rsidP="00F23CDB">
            <w:pPr>
              <w:pStyle w:val="Tabulka"/>
              <w:jc w:val="left"/>
              <w:rPr>
                <w:rFonts w:cs="Calibri"/>
              </w:rPr>
            </w:pPr>
            <w:r w:rsidRPr="00DD47DF">
              <w:rPr>
                <w:rFonts w:cs="Calibri"/>
              </w:rPr>
              <w:t>Svaz průmyslu a dopravy ČR</w:t>
            </w:r>
          </w:p>
        </w:tc>
        <w:tc>
          <w:tcPr>
            <w:tcW w:w="2605" w:type="pct"/>
            <w:shd w:val="clear" w:color="auto" w:fill="auto"/>
            <w:vAlign w:val="center"/>
          </w:tcPr>
          <w:p w14:paraId="14B4AD0B" w14:textId="77777777" w:rsidR="00400DD1" w:rsidRPr="00DD47DF" w:rsidRDefault="00AF6FE3" w:rsidP="00F23CDB">
            <w:pPr>
              <w:pStyle w:val="Tabulka"/>
              <w:jc w:val="left"/>
              <w:rPr>
                <w:rFonts w:cs="Calibri"/>
              </w:rPr>
            </w:pPr>
            <w:hyperlink r:id="rId225" w:history="1">
              <w:r w:rsidR="00400DD1" w:rsidRPr="00DD47DF">
                <w:rPr>
                  <w:rStyle w:val="Hypertextovodkaz"/>
                  <w:rFonts w:cs="Calibri"/>
                  <w:bCs/>
                </w:rPr>
                <w:t>http://www.spcr.cz/</w:t>
              </w:r>
            </w:hyperlink>
          </w:p>
        </w:tc>
      </w:tr>
      <w:tr w:rsidR="00400DD1" w:rsidRPr="00DD47DF" w14:paraId="79A0E321" w14:textId="77777777">
        <w:trPr>
          <w:trHeight w:val="414"/>
        </w:trPr>
        <w:tc>
          <w:tcPr>
            <w:tcW w:w="2395" w:type="pct"/>
            <w:shd w:val="clear" w:color="auto" w:fill="auto"/>
            <w:vAlign w:val="center"/>
          </w:tcPr>
          <w:p w14:paraId="4BF75CE9" w14:textId="77777777" w:rsidR="00400DD1" w:rsidRPr="00DD47DF" w:rsidRDefault="00400DD1" w:rsidP="00F23CDB">
            <w:pPr>
              <w:pStyle w:val="Tabulka"/>
              <w:jc w:val="left"/>
              <w:rPr>
                <w:rFonts w:cs="Calibri"/>
              </w:rPr>
            </w:pPr>
            <w:r w:rsidRPr="00DD47DF">
              <w:rPr>
                <w:rFonts w:cs="Calibri"/>
              </w:rPr>
              <w:t>Svaz obchodu a cestovního ruchu</w:t>
            </w:r>
          </w:p>
        </w:tc>
        <w:tc>
          <w:tcPr>
            <w:tcW w:w="2605" w:type="pct"/>
            <w:shd w:val="clear" w:color="auto" w:fill="auto"/>
            <w:vAlign w:val="center"/>
          </w:tcPr>
          <w:p w14:paraId="6BB4294A" w14:textId="77777777" w:rsidR="00400DD1" w:rsidRPr="00DD47DF" w:rsidRDefault="00AF6FE3" w:rsidP="00F23CDB">
            <w:pPr>
              <w:pStyle w:val="Tabulka"/>
              <w:jc w:val="left"/>
              <w:rPr>
                <w:rFonts w:cs="Calibri"/>
              </w:rPr>
            </w:pPr>
            <w:hyperlink r:id="rId226" w:history="1">
              <w:r w:rsidR="00400DD1" w:rsidRPr="00DD47DF">
                <w:rPr>
                  <w:rStyle w:val="Hypertextovodkaz"/>
                  <w:rFonts w:cs="Calibri"/>
                  <w:bCs/>
                </w:rPr>
                <w:t>http://www.socr.cz/</w:t>
              </w:r>
            </w:hyperlink>
            <w:r w:rsidR="00400DD1" w:rsidRPr="00DD47DF">
              <w:rPr>
                <w:rFonts w:cs="Calibri"/>
              </w:rPr>
              <w:t xml:space="preserve"> </w:t>
            </w:r>
          </w:p>
        </w:tc>
      </w:tr>
      <w:tr w:rsidR="00400DD1" w:rsidRPr="00DD47DF" w14:paraId="5BB0B829" w14:textId="77777777">
        <w:trPr>
          <w:trHeight w:val="414"/>
        </w:trPr>
        <w:tc>
          <w:tcPr>
            <w:tcW w:w="2395" w:type="pct"/>
            <w:shd w:val="clear" w:color="auto" w:fill="auto"/>
            <w:vAlign w:val="center"/>
          </w:tcPr>
          <w:p w14:paraId="2C3674E2" w14:textId="77777777" w:rsidR="00400DD1" w:rsidRPr="00DD47DF" w:rsidRDefault="00400DD1" w:rsidP="00F23CDB">
            <w:pPr>
              <w:pStyle w:val="Tabulka"/>
              <w:jc w:val="left"/>
              <w:rPr>
                <w:rFonts w:cs="Calibri"/>
              </w:rPr>
            </w:pPr>
            <w:r w:rsidRPr="00DD47DF">
              <w:rPr>
                <w:rFonts w:cs="Calibri"/>
              </w:rPr>
              <w:t>Svaz podnikatelů ve stavebnictví</w:t>
            </w:r>
          </w:p>
        </w:tc>
        <w:tc>
          <w:tcPr>
            <w:tcW w:w="2605" w:type="pct"/>
            <w:shd w:val="clear" w:color="auto" w:fill="auto"/>
            <w:vAlign w:val="center"/>
          </w:tcPr>
          <w:p w14:paraId="402EBA5F" w14:textId="77777777" w:rsidR="00400DD1" w:rsidRPr="00DD47DF" w:rsidRDefault="00AF6FE3" w:rsidP="00F23CDB">
            <w:pPr>
              <w:pStyle w:val="Tabulka"/>
              <w:jc w:val="left"/>
              <w:rPr>
                <w:rFonts w:cs="Calibri"/>
              </w:rPr>
            </w:pPr>
            <w:hyperlink r:id="rId227" w:history="1">
              <w:r w:rsidR="00400DD1" w:rsidRPr="00DD47DF">
                <w:rPr>
                  <w:rStyle w:val="Hypertextovodkaz"/>
                  <w:rFonts w:cs="Calibri"/>
                  <w:bCs/>
                </w:rPr>
                <w:t>http://www.sps.cz/index.ASP</w:t>
              </w:r>
            </w:hyperlink>
            <w:r w:rsidR="00400DD1" w:rsidRPr="00DD47DF">
              <w:rPr>
                <w:rFonts w:cs="Calibri"/>
              </w:rPr>
              <w:t xml:space="preserve"> </w:t>
            </w:r>
          </w:p>
        </w:tc>
      </w:tr>
      <w:tr w:rsidR="00400DD1" w:rsidRPr="00DD47DF" w14:paraId="563AF024" w14:textId="77777777">
        <w:trPr>
          <w:trHeight w:val="414"/>
        </w:trPr>
        <w:tc>
          <w:tcPr>
            <w:tcW w:w="2395" w:type="pct"/>
            <w:shd w:val="clear" w:color="auto" w:fill="auto"/>
            <w:vAlign w:val="center"/>
          </w:tcPr>
          <w:p w14:paraId="2595DB15" w14:textId="77777777" w:rsidR="00400DD1" w:rsidRPr="00DD47DF" w:rsidRDefault="00400DD1" w:rsidP="00F23CDB">
            <w:pPr>
              <w:pStyle w:val="Tabulka"/>
              <w:jc w:val="left"/>
              <w:rPr>
                <w:rFonts w:cs="Calibri"/>
              </w:rPr>
            </w:pPr>
            <w:r w:rsidRPr="00DD47DF">
              <w:rPr>
                <w:rFonts w:cs="Calibri"/>
              </w:rPr>
              <w:t>Svaz českých a moravských výrobních družstev</w:t>
            </w:r>
          </w:p>
        </w:tc>
        <w:tc>
          <w:tcPr>
            <w:tcW w:w="2605" w:type="pct"/>
            <w:shd w:val="clear" w:color="auto" w:fill="auto"/>
            <w:vAlign w:val="center"/>
          </w:tcPr>
          <w:p w14:paraId="01027479" w14:textId="77777777" w:rsidR="00400DD1" w:rsidRPr="00DD47DF" w:rsidRDefault="00AF6FE3" w:rsidP="00F23CDB">
            <w:pPr>
              <w:pStyle w:val="Tabulka"/>
              <w:jc w:val="left"/>
              <w:rPr>
                <w:rFonts w:cs="Calibri"/>
              </w:rPr>
            </w:pPr>
            <w:hyperlink r:id="rId228" w:history="1">
              <w:r w:rsidR="00400DD1" w:rsidRPr="00DD47DF">
                <w:rPr>
                  <w:rStyle w:val="Hypertextovodkaz"/>
                  <w:rFonts w:cs="Calibri"/>
                  <w:bCs/>
                </w:rPr>
                <w:t>http://www.scmvd.cz/</w:t>
              </w:r>
            </w:hyperlink>
            <w:r w:rsidR="00400DD1" w:rsidRPr="00DD47DF">
              <w:rPr>
                <w:rFonts w:cs="Calibri"/>
              </w:rPr>
              <w:t xml:space="preserve"> </w:t>
            </w:r>
          </w:p>
        </w:tc>
      </w:tr>
      <w:tr w:rsidR="00400DD1" w:rsidRPr="00DD47DF" w14:paraId="4B70C5D6" w14:textId="77777777">
        <w:trPr>
          <w:trHeight w:val="414"/>
        </w:trPr>
        <w:tc>
          <w:tcPr>
            <w:tcW w:w="2395" w:type="pct"/>
            <w:shd w:val="clear" w:color="auto" w:fill="auto"/>
            <w:vAlign w:val="center"/>
          </w:tcPr>
          <w:p w14:paraId="2E1B7909" w14:textId="77777777" w:rsidR="00400DD1" w:rsidRPr="00DD47DF" w:rsidRDefault="00400DD1" w:rsidP="00F23CDB">
            <w:pPr>
              <w:pStyle w:val="Tabulka"/>
              <w:jc w:val="left"/>
              <w:rPr>
                <w:rFonts w:cs="Calibri"/>
              </w:rPr>
            </w:pPr>
            <w:r w:rsidRPr="00DD47DF">
              <w:rPr>
                <w:rFonts w:cs="Calibri"/>
              </w:rPr>
              <w:t>Asociace malých a středních podniků</w:t>
            </w:r>
          </w:p>
        </w:tc>
        <w:tc>
          <w:tcPr>
            <w:tcW w:w="2605" w:type="pct"/>
            <w:shd w:val="clear" w:color="auto" w:fill="auto"/>
            <w:vAlign w:val="center"/>
          </w:tcPr>
          <w:p w14:paraId="6EFF190C" w14:textId="77777777" w:rsidR="00400DD1" w:rsidRPr="00DD47DF" w:rsidRDefault="00AF6FE3" w:rsidP="00F23CDB">
            <w:pPr>
              <w:pStyle w:val="Tabulka"/>
              <w:jc w:val="left"/>
              <w:rPr>
                <w:rFonts w:cs="Calibri"/>
              </w:rPr>
            </w:pPr>
            <w:hyperlink r:id="rId229" w:history="1">
              <w:r w:rsidR="00400DD1" w:rsidRPr="00DD47DF">
                <w:rPr>
                  <w:rStyle w:val="Hypertextovodkaz"/>
                  <w:rFonts w:cs="Calibri"/>
                  <w:bCs/>
                </w:rPr>
                <w:t>http://www.amsp.cz/</w:t>
              </w:r>
            </w:hyperlink>
          </w:p>
        </w:tc>
      </w:tr>
      <w:tr w:rsidR="00400DD1" w:rsidRPr="00DD47DF" w14:paraId="5344A247" w14:textId="77777777">
        <w:trPr>
          <w:trHeight w:val="414"/>
        </w:trPr>
        <w:tc>
          <w:tcPr>
            <w:tcW w:w="2395" w:type="pct"/>
            <w:shd w:val="clear" w:color="auto" w:fill="auto"/>
            <w:vAlign w:val="center"/>
          </w:tcPr>
          <w:p w14:paraId="406292E9" w14:textId="77777777" w:rsidR="00400DD1" w:rsidRPr="00DD47DF" w:rsidRDefault="00400DD1" w:rsidP="00F23CDB">
            <w:pPr>
              <w:pStyle w:val="Tabulka"/>
              <w:jc w:val="left"/>
              <w:rPr>
                <w:rFonts w:cs="Calibri"/>
              </w:rPr>
            </w:pPr>
            <w:r w:rsidRPr="00DD47DF">
              <w:rPr>
                <w:rFonts w:cs="Calibri"/>
              </w:rPr>
              <w:t>Asociace inovačního podnikání</w:t>
            </w:r>
          </w:p>
        </w:tc>
        <w:tc>
          <w:tcPr>
            <w:tcW w:w="2605" w:type="pct"/>
            <w:shd w:val="clear" w:color="auto" w:fill="auto"/>
            <w:vAlign w:val="center"/>
          </w:tcPr>
          <w:p w14:paraId="20AACB44" w14:textId="77777777" w:rsidR="00400DD1" w:rsidRPr="00DD47DF" w:rsidRDefault="00AF6FE3" w:rsidP="00F23CDB">
            <w:pPr>
              <w:pStyle w:val="Tabulka"/>
              <w:jc w:val="left"/>
              <w:rPr>
                <w:rFonts w:cs="Calibri"/>
              </w:rPr>
            </w:pPr>
            <w:hyperlink r:id="rId230" w:history="1">
              <w:r w:rsidR="00400DD1" w:rsidRPr="00DD47DF">
                <w:rPr>
                  <w:rStyle w:val="Hypertextovodkaz"/>
                  <w:rFonts w:cs="Calibri"/>
                  <w:bCs/>
                </w:rPr>
                <w:t>http://www.aipcr.cz/</w:t>
              </w:r>
            </w:hyperlink>
            <w:r w:rsidR="00400DD1" w:rsidRPr="00DD47DF">
              <w:rPr>
                <w:rFonts w:cs="Calibri"/>
              </w:rPr>
              <w:t xml:space="preserve"> </w:t>
            </w:r>
          </w:p>
        </w:tc>
      </w:tr>
      <w:tr w:rsidR="00400DD1" w:rsidRPr="00DD47DF" w14:paraId="15569911" w14:textId="77777777">
        <w:trPr>
          <w:trHeight w:val="414"/>
        </w:trPr>
        <w:tc>
          <w:tcPr>
            <w:tcW w:w="2395" w:type="pct"/>
            <w:shd w:val="clear" w:color="auto" w:fill="auto"/>
            <w:vAlign w:val="center"/>
          </w:tcPr>
          <w:p w14:paraId="0B126EF0" w14:textId="77777777" w:rsidR="00400DD1" w:rsidRPr="00DD47DF" w:rsidRDefault="00400DD1" w:rsidP="00F23CDB">
            <w:pPr>
              <w:pStyle w:val="Tabulka"/>
              <w:jc w:val="left"/>
              <w:rPr>
                <w:rFonts w:cs="Calibri"/>
              </w:rPr>
            </w:pPr>
            <w:r w:rsidRPr="00DD47DF">
              <w:rPr>
                <w:rFonts w:cs="Calibri"/>
              </w:rPr>
              <w:t>Nestátní neziskové organizace</w:t>
            </w:r>
          </w:p>
        </w:tc>
        <w:tc>
          <w:tcPr>
            <w:tcW w:w="2605" w:type="pct"/>
            <w:shd w:val="clear" w:color="auto" w:fill="auto"/>
            <w:vAlign w:val="center"/>
          </w:tcPr>
          <w:p w14:paraId="5D36AB4D" w14:textId="77777777" w:rsidR="00400DD1" w:rsidRPr="00DD47DF" w:rsidRDefault="00AF6FE3" w:rsidP="00F23CDB">
            <w:pPr>
              <w:pStyle w:val="Tabulka"/>
              <w:jc w:val="left"/>
              <w:rPr>
                <w:rFonts w:cs="Calibri"/>
              </w:rPr>
            </w:pPr>
            <w:hyperlink r:id="rId231" w:history="1">
              <w:r w:rsidR="00400DD1" w:rsidRPr="00DD47DF">
                <w:rPr>
                  <w:rStyle w:val="Hypertextovodkaz"/>
                  <w:rFonts w:cs="Calibri"/>
                  <w:bCs/>
                </w:rPr>
                <w:t>http://www.asociacenno.cz/</w:t>
              </w:r>
            </w:hyperlink>
          </w:p>
        </w:tc>
      </w:tr>
      <w:tr w:rsidR="00400DD1" w:rsidRPr="00DD47DF" w14:paraId="3C0955E3" w14:textId="77777777">
        <w:trPr>
          <w:trHeight w:val="414"/>
        </w:trPr>
        <w:tc>
          <w:tcPr>
            <w:tcW w:w="2395" w:type="pct"/>
            <w:shd w:val="clear" w:color="auto" w:fill="auto"/>
            <w:vAlign w:val="center"/>
          </w:tcPr>
          <w:p w14:paraId="363AF0D3" w14:textId="77777777" w:rsidR="00400DD1" w:rsidRPr="00DD47DF" w:rsidRDefault="00400DD1" w:rsidP="00F23CDB">
            <w:pPr>
              <w:pStyle w:val="Tabulka"/>
              <w:jc w:val="left"/>
              <w:rPr>
                <w:rFonts w:cs="Calibri"/>
              </w:rPr>
            </w:pPr>
            <w:r w:rsidRPr="00DD47DF">
              <w:rPr>
                <w:rFonts w:cs="Calibri"/>
              </w:rPr>
              <w:t>Národní síť Místních akčních skupin České republiky, o.s.</w:t>
            </w:r>
          </w:p>
        </w:tc>
        <w:tc>
          <w:tcPr>
            <w:tcW w:w="2605" w:type="pct"/>
            <w:shd w:val="clear" w:color="auto" w:fill="auto"/>
            <w:vAlign w:val="center"/>
          </w:tcPr>
          <w:p w14:paraId="0E35ABB7" w14:textId="77777777" w:rsidR="00400DD1" w:rsidRPr="00DD47DF" w:rsidRDefault="00AF6FE3" w:rsidP="00F23CDB">
            <w:pPr>
              <w:pStyle w:val="Tabulka"/>
              <w:jc w:val="left"/>
              <w:rPr>
                <w:rFonts w:cs="Calibri"/>
              </w:rPr>
            </w:pPr>
            <w:hyperlink r:id="rId232" w:history="1">
              <w:r w:rsidR="00400DD1" w:rsidRPr="00DD47DF">
                <w:rPr>
                  <w:rStyle w:val="Hypertextovodkaz"/>
                  <w:rFonts w:cs="Calibri"/>
                  <w:bCs/>
                </w:rPr>
                <w:t>http://nsmascr.cz/o-nas/mistni-akncni-skupiny/</w:t>
              </w:r>
            </w:hyperlink>
          </w:p>
        </w:tc>
      </w:tr>
      <w:tr w:rsidR="00400DD1" w:rsidRPr="00DD47DF" w14:paraId="0CB1BC6F" w14:textId="77777777">
        <w:trPr>
          <w:trHeight w:val="414"/>
        </w:trPr>
        <w:tc>
          <w:tcPr>
            <w:tcW w:w="2395" w:type="pct"/>
            <w:shd w:val="clear" w:color="auto" w:fill="auto"/>
            <w:vAlign w:val="center"/>
          </w:tcPr>
          <w:p w14:paraId="4D30A71A" w14:textId="77777777" w:rsidR="00400DD1" w:rsidRPr="00DD47DF" w:rsidRDefault="00400DD1" w:rsidP="00F23CDB">
            <w:pPr>
              <w:pStyle w:val="Tabulka"/>
              <w:jc w:val="left"/>
              <w:rPr>
                <w:rFonts w:cs="Calibri"/>
              </w:rPr>
            </w:pPr>
            <w:r w:rsidRPr="00DD47DF">
              <w:rPr>
                <w:rFonts w:cs="Calibri"/>
              </w:rPr>
              <w:t>Fórum průmyslu a vysokých škol</w:t>
            </w:r>
          </w:p>
        </w:tc>
        <w:tc>
          <w:tcPr>
            <w:tcW w:w="2605" w:type="pct"/>
            <w:shd w:val="clear" w:color="auto" w:fill="auto"/>
            <w:vAlign w:val="center"/>
          </w:tcPr>
          <w:p w14:paraId="5E876EC7" w14:textId="77777777" w:rsidR="00400DD1" w:rsidRPr="00DD47DF" w:rsidRDefault="00AF6FE3" w:rsidP="00F23CDB">
            <w:pPr>
              <w:pStyle w:val="Tabulka"/>
              <w:jc w:val="left"/>
              <w:rPr>
                <w:rFonts w:cs="Calibri"/>
              </w:rPr>
            </w:pPr>
            <w:hyperlink r:id="rId233" w:history="1">
              <w:r w:rsidR="00400DD1" w:rsidRPr="00DD47DF">
                <w:rPr>
                  <w:rStyle w:val="Hypertextovodkaz"/>
                  <w:rFonts w:cs="Calibri"/>
                  <w:bCs/>
                </w:rPr>
                <w:t>http://fpvs.cz/</w:t>
              </w:r>
            </w:hyperlink>
            <w:r w:rsidR="00400DD1" w:rsidRPr="00DD47DF">
              <w:rPr>
                <w:rFonts w:cs="Calibri"/>
              </w:rPr>
              <w:t xml:space="preserve"> </w:t>
            </w:r>
          </w:p>
        </w:tc>
      </w:tr>
      <w:tr w:rsidR="00400DD1" w:rsidRPr="00DD47DF" w14:paraId="1BF7ED70" w14:textId="77777777">
        <w:trPr>
          <w:trHeight w:val="414"/>
        </w:trPr>
        <w:tc>
          <w:tcPr>
            <w:tcW w:w="2395" w:type="pct"/>
            <w:shd w:val="clear" w:color="auto" w:fill="auto"/>
            <w:vAlign w:val="center"/>
          </w:tcPr>
          <w:p w14:paraId="1996B6A2" w14:textId="77777777" w:rsidR="00400DD1" w:rsidRPr="00DD47DF" w:rsidRDefault="00400DD1" w:rsidP="00F23CDB">
            <w:pPr>
              <w:pStyle w:val="Tabulka"/>
              <w:jc w:val="left"/>
              <w:rPr>
                <w:rFonts w:cs="Calibri"/>
              </w:rPr>
            </w:pPr>
            <w:r w:rsidRPr="00DD47DF">
              <w:rPr>
                <w:rFonts w:cs="Calibri"/>
              </w:rPr>
              <w:t>Hlavní město Praha</w:t>
            </w:r>
          </w:p>
        </w:tc>
        <w:tc>
          <w:tcPr>
            <w:tcW w:w="2605" w:type="pct"/>
            <w:shd w:val="clear" w:color="auto" w:fill="auto"/>
            <w:vAlign w:val="center"/>
          </w:tcPr>
          <w:p w14:paraId="45E92331" w14:textId="77777777" w:rsidR="00400DD1" w:rsidRPr="00DD47DF" w:rsidRDefault="00AF6FE3" w:rsidP="00F23CDB">
            <w:pPr>
              <w:pStyle w:val="Tabulka"/>
              <w:jc w:val="left"/>
              <w:rPr>
                <w:rFonts w:cs="Calibri"/>
              </w:rPr>
            </w:pPr>
            <w:hyperlink r:id="rId234" w:history="1">
              <w:r w:rsidR="00400DD1" w:rsidRPr="00DD47DF">
                <w:rPr>
                  <w:rStyle w:val="Hypertextovodkaz"/>
                  <w:rFonts w:cs="Calibri"/>
                  <w:bCs/>
                </w:rPr>
                <w:t>http://www.praha.eu/jnp/cz/home/index.html</w:t>
              </w:r>
            </w:hyperlink>
          </w:p>
        </w:tc>
      </w:tr>
      <w:tr w:rsidR="00400DD1" w:rsidRPr="00DD47DF" w14:paraId="5204F3C8" w14:textId="77777777">
        <w:trPr>
          <w:trHeight w:val="414"/>
        </w:trPr>
        <w:tc>
          <w:tcPr>
            <w:tcW w:w="2395" w:type="pct"/>
            <w:shd w:val="clear" w:color="auto" w:fill="auto"/>
            <w:vAlign w:val="center"/>
          </w:tcPr>
          <w:p w14:paraId="115CA4FA" w14:textId="77777777" w:rsidR="00400DD1" w:rsidRPr="00DD47DF" w:rsidRDefault="00400DD1" w:rsidP="00F23CDB">
            <w:pPr>
              <w:pStyle w:val="Tabulka"/>
              <w:jc w:val="left"/>
              <w:rPr>
                <w:rFonts w:cs="Calibri"/>
              </w:rPr>
            </w:pPr>
            <w:r w:rsidRPr="00DD47DF">
              <w:rPr>
                <w:rFonts w:cs="Calibri"/>
              </w:rPr>
              <w:t>Ing. Petr Zahradník, MSc.</w:t>
            </w:r>
          </w:p>
        </w:tc>
        <w:tc>
          <w:tcPr>
            <w:tcW w:w="2605" w:type="pct"/>
            <w:shd w:val="clear" w:color="auto" w:fill="auto"/>
            <w:vAlign w:val="center"/>
          </w:tcPr>
          <w:p w14:paraId="2A31C2A5" w14:textId="77777777" w:rsidR="00400DD1" w:rsidRPr="00DD47DF" w:rsidRDefault="00400DD1" w:rsidP="00F23CDB">
            <w:pPr>
              <w:pStyle w:val="Tabulka"/>
              <w:jc w:val="left"/>
              <w:rPr>
                <w:rFonts w:cs="Calibri"/>
              </w:rPr>
            </w:pPr>
          </w:p>
        </w:tc>
      </w:tr>
    </w:tbl>
    <w:p w14:paraId="23091035" w14:textId="77777777" w:rsidR="00400DD1" w:rsidRPr="00DD47DF" w:rsidRDefault="00400DD1" w:rsidP="00400DD1">
      <w:pPr>
        <w:pStyle w:val="Standardn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925"/>
      </w:tblGrid>
      <w:tr w:rsidR="00400DD1" w:rsidRPr="00DD47DF" w14:paraId="26720A26" w14:textId="77777777">
        <w:trPr>
          <w:trHeight w:val="414"/>
        </w:trPr>
        <w:tc>
          <w:tcPr>
            <w:tcW w:w="5000" w:type="pct"/>
            <w:gridSpan w:val="2"/>
            <w:shd w:val="clear" w:color="auto" w:fill="DBE5F1"/>
            <w:vAlign w:val="center"/>
          </w:tcPr>
          <w:p w14:paraId="2DBF7ED9" w14:textId="77777777" w:rsidR="00400DD1" w:rsidRPr="00DD47DF" w:rsidRDefault="005F4918" w:rsidP="007D5FD2">
            <w:pPr>
              <w:pStyle w:val="Tabulka"/>
              <w:rPr>
                <w:rFonts w:cs="Calibri"/>
                <w:b/>
              </w:rPr>
            </w:pPr>
            <w:r w:rsidRPr="00DD47DF">
              <w:rPr>
                <w:rFonts w:cs="Calibri"/>
                <w:b/>
              </w:rPr>
              <w:t xml:space="preserve">PS </w:t>
            </w:r>
            <w:r w:rsidR="00400DD1" w:rsidRPr="00DD47DF">
              <w:rPr>
                <w:rFonts w:cs="Calibri"/>
                <w:b/>
              </w:rPr>
              <w:t>3 „</w:t>
            </w:r>
            <w:r w:rsidR="009F593E" w:rsidRPr="00DD47DF">
              <w:rPr>
                <w:rFonts w:cs="Calibri"/>
                <w:b/>
              </w:rPr>
              <w:t>Účinné nakládání</w:t>
            </w:r>
            <w:r w:rsidR="00B70E21" w:rsidRPr="00DD47DF">
              <w:rPr>
                <w:rFonts w:cs="Calibri"/>
                <w:b/>
              </w:rPr>
              <w:t xml:space="preserve"> </w:t>
            </w:r>
            <w:r w:rsidR="00E701CA" w:rsidRPr="00DD47DF">
              <w:rPr>
                <w:rFonts w:cs="Calibri"/>
                <w:b/>
              </w:rPr>
              <w:t>energií, rozvoj energetické infrastruktury a obnovitelných zdrojů energie, podpora zavádění nových technologií v oblasti nakládání energií a druhotných surovin</w:t>
            </w:r>
            <w:r w:rsidR="00400DD1" w:rsidRPr="00DD47DF">
              <w:rPr>
                <w:rFonts w:cs="Calibri"/>
                <w:b/>
              </w:rPr>
              <w:t>“</w:t>
            </w:r>
          </w:p>
        </w:tc>
      </w:tr>
      <w:tr w:rsidR="00400DD1" w:rsidRPr="00DD47DF" w14:paraId="7D4B6B40" w14:textId="77777777">
        <w:trPr>
          <w:trHeight w:val="414"/>
        </w:trPr>
        <w:tc>
          <w:tcPr>
            <w:tcW w:w="2388" w:type="pct"/>
            <w:shd w:val="clear" w:color="auto" w:fill="auto"/>
            <w:vAlign w:val="center"/>
          </w:tcPr>
          <w:p w14:paraId="7FFC19EF" w14:textId="77777777" w:rsidR="00400DD1" w:rsidRPr="00DD47DF" w:rsidRDefault="00400DD1" w:rsidP="00F23CDB">
            <w:pPr>
              <w:pStyle w:val="Tabulka"/>
              <w:jc w:val="left"/>
              <w:rPr>
                <w:rFonts w:cs="Calibri"/>
              </w:rPr>
            </w:pPr>
            <w:r w:rsidRPr="00DD47DF">
              <w:rPr>
                <w:rFonts w:cs="Calibri"/>
              </w:rPr>
              <w:t>Hospodářská komora ČR</w:t>
            </w:r>
          </w:p>
        </w:tc>
        <w:tc>
          <w:tcPr>
            <w:tcW w:w="2612" w:type="pct"/>
            <w:shd w:val="clear" w:color="auto" w:fill="auto"/>
            <w:vAlign w:val="center"/>
          </w:tcPr>
          <w:p w14:paraId="057BE6A1" w14:textId="77777777" w:rsidR="00400DD1" w:rsidRPr="00DD47DF" w:rsidRDefault="00AF6FE3" w:rsidP="00F23CDB">
            <w:pPr>
              <w:pStyle w:val="Tabulka"/>
              <w:jc w:val="left"/>
              <w:rPr>
                <w:rFonts w:cs="Calibri"/>
              </w:rPr>
            </w:pPr>
            <w:hyperlink r:id="rId235" w:history="1">
              <w:r w:rsidR="00400DD1" w:rsidRPr="00DD47DF">
                <w:rPr>
                  <w:rStyle w:val="Hypertextovodkaz"/>
                  <w:rFonts w:cs="Calibri"/>
                  <w:bCs/>
                </w:rPr>
                <w:t>http://www.komora.cz/</w:t>
              </w:r>
            </w:hyperlink>
          </w:p>
        </w:tc>
      </w:tr>
      <w:tr w:rsidR="00400DD1" w:rsidRPr="00DD47DF" w14:paraId="18C0B650" w14:textId="77777777">
        <w:trPr>
          <w:trHeight w:val="414"/>
        </w:trPr>
        <w:tc>
          <w:tcPr>
            <w:tcW w:w="2388" w:type="pct"/>
            <w:shd w:val="clear" w:color="auto" w:fill="auto"/>
            <w:vAlign w:val="center"/>
          </w:tcPr>
          <w:p w14:paraId="515E825D" w14:textId="77777777" w:rsidR="00400DD1" w:rsidRPr="00DD47DF" w:rsidRDefault="00400DD1" w:rsidP="00F23CDB">
            <w:pPr>
              <w:pStyle w:val="Tabulka"/>
              <w:jc w:val="left"/>
              <w:rPr>
                <w:rFonts w:cs="Calibri"/>
              </w:rPr>
            </w:pPr>
            <w:r w:rsidRPr="00DD47DF">
              <w:rPr>
                <w:rFonts w:cs="Calibri"/>
              </w:rPr>
              <w:t>Potravinářská komora ČR</w:t>
            </w:r>
          </w:p>
        </w:tc>
        <w:tc>
          <w:tcPr>
            <w:tcW w:w="2612" w:type="pct"/>
            <w:shd w:val="clear" w:color="auto" w:fill="auto"/>
            <w:vAlign w:val="center"/>
          </w:tcPr>
          <w:p w14:paraId="31BC1D67" w14:textId="77777777" w:rsidR="00400DD1" w:rsidRPr="00DD47DF" w:rsidRDefault="00AF6FE3" w:rsidP="00F23CDB">
            <w:pPr>
              <w:pStyle w:val="Tabulka"/>
              <w:jc w:val="left"/>
              <w:rPr>
                <w:rFonts w:cs="Calibri"/>
              </w:rPr>
            </w:pPr>
            <w:hyperlink r:id="rId236" w:history="1">
              <w:r w:rsidR="00400DD1" w:rsidRPr="00DD47DF">
                <w:rPr>
                  <w:rStyle w:val="Hypertextovodkaz"/>
                  <w:rFonts w:cs="Calibri"/>
                  <w:bCs/>
                </w:rPr>
                <w:t>http://www.pkcr.cz/</w:t>
              </w:r>
            </w:hyperlink>
            <w:r w:rsidR="00400DD1" w:rsidRPr="00DD47DF">
              <w:rPr>
                <w:rFonts w:cs="Calibri"/>
              </w:rPr>
              <w:t xml:space="preserve"> </w:t>
            </w:r>
          </w:p>
        </w:tc>
      </w:tr>
      <w:tr w:rsidR="00400DD1" w:rsidRPr="00DD47DF" w14:paraId="0C6A0B43" w14:textId="77777777">
        <w:trPr>
          <w:trHeight w:val="414"/>
        </w:trPr>
        <w:tc>
          <w:tcPr>
            <w:tcW w:w="2388" w:type="pct"/>
            <w:shd w:val="clear" w:color="auto" w:fill="auto"/>
            <w:vAlign w:val="center"/>
          </w:tcPr>
          <w:p w14:paraId="341ECFE3" w14:textId="77777777" w:rsidR="00400DD1" w:rsidRPr="00DD47DF" w:rsidRDefault="00400DD1" w:rsidP="00F23CDB">
            <w:pPr>
              <w:pStyle w:val="Tabulka"/>
              <w:jc w:val="left"/>
              <w:rPr>
                <w:rFonts w:cs="Calibri"/>
              </w:rPr>
            </w:pPr>
            <w:r w:rsidRPr="00DD47DF">
              <w:rPr>
                <w:rFonts w:cs="Calibri"/>
              </w:rPr>
              <w:t>Agrární komora ČR</w:t>
            </w:r>
          </w:p>
        </w:tc>
        <w:tc>
          <w:tcPr>
            <w:tcW w:w="2612" w:type="pct"/>
            <w:shd w:val="clear" w:color="auto" w:fill="auto"/>
            <w:vAlign w:val="center"/>
          </w:tcPr>
          <w:p w14:paraId="1D1A137B" w14:textId="77777777" w:rsidR="00400DD1" w:rsidRPr="00DD47DF" w:rsidRDefault="00AF6FE3" w:rsidP="00F23CDB">
            <w:pPr>
              <w:pStyle w:val="Tabulka"/>
              <w:jc w:val="left"/>
              <w:rPr>
                <w:rFonts w:cs="Calibri"/>
              </w:rPr>
            </w:pPr>
            <w:hyperlink r:id="rId237" w:history="1">
              <w:r w:rsidR="00400DD1" w:rsidRPr="00DD47DF">
                <w:rPr>
                  <w:rStyle w:val="Hypertextovodkaz"/>
                  <w:rFonts w:cs="Calibri"/>
                  <w:bCs/>
                </w:rPr>
                <w:t>http://www.agrocr.cz/</w:t>
              </w:r>
            </w:hyperlink>
            <w:r w:rsidR="00400DD1" w:rsidRPr="00DD47DF">
              <w:rPr>
                <w:rFonts w:cs="Calibri"/>
              </w:rPr>
              <w:t xml:space="preserve"> </w:t>
            </w:r>
          </w:p>
        </w:tc>
      </w:tr>
      <w:tr w:rsidR="00400DD1" w:rsidRPr="00DD47DF" w14:paraId="408B3714" w14:textId="77777777">
        <w:trPr>
          <w:trHeight w:val="414"/>
        </w:trPr>
        <w:tc>
          <w:tcPr>
            <w:tcW w:w="2388" w:type="pct"/>
            <w:shd w:val="clear" w:color="auto" w:fill="auto"/>
            <w:vAlign w:val="center"/>
          </w:tcPr>
          <w:p w14:paraId="5B3EB7F2" w14:textId="77777777" w:rsidR="00400DD1" w:rsidRPr="00DD47DF" w:rsidRDefault="00400DD1" w:rsidP="00F23CDB">
            <w:pPr>
              <w:pStyle w:val="Tabulka"/>
              <w:jc w:val="left"/>
              <w:rPr>
                <w:rFonts w:cs="Calibri"/>
              </w:rPr>
            </w:pPr>
            <w:r w:rsidRPr="00DD47DF">
              <w:rPr>
                <w:rFonts w:cs="Calibri"/>
              </w:rPr>
              <w:t>Svaz průmyslu a dopravy ČR</w:t>
            </w:r>
          </w:p>
        </w:tc>
        <w:tc>
          <w:tcPr>
            <w:tcW w:w="2612" w:type="pct"/>
            <w:shd w:val="clear" w:color="auto" w:fill="auto"/>
            <w:vAlign w:val="center"/>
          </w:tcPr>
          <w:p w14:paraId="10239802" w14:textId="77777777" w:rsidR="00400DD1" w:rsidRPr="00DD47DF" w:rsidRDefault="00AF6FE3" w:rsidP="00F23CDB">
            <w:pPr>
              <w:pStyle w:val="Tabulka"/>
              <w:jc w:val="left"/>
              <w:rPr>
                <w:rFonts w:cs="Calibri"/>
              </w:rPr>
            </w:pPr>
            <w:hyperlink r:id="rId238" w:history="1">
              <w:r w:rsidR="00400DD1" w:rsidRPr="00DD47DF">
                <w:rPr>
                  <w:rStyle w:val="Hypertextovodkaz"/>
                  <w:rFonts w:cs="Calibri"/>
                  <w:bCs/>
                </w:rPr>
                <w:t>http://www.spcr.cz/</w:t>
              </w:r>
            </w:hyperlink>
          </w:p>
        </w:tc>
      </w:tr>
      <w:tr w:rsidR="00400DD1" w:rsidRPr="00DD47DF" w14:paraId="6E314192" w14:textId="77777777">
        <w:trPr>
          <w:trHeight w:val="414"/>
        </w:trPr>
        <w:tc>
          <w:tcPr>
            <w:tcW w:w="2388" w:type="pct"/>
            <w:shd w:val="clear" w:color="auto" w:fill="auto"/>
            <w:vAlign w:val="center"/>
          </w:tcPr>
          <w:p w14:paraId="37CCD681" w14:textId="77777777" w:rsidR="00400DD1" w:rsidRPr="00DD47DF" w:rsidRDefault="00400DD1" w:rsidP="00F23CDB">
            <w:pPr>
              <w:pStyle w:val="Tabulka"/>
              <w:jc w:val="left"/>
              <w:rPr>
                <w:rFonts w:cs="Calibri"/>
              </w:rPr>
            </w:pPr>
            <w:r w:rsidRPr="00DD47DF">
              <w:rPr>
                <w:rFonts w:cs="Calibri"/>
              </w:rPr>
              <w:t>Svaz měst a obcí ČR</w:t>
            </w:r>
          </w:p>
        </w:tc>
        <w:tc>
          <w:tcPr>
            <w:tcW w:w="2612" w:type="pct"/>
            <w:shd w:val="clear" w:color="auto" w:fill="auto"/>
            <w:vAlign w:val="center"/>
          </w:tcPr>
          <w:p w14:paraId="484DDD58" w14:textId="77777777" w:rsidR="00400DD1" w:rsidRPr="00DD47DF" w:rsidRDefault="00AF6FE3" w:rsidP="00F23CDB">
            <w:pPr>
              <w:pStyle w:val="Tabulka"/>
              <w:jc w:val="left"/>
              <w:rPr>
                <w:rFonts w:cs="Calibri"/>
              </w:rPr>
            </w:pPr>
            <w:hyperlink r:id="rId239" w:history="1">
              <w:r w:rsidR="00400DD1" w:rsidRPr="00DD47DF">
                <w:rPr>
                  <w:rStyle w:val="Hypertextovodkaz"/>
                  <w:rFonts w:cs="Calibri"/>
                  <w:bCs/>
                </w:rPr>
                <w:t>http://www.smocr.cz/</w:t>
              </w:r>
            </w:hyperlink>
            <w:r w:rsidR="00400DD1" w:rsidRPr="00DD47DF">
              <w:rPr>
                <w:rFonts w:cs="Calibri"/>
              </w:rPr>
              <w:t xml:space="preserve"> </w:t>
            </w:r>
          </w:p>
        </w:tc>
      </w:tr>
      <w:tr w:rsidR="00400DD1" w:rsidRPr="00DD47DF" w14:paraId="03E28316" w14:textId="77777777">
        <w:trPr>
          <w:trHeight w:val="414"/>
        </w:trPr>
        <w:tc>
          <w:tcPr>
            <w:tcW w:w="2388" w:type="pct"/>
            <w:shd w:val="clear" w:color="auto" w:fill="auto"/>
            <w:vAlign w:val="center"/>
          </w:tcPr>
          <w:p w14:paraId="72AD7E9D" w14:textId="77777777" w:rsidR="00400DD1" w:rsidRPr="00DD47DF" w:rsidRDefault="00400DD1" w:rsidP="00F23CDB">
            <w:pPr>
              <w:pStyle w:val="Tabulka"/>
              <w:jc w:val="left"/>
              <w:rPr>
                <w:rFonts w:cs="Calibri"/>
              </w:rPr>
            </w:pPr>
            <w:r w:rsidRPr="00DD47DF">
              <w:rPr>
                <w:rFonts w:cs="Calibri"/>
              </w:rPr>
              <w:t>Svaz průmyslu druhotných surovin</w:t>
            </w:r>
          </w:p>
        </w:tc>
        <w:tc>
          <w:tcPr>
            <w:tcW w:w="2612" w:type="pct"/>
            <w:shd w:val="clear" w:color="auto" w:fill="auto"/>
            <w:vAlign w:val="center"/>
          </w:tcPr>
          <w:p w14:paraId="04DF418D" w14:textId="77777777" w:rsidR="00400DD1" w:rsidRPr="00DD47DF" w:rsidRDefault="00AF6FE3" w:rsidP="00F23CDB">
            <w:pPr>
              <w:pStyle w:val="Tabulka"/>
              <w:jc w:val="left"/>
              <w:rPr>
                <w:rFonts w:cs="Calibri"/>
              </w:rPr>
            </w:pPr>
            <w:hyperlink r:id="rId240" w:history="1">
              <w:r w:rsidR="00400DD1" w:rsidRPr="00DD47DF">
                <w:rPr>
                  <w:rStyle w:val="Hypertextovodkaz"/>
                  <w:rFonts w:cs="Calibri"/>
                  <w:bCs/>
                </w:rPr>
                <w:t>http://www.spds.cz/</w:t>
              </w:r>
            </w:hyperlink>
            <w:r w:rsidR="00400DD1" w:rsidRPr="00DD47DF">
              <w:rPr>
                <w:rFonts w:cs="Calibri"/>
              </w:rPr>
              <w:t xml:space="preserve"> </w:t>
            </w:r>
          </w:p>
        </w:tc>
      </w:tr>
      <w:tr w:rsidR="00400DD1" w:rsidRPr="00DD47DF" w14:paraId="6A1EFB23" w14:textId="77777777">
        <w:trPr>
          <w:trHeight w:val="414"/>
        </w:trPr>
        <w:tc>
          <w:tcPr>
            <w:tcW w:w="2388" w:type="pct"/>
            <w:shd w:val="clear" w:color="auto" w:fill="auto"/>
            <w:vAlign w:val="center"/>
          </w:tcPr>
          <w:p w14:paraId="23CB93B3" w14:textId="77777777" w:rsidR="00400DD1" w:rsidRPr="00DD47DF" w:rsidRDefault="00400DD1" w:rsidP="00F23CDB">
            <w:pPr>
              <w:pStyle w:val="Tabulka"/>
              <w:jc w:val="left"/>
              <w:rPr>
                <w:rFonts w:cs="Calibri"/>
              </w:rPr>
            </w:pPr>
            <w:r w:rsidRPr="00DD47DF">
              <w:rPr>
                <w:rFonts w:cs="Calibri"/>
              </w:rPr>
              <w:t>Asociace malých a středních podniků</w:t>
            </w:r>
          </w:p>
        </w:tc>
        <w:tc>
          <w:tcPr>
            <w:tcW w:w="2612" w:type="pct"/>
            <w:shd w:val="clear" w:color="auto" w:fill="auto"/>
            <w:vAlign w:val="center"/>
          </w:tcPr>
          <w:p w14:paraId="53EDF00D" w14:textId="77777777" w:rsidR="00400DD1" w:rsidRPr="00DD47DF" w:rsidRDefault="00AF6FE3" w:rsidP="00F23CDB">
            <w:pPr>
              <w:pStyle w:val="Tabulka"/>
              <w:jc w:val="left"/>
              <w:rPr>
                <w:rFonts w:cs="Calibri"/>
              </w:rPr>
            </w:pPr>
            <w:hyperlink r:id="rId241" w:history="1">
              <w:r w:rsidR="00400DD1" w:rsidRPr="00DD47DF">
                <w:rPr>
                  <w:rStyle w:val="Hypertextovodkaz"/>
                  <w:rFonts w:cs="Calibri"/>
                  <w:bCs/>
                </w:rPr>
                <w:t>http://www.amsp.cz/</w:t>
              </w:r>
            </w:hyperlink>
          </w:p>
        </w:tc>
      </w:tr>
      <w:tr w:rsidR="00400DD1" w:rsidRPr="00DD47DF" w14:paraId="4A1EB68F" w14:textId="77777777">
        <w:trPr>
          <w:trHeight w:val="414"/>
        </w:trPr>
        <w:tc>
          <w:tcPr>
            <w:tcW w:w="2388" w:type="pct"/>
            <w:shd w:val="clear" w:color="auto" w:fill="auto"/>
            <w:vAlign w:val="center"/>
          </w:tcPr>
          <w:p w14:paraId="41955471" w14:textId="77777777" w:rsidR="00400DD1" w:rsidRPr="00DD47DF" w:rsidRDefault="00400DD1" w:rsidP="00F23CDB">
            <w:pPr>
              <w:pStyle w:val="Tabulka"/>
              <w:jc w:val="left"/>
              <w:rPr>
                <w:rFonts w:cs="Calibri"/>
              </w:rPr>
            </w:pPr>
            <w:r w:rsidRPr="00DD47DF">
              <w:rPr>
                <w:rFonts w:cs="Calibri"/>
              </w:rPr>
              <w:t>Nestátní neziskové organizace</w:t>
            </w:r>
          </w:p>
        </w:tc>
        <w:tc>
          <w:tcPr>
            <w:tcW w:w="2612" w:type="pct"/>
            <w:shd w:val="clear" w:color="auto" w:fill="auto"/>
            <w:vAlign w:val="center"/>
          </w:tcPr>
          <w:p w14:paraId="18D54E04" w14:textId="77777777" w:rsidR="00400DD1" w:rsidRPr="00DD47DF" w:rsidRDefault="00AF6FE3" w:rsidP="00F23CDB">
            <w:pPr>
              <w:pStyle w:val="Tabulka"/>
              <w:jc w:val="left"/>
              <w:rPr>
                <w:rFonts w:cs="Calibri"/>
              </w:rPr>
            </w:pPr>
            <w:hyperlink r:id="rId242" w:history="1">
              <w:r w:rsidR="00400DD1" w:rsidRPr="00DD47DF">
                <w:rPr>
                  <w:rStyle w:val="Hypertextovodkaz"/>
                  <w:rFonts w:cs="Calibri"/>
                  <w:bCs/>
                </w:rPr>
                <w:t>http://www.asociacenno.cz/</w:t>
              </w:r>
            </w:hyperlink>
          </w:p>
        </w:tc>
      </w:tr>
      <w:tr w:rsidR="00400DD1" w:rsidRPr="00DD47DF" w14:paraId="0A546F61" w14:textId="77777777">
        <w:trPr>
          <w:trHeight w:val="414"/>
        </w:trPr>
        <w:tc>
          <w:tcPr>
            <w:tcW w:w="2388" w:type="pct"/>
            <w:shd w:val="clear" w:color="auto" w:fill="auto"/>
            <w:vAlign w:val="center"/>
          </w:tcPr>
          <w:p w14:paraId="174E7441" w14:textId="77777777" w:rsidR="00400DD1" w:rsidRPr="00DD47DF" w:rsidRDefault="00400DD1" w:rsidP="00F23CDB">
            <w:pPr>
              <w:pStyle w:val="Tabulka"/>
              <w:jc w:val="left"/>
              <w:rPr>
                <w:rFonts w:cs="Calibri"/>
              </w:rPr>
            </w:pPr>
            <w:r w:rsidRPr="00DD47DF">
              <w:rPr>
                <w:rFonts w:cs="Calibri"/>
              </w:rPr>
              <w:t>Asociace dodavatelů tepla a technologií</w:t>
            </w:r>
          </w:p>
        </w:tc>
        <w:tc>
          <w:tcPr>
            <w:tcW w:w="2612" w:type="pct"/>
            <w:shd w:val="clear" w:color="auto" w:fill="auto"/>
            <w:vAlign w:val="center"/>
          </w:tcPr>
          <w:p w14:paraId="37CE8F18" w14:textId="77777777" w:rsidR="00400DD1" w:rsidRPr="00DD47DF" w:rsidRDefault="00AF6FE3" w:rsidP="00F23CDB">
            <w:pPr>
              <w:pStyle w:val="Tabulka"/>
              <w:jc w:val="left"/>
              <w:rPr>
                <w:rFonts w:cs="Calibri"/>
              </w:rPr>
            </w:pPr>
            <w:hyperlink r:id="rId243" w:history="1">
              <w:r w:rsidR="00400DD1" w:rsidRPr="00DD47DF">
                <w:rPr>
                  <w:rStyle w:val="Hypertextovodkaz"/>
                  <w:rFonts w:cs="Calibri"/>
                  <w:bCs/>
                </w:rPr>
                <w:t>http://adtt.cz/</w:t>
              </w:r>
            </w:hyperlink>
            <w:r w:rsidR="00400DD1" w:rsidRPr="00DD47DF">
              <w:rPr>
                <w:rFonts w:cs="Calibri"/>
              </w:rPr>
              <w:t xml:space="preserve"> </w:t>
            </w:r>
          </w:p>
        </w:tc>
      </w:tr>
      <w:tr w:rsidR="00400DD1" w:rsidRPr="00DD47DF" w14:paraId="1214F9F5" w14:textId="77777777">
        <w:trPr>
          <w:trHeight w:val="414"/>
        </w:trPr>
        <w:tc>
          <w:tcPr>
            <w:tcW w:w="2388" w:type="pct"/>
            <w:shd w:val="clear" w:color="auto" w:fill="auto"/>
            <w:vAlign w:val="center"/>
          </w:tcPr>
          <w:p w14:paraId="64417FAD" w14:textId="77777777" w:rsidR="00400DD1" w:rsidRPr="00DD47DF" w:rsidRDefault="00400DD1" w:rsidP="00F23CDB">
            <w:pPr>
              <w:pStyle w:val="Tabulka"/>
              <w:jc w:val="left"/>
              <w:rPr>
                <w:rFonts w:cs="Calibri"/>
              </w:rPr>
            </w:pPr>
            <w:r w:rsidRPr="00DD47DF">
              <w:rPr>
                <w:rFonts w:cs="Calibri"/>
              </w:rPr>
              <w:t>Asociace poskytovatelů energetických služeb</w:t>
            </w:r>
          </w:p>
        </w:tc>
        <w:tc>
          <w:tcPr>
            <w:tcW w:w="2612" w:type="pct"/>
            <w:shd w:val="clear" w:color="auto" w:fill="auto"/>
            <w:vAlign w:val="center"/>
          </w:tcPr>
          <w:p w14:paraId="3FCC0CD4" w14:textId="77777777" w:rsidR="00400DD1" w:rsidRPr="00DD47DF" w:rsidRDefault="00AF6FE3" w:rsidP="00F23CDB">
            <w:pPr>
              <w:pStyle w:val="Tabulka"/>
              <w:jc w:val="left"/>
              <w:rPr>
                <w:rFonts w:cs="Calibri"/>
              </w:rPr>
            </w:pPr>
            <w:hyperlink r:id="rId244" w:history="1">
              <w:r w:rsidR="00400DD1" w:rsidRPr="00DD47DF">
                <w:rPr>
                  <w:rStyle w:val="Hypertextovodkaz"/>
                  <w:rFonts w:cs="Calibri"/>
                  <w:bCs/>
                </w:rPr>
                <w:t>http://apes.cz/</w:t>
              </w:r>
            </w:hyperlink>
            <w:r w:rsidR="00400DD1" w:rsidRPr="00DD47DF">
              <w:rPr>
                <w:rFonts w:cs="Calibri"/>
              </w:rPr>
              <w:t xml:space="preserve"> </w:t>
            </w:r>
          </w:p>
        </w:tc>
      </w:tr>
      <w:tr w:rsidR="00400DD1" w:rsidRPr="00DD47DF" w14:paraId="737E7771" w14:textId="77777777">
        <w:trPr>
          <w:trHeight w:val="414"/>
        </w:trPr>
        <w:tc>
          <w:tcPr>
            <w:tcW w:w="2388" w:type="pct"/>
            <w:shd w:val="clear" w:color="auto" w:fill="auto"/>
            <w:vAlign w:val="center"/>
          </w:tcPr>
          <w:p w14:paraId="49C5F6C8" w14:textId="77777777" w:rsidR="00400DD1" w:rsidRPr="00DD47DF" w:rsidRDefault="00400DD1" w:rsidP="00F23CDB">
            <w:pPr>
              <w:pStyle w:val="Tabulka"/>
              <w:jc w:val="left"/>
              <w:rPr>
                <w:rFonts w:cs="Calibri"/>
              </w:rPr>
            </w:pPr>
            <w:r w:rsidRPr="00DD47DF">
              <w:rPr>
                <w:rFonts w:cs="Calibri"/>
              </w:rPr>
              <w:t>Asociace pro využití OZE</w:t>
            </w:r>
          </w:p>
        </w:tc>
        <w:tc>
          <w:tcPr>
            <w:tcW w:w="2612" w:type="pct"/>
            <w:shd w:val="clear" w:color="auto" w:fill="auto"/>
            <w:vAlign w:val="center"/>
          </w:tcPr>
          <w:p w14:paraId="4A993B23" w14:textId="77777777" w:rsidR="00400DD1" w:rsidRPr="00DD47DF" w:rsidRDefault="00AF6FE3" w:rsidP="00F23CDB">
            <w:pPr>
              <w:pStyle w:val="Tabulka"/>
              <w:jc w:val="left"/>
              <w:rPr>
                <w:rFonts w:cs="Calibri"/>
              </w:rPr>
            </w:pPr>
            <w:hyperlink r:id="rId245" w:history="1">
              <w:r w:rsidR="00400DD1" w:rsidRPr="00DD47DF">
                <w:rPr>
                  <w:rStyle w:val="Hypertextovodkaz"/>
                  <w:rFonts w:cs="Calibri"/>
                  <w:bCs/>
                </w:rPr>
                <w:t>http://www.oze.cz/</w:t>
              </w:r>
            </w:hyperlink>
            <w:r w:rsidR="00400DD1" w:rsidRPr="00DD47DF">
              <w:rPr>
                <w:rFonts w:cs="Calibri"/>
              </w:rPr>
              <w:t xml:space="preserve"> </w:t>
            </w:r>
          </w:p>
        </w:tc>
      </w:tr>
      <w:tr w:rsidR="00400DD1" w:rsidRPr="00DD47DF" w14:paraId="0E8255A7" w14:textId="77777777">
        <w:trPr>
          <w:trHeight w:val="414"/>
        </w:trPr>
        <w:tc>
          <w:tcPr>
            <w:tcW w:w="2388" w:type="pct"/>
            <w:shd w:val="clear" w:color="auto" w:fill="auto"/>
            <w:vAlign w:val="center"/>
          </w:tcPr>
          <w:p w14:paraId="55B92010" w14:textId="77777777" w:rsidR="00400DD1" w:rsidRPr="00DD47DF" w:rsidRDefault="00400DD1" w:rsidP="00F23CDB">
            <w:pPr>
              <w:pStyle w:val="Tabulka"/>
              <w:jc w:val="left"/>
              <w:rPr>
                <w:rFonts w:cs="Calibri"/>
              </w:rPr>
            </w:pPr>
            <w:r w:rsidRPr="00DD47DF">
              <w:rPr>
                <w:rFonts w:cs="Calibri"/>
              </w:rPr>
              <w:t>Asociace pro využití energetických produktů</w:t>
            </w:r>
          </w:p>
        </w:tc>
        <w:tc>
          <w:tcPr>
            <w:tcW w:w="2612" w:type="pct"/>
            <w:shd w:val="clear" w:color="auto" w:fill="auto"/>
            <w:vAlign w:val="center"/>
          </w:tcPr>
          <w:p w14:paraId="3A0FE2F3" w14:textId="77777777" w:rsidR="00400DD1" w:rsidRPr="00DD47DF" w:rsidRDefault="00AF6FE3" w:rsidP="00F23CDB">
            <w:pPr>
              <w:pStyle w:val="Tabulka"/>
              <w:jc w:val="left"/>
              <w:rPr>
                <w:rFonts w:cs="Calibri"/>
              </w:rPr>
            </w:pPr>
            <w:hyperlink r:id="rId246" w:history="1">
              <w:r w:rsidR="00400DD1" w:rsidRPr="00DD47DF">
                <w:rPr>
                  <w:rStyle w:val="Hypertextovodkaz"/>
                  <w:rFonts w:cs="Calibri"/>
                  <w:bCs/>
                </w:rPr>
                <w:t>http://www.asvep.cz/</w:t>
              </w:r>
            </w:hyperlink>
            <w:r w:rsidR="00400DD1" w:rsidRPr="00DD47DF">
              <w:rPr>
                <w:rFonts w:cs="Calibri"/>
              </w:rPr>
              <w:t xml:space="preserve"> </w:t>
            </w:r>
          </w:p>
        </w:tc>
      </w:tr>
      <w:tr w:rsidR="00400DD1" w:rsidRPr="00DD47DF" w14:paraId="7E4B1B45" w14:textId="77777777">
        <w:trPr>
          <w:trHeight w:val="414"/>
        </w:trPr>
        <w:tc>
          <w:tcPr>
            <w:tcW w:w="2388" w:type="pct"/>
            <w:shd w:val="clear" w:color="auto" w:fill="auto"/>
            <w:vAlign w:val="center"/>
          </w:tcPr>
          <w:p w14:paraId="391CA52F" w14:textId="77777777" w:rsidR="00400DD1" w:rsidRPr="00DD47DF" w:rsidRDefault="00400DD1" w:rsidP="00F23CDB">
            <w:pPr>
              <w:pStyle w:val="Tabulka"/>
              <w:jc w:val="left"/>
              <w:rPr>
                <w:rFonts w:cs="Calibri"/>
              </w:rPr>
            </w:pPr>
            <w:r w:rsidRPr="00DD47DF">
              <w:rPr>
                <w:rFonts w:cs="Calibri"/>
              </w:rPr>
              <w:lastRenderedPageBreak/>
              <w:t>Národní síť Místních akčních skupin České republiky, o.s.</w:t>
            </w:r>
          </w:p>
        </w:tc>
        <w:tc>
          <w:tcPr>
            <w:tcW w:w="2612" w:type="pct"/>
            <w:shd w:val="clear" w:color="auto" w:fill="auto"/>
            <w:vAlign w:val="center"/>
          </w:tcPr>
          <w:p w14:paraId="1AF9DAC9" w14:textId="77777777" w:rsidR="00400DD1" w:rsidRPr="00DD47DF" w:rsidRDefault="00AF6FE3" w:rsidP="00F23CDB">
            <w:pPr>
              <w:pStyle w:val="Tabulka"/>
              <w:jc w:val="left"/>
              <w:rPr>
                <w:rFonts w:cs="Calibri"/>
              </w:rPr>
            </w:pPr>
            <w:hyperlink r:id="rId247" w:history="1">
              <w:r w:rsidR="00400DD1" w:rsidRPr="00DD47DF">
                <w:rPr>
                  <w:rStyle w:val="Hypertextovodkaz"/>
                  <w:rFonts w:cs="Calibri"/>
                  <w:bCs/>
                </w:rPr>
                <w:t>http://nsmascr.cz/o-nas/mistni-akncni-skupiny/</w:t>
              </w:r>
            </w:hyperlink>
          </w:p>
        </w:tc>
      </w:tr>
      <w:tr w:rsidR="00400DD1" w:rsidRPr="00DD47DF" w14:paraId="7C798776" w14:textId="77777777">
        <w:trPr>
          <w:trHeight w:val="414"/>
        </w:trPr>
        <w:tc>
          <w:tcPr>
            <w:tcW w:w="2388" w:type="pct"/>
            <w:shd w:val="clear" w:color="auto" w:fill="auto"/>
            <w:vAlign w:val="center"/>
          </w:tcPr>
          <w:p w14:paraId="2262267F" w14:textId="77777777" w:rsidR="00400DD1" w:rsidRPr="00DD47DF" w:rsidRDefault="00400DD1" w:rsidP="00F23CDB">
            <w:pPr>
              <w:pStyle w:val="Tabulka"/>
              <w:jc w:val="left"/>
              <w:rPr>
                <w:rFonts w:cs="Calibri"/>
              </w:rPr>
            </w:pPr>
            <w:r w:rsidRPr="00DD47DF">
              <w:rPr>
                <w:rFonts w:cs="Calibri"/>
              </w:rPr>
              <w:t>Konfederace zaměstnavatelských a podnikatelských svazů</w:t>
            </w:r>
          </w:p>
        </w:tc>
        <w:tc>
          <w:tcPr>
            <w:tcW w:w="2612" w:type="pct"/>
            <w:shd w:val="clear" w:color="auto" w:fill="auto"/>
            <w:vAlign w:val="center"/>
          </w:tcPr>
          <w:p w14:paraId="2A6B9680" w14:textId="77777777" w:rsidR="00400DD1" w:rsidRPr="00DD47DF" w:rsidRDefault="00AF6FE3" w:rsidP="00F23CDB">
            <w:pPr>
              <w:pStyle w:val="Tabulka"/>
              <w:jc w:val="left"/>
              <w:rPr>
                <w:rFonts w:cs="Calibri"/>
              </w:rPr>
            </w:pPr>
            <w:hyperlink r:id="rId248" w:history="1">
              <w:r w:rsidR="00400DD1" w:rsidRPr="00DD47DF">
                <w:rPr>
                  <w:rStyle w:val="Hypertextovodkaz"/>
                  <w:rFonts w:cs="Calibri"/>
                  <w:bCs/>
                </w:rPr>
                <w:t>http://www.kzps.cz/</w:t>
              </w:r>
            </w:hyperlink>
          </w:p>
        </w:tc>
      </w:tr>
      <w:tr w:rsidR="00400DD1" w:rsidRPr="00DD47DF" w14:paraId="34B16636" w14:textId="77777777">
        <w:trPr>
          <w:trHeight w:val="414"/>
        </w:trPr>
        <w:tc>
          <w:tcPr>
            <w:tcW w:w="2388" w:type="pct"/>
            <w:shd w:val="clear" w:color="auto" w:fill="auto"/>
            <w:vAlign w:val="center"/>
          </w:tcPr>
          <w:p w14:paraId="5D4EA756" w14:textId="77777777" w:rsidR="00400DD1" w:rsidRPr="00DD47DF" w:rsidRDefault="00400DD1" w:rsidP="00F23CDB">
            <w:pPr>
              <w:pStyle w:val="Tabulka"/>
              <w:jc w:val="left"/>
              <w:rPr>
                <w:rFonts w:cs="Calibri"/>
              </w:rPr>
            </w:pPr>
            <w:r w:rsidRPr="00DD47DF">
              <w:rPr>
                <w:rFonts w:cs="Calibri"/>
              </w:rPr>
              <w:t>Teplárenské sdružení České republiky</w:t>
            </w:r>
          </w:p>
        </w:tc>
        <w:tc>
          <w:tcPr>
            <w:tcW w:w="2612" w:type="pct"/>
            <w:shd w:val="clear" w:color="auto" w:fill="auto"/>
            <w:vAlign w:val="center"/>
          </w:tcPr>
          <w:p w14:paraId="2D76769E" w14:textId="77777777" w:rsidR="00400DD1" w:rsidRPr="00DD47DF" w:rsidRDefault="00AF6FE3" w:rsidP="00F23CDB">
            <w:pPr>
              <w:pStyle w:val="Tabulka"/>
              <w:jc w:val="left"/>
              <w:rPr>
                <w:rFonts w:cs="Calibri"/>
              </w:rPr>
            </w:pPr>
            <w:hyperlink r:id="rId249" w:history="1">
              <w:r w:rsidR="00400DD1" w:rsidRPr="00DD47DF">
                <w:rPr>
                  <w:rStyle w:val="Hypertextovodkaz"/>
                  <w:rFonts w:cs="Calibri"/>
                  <w:bCs/>
                </w:rPr>
                <w:t>http://www.tscr.cz/</w:t>
              </w:r>
            </w:hyperlink>
            <w:r w:rsidR="00400DD1" w:rsidRPr="00DD47DF">
              <w:rPr>
                <w:rFonts w:cs="Calibri"/>
              </w:rPr>
              <w:t xml:space="preserve"> </w:t>
            </w:r>
          </w:p>
        </w:tc>
      </w:tr>
      <w:tr w:rsidR="00400DD1" w:rsidRPr="00DD47DF" w14:paraId="6CE2F06D" w14:textId="77777777">
        <w:trPr>
          <w:trHeight w:val="414"/>
        </w:trPr>
        <w:tc>
          <w:tcPr>
            <w:tcW w:w="2388" w:type="pct"/>
            <w:shd w:val="clear" w:color="auto" w:fill="auto"/>
            <w:vAlign w:val="center"/>
          </w:tcPr>
          <w:p w14:paraId="14AB0527" w14:textId="77777777" w:rsidR="00400DD1" w:rsidRPr="00DD47DF" w:rsidRDefault="00400DD1" w:rsidP="00F23CDB">
            <w:pPr>
              <w:pStyle w:val="Tabulka"/>
              <w:jc w:val="left"/>
              <w:rPr>
                <w:rFonts w:cs="Calibri"/>
              </w:rPr>
            </w:pPr>
            <w:r w:rsidRPr="00DD47DF">
              <w:rPr>
                <w:rFonts w:cs="Calibri"/>
              </w:rPr>
              <w:t>České sdružení regulovaných elektrotechnických společností</w:t>
            </w:r>
          </w:p>
        </w:tc>
        <w:tc>
          <w:tcPr>
            <w:tcW w:w="2612" w:type="pct"/>
            <w:shd w:val="clear" w:color="auto" w:fill="auto"/>
            <w:vAlign w:val="center"/>
          </w:tcPr>
          <w:p w14:paraId="7FF17358" w14:textId="77777777" w:rsidR="00400DD1" w:rsidRPr="00DD47DF" w:rsidRDefault="00AF6FE3" w:rsidP="00F23CDB">
            <w:pPr>
              <w:pStyle w:val="Tabulka"/>
              <w:jc w:val="left"/>
              <w:rPr>
                <w:rFonts w:cs="Calibri"/>
              </w:rPr>
            </w:pPr>
            <w:hyperlink r:id="rId250" w:history="1">
              <w:r w:rsidR="00400DD1" w:rsidRPr="00DD47DF">
                <w:rPr>
                  <w:rStyle w:val="Hypertextovodkaz"/>
                  <w:rFonts w:cs="Calibri"/>
                  <w:bCs/>
                </w:rPr>
                <w:t>http://www.csres.cz/</w:t>
              </w:r>
            </w:hyperlink>
            <w:r w:rsidR="00400DD1" w:rsidRPr="00DD47DF">
              <w:rPr>
                <w:rFonts w:cs="Calibri"/>
              </w:rPr>
              <w:t xml:space="preserve"> </w:t>
            </w:r>
          </w:p>
        </w:tc>
      </w:tr>
      <w:tr w:rsidR="00400DD1" w:rsidRPr="00DD47DF" w14:paraId="566F86F9" w14:textId="77777777">
        <w:trPr>
          <w:trHeight w:val="414"/>
        </w:trPr>
        <w:tc>
          <w:tcPr>
            <w:tcW w:w="2388" w:type="pct"/>
            <w:shd w:val="clear" w:color="auto" w:fill="auto"/>
            <w:vAlign w:val="center"/>
          </w:tcPr>
          <w:p w14:paraId="592E705F" w14:textId="77777777" w:rsidR="00400DD1" w:rsidRPr="00DD47DF" w:rsidRDefault="00400DD1" w:rsidP="00F23CDB">
            <w:pPr>
              <w:pStyle w:val="Tabulka"/>
              <w:jc w:val="left"/>
              <w:rPr>
                <w:rFonts w:cs="Calibri"/>
              </w:rPr>
            </w:pPr>
            <w:r w:rsidRPr="00DD47DF">
              <w:rPr>
                <w:rFonts w:cs="Calibri"/>
              </w:rPr>
              <w:t>Šance pro budovy</w:t>
            </w:r>
          </w:p>
        </w:tc>
        <w:tc>
          <w:tcPr>
            <w:tcW w:w="2612" w:type="pct"/>
            <w:shd w:val="clear" w:color="auto" w:fill="auto"/>
            <w:vAlign w:val="center"/>
          </w:tcPr>
          <w:p w14:paraId="6599C034" w14:textId="77777777" w:rsidR="00400DD1" w:rsidRPr="00DD47DF" w:rsidRDefault="00AF6FE3" w:rsidP="00F23CDB">
            <w:pPr>
              <w:pStyle w:val="Tabulka"/>
              <w:jc w:val="left"/>
              <w:rPr>
                <w:rFonts w:cs="Calibri"/>
              </w:rPr>
            </w:pPr>
            <w:hyperlink r:id="rId251" w:history="1">
              <w:r w:rsidR="00400DD1" w:rsidRPr="00DD47DF">
                <w:rPr>
                  <w:rStyle w:val="Hypertextovodkaz"/>
                  <w:rFonts w:cs="Calibri"/>
                  <w:bCs/>
                </w:rPr>
                <w:t>http://www.sanceprobudovy.cz/cs.html?start=20</w:t>
              </w:r>
            </w:hyperlink>
            <w:r w:rsidR="00400DD1" w:rsidRPr="00DD47DF">
              <w:rPr>
                <w:rFonts w:cs="Calibri"/>
              </w:rPr>
              <w:t xml:space="preserve"> </w:t>
            </w:r>
          </w:p>
        </w:tc>
      </w:tr>
      <w:tr w:rsidR="00400DD1" w:rsidRPr="00DD47DF" w14:paraId="3A6877EB" w14:textId="77777777">
        <w:trPr>
          <w:trHeight w:val="414"/>
        </w:trPr>
        <w:tc>
          <w:tcPr>
            <w:tcW w:w="2388" w:type="pct"/>
            <w:shd w:val="clear" w:color="auto" w:fill="auto"/>
            <w:vAlign w:val="center"/>
          </w:tcPr>
          <w:p w14:paraId="0F99D082" w14:textId="77777777" w:rsidR="00400DD1" w:rsidRPr="00DD47DF" w:rsidRDefault="00400DD1" w:rsidP="00F23CDB">
            <w:pPr>
              <w:pStyle w:val="Tabulka"/>
              <w:jc w:val="left"/>
              <w:rPr>
                <w:rFonts w:cs="Calibri"/>
              </w:rPr>
            </w:pPr>
            <w:r w:rsidRPr="00DD47DF">
              <w:rPr>
                <w:rFonts w:cs="Calibri"/>
              </w:rPr>
              <w:t>Hlavní město Praha</w:t>
            </w:r>
          </w:p>
        </w:tc>
        <w:tc>
          <w:tcPr>
            <w:tcW w:w="2612" w:type="pct"/>
            <w:shd w:val="clear" w:color="auto" w:fill="auto"/>
            <w:vAlign w:val="center"/>
          </w:tcPr>
          <w:p w14:paraId="1AE0BABC" w14:textId="77777777" w:rsidR="00400DD1" w:rsidRPr="00DD47DF" w:rsidRDefault="00AF6FE3" w:rsidP="00F23CDB">
            <w:pPr>
              <w:pStyle w:val="Tabulka"/>
              <w:jc w:val="left"/>
              <w:rPr>
                <w:rFonts w:cs="Calibri"/>
              </w:rPr>
            </w:pPr>
            <w:hyperlink r:id="rId252" w:history="1">
              <w:r w:rsidR="00400DD1" w:rsidRPr="00DD47DF">
                <w:rPr>
                  <w:rStyle w:val="Hypertextovodkaz"/>
                  <w:rFonts w:cs="Calibri"/>
                  <w:bCs/>
                </w:rPr>
                <w:t>http://www.praha.eu/jnp/cz/home/index.html</w:t>
              </w:r>
            </w:hyperlink>
          </w:p>
        </w:tc>
      </w:tr>
    </w:tbl>
    <w:p w14:paraId="54CD3FFF" w14:textId="77777777" w:rsidR="00400DD1" w:rsidRPr="00DD47DF" w:rsidRDefault="00400DD1" w:rsidP="00400DD1">
      <w:pPr>
        <w:pStyle w:val="Standardn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920"/>
      </w:tblGrid>
      <w:tr w:rsidR="00400DD1" w:rsidRPr="00DD47DF" w14:paraId="2FBDD518" w14:textId="77777777">
        <w:tc>
          <w:tcPr>
            <w:tcW w:w="5000" w:type="pct"/>
            <w:gridSpan w:val="2"/>
            <w:shd w:val="clear" w:color="auto" w:fill="DBE5F1"/>
            <w:vAlign w:val="center"/>
          </w:tcPr>
          <w:p w14:paraId="611CFA5E" w14:textId="77777777" w:rsidR="00400DD1" w:rsidRPr="00DD47DF" w:rsidRDefault="00400DD1" w:rsidP="005F4918">
            <w:pPr>
              <w:pStyle w:val="Tabulka"/>
              <w:rPr>
                <w:rFonts w:cs="Calibri"/>
                <w:b/>
              </w:rPr>
            </w:pPr>
            <w:r w:rsidRPr="00DD47DF">
              <w:rPr>
                <w:rFonts w:cs="Calibri"/>
                <w:b/>
              </w:rPr>
              <w:t>PS</w:t>
            </w:r>
            <w:r w:rsidR="005F4918" w:rsidRPr="00DD47DF">
              <w:rPr>
                <w:rFonts w:cs="Calibri"/>
                <w:b/>
              </w:rPr>
              <w:t xml:space="preserve"> </w:t>
            </w:r>
            <w:r w:rsidRPr="00DD47DF">
              <w:rPr>
                <w:rFonts w:cs="Calibri"/>
                <w:b/>
              </w:rPr>
              <w:t>4 „Rozvoj sítí pro vysokorychlostní přístup k internetu a informačních a komunikačních technologií“</w:t>
            </w:r>
          </w:p>
        </w:tc>
      </w:tr>
      <w:tr w:rsidR="00400DD1" w:rsidRPr="00DD47DF" w14:paraId="0CFA9140" w14:textId="77777777">
        <w:trPr>
          <w:trHeight w:val="414"/>
        </w:trPr>
        <w:tc>
          <w:tcPr>
            <w:tcW w:w="2391" w:type="pct"/>
            <w:shd w:val="clear" w:color="auto" w:fill="auto"/>
            <w:vAlign w:val="center"/>
          </w:tcPr>
          <w:p w14:paraId="20A4D79B" w14:textId="77777777" w:rsidR="00400DD1" w:rsidRPr="00DD47DF" w:rsidRDefault="000E47D9" w:rsidP="00F23CDB">
            <w:pPr>
              <w:pStyle w:val="Tabulka"/>
              <w:jc w:val="left"/>
              <w:rPr>
                <w:rFonts w:cs="Calibri"/>
              </w:rPr>
            </w:pPr>
            <w:r w:rsidRPr="00DD47DF">
              <w:rPr>
                <w:rFonts w:cs="Calibri"/>
              </w:rPr>
              <w:t>Ministerstvo dopravy</w:t>
            </w:r>
          </w:p>
        </w:tc>
        <w:tc>
          <w:tcPr>
            <w:tcW w:w="2609" w:type="pct"/>
            <w:shd w:val="clear" w:color="auto" w:fill="auto"/>
            <w:vAlign w:val="center"/>
          </w:tcPr>
          <w:p w14:paraId="6EF01FA3" w14:textId="77777777" w:rsidR="00400DD1" w:rsidRPr="00DD47DF" w:rsidRDefault="00AF6FE3" w:rsidP="00F23CDB">
            <w:pPr>
              <w:pStyle w:val="Tabulka"/>
              <w:jc w:val="left"/>
              <w:rPr>
                <w:rFonts w:cs="Calibri"/>
              </w:rPr>
            </w:pPr>
            <w:hyperlink r:id="rId253" w:history="1">
              <w:r w:rsidR="00400DD1" w:rsidRPr="00DD47DF">
                <w:rPr>
                  <w:rStyle w:val="Hypertextovodkaz"/>
                  <w:rFonts w:cs="Calibri"/>
                  <w:bCs/>
                </w:rPr>
                <w:t>http://www.mdcr.cz/cs/default.htm</w:t>
              </w:r>
            </w:hyperlink>
            <w:r w:rsidR="00400DD1" w:rsidRPr="00DD47DF">
              <w:rPr>
                <w:rFonts w:cs="Calibri"/>
              </w:rPr>
              <w:t xml:space="preserve"> </w:t>
            </w:r>
          </w:p>
        </w:tc>
      </w:tr>
      <w:tr w:rsidR="00400DD1" w:rsidRPr="00DD47DF" w14:paraId="6F5B5B3A" w14:textId="77777777">
        <w:trPr>
          <w:trHeight w:val="414"/>
        </w:trPr>
        <w:tc>
          <w:tcPr>
            <w:tcW w:w="2391" w:type="pct"/>
            <w:shd w:val="clear" w:color="auto" w:fill="auto"/>
            <w:vAlign w:val="center"/>
          </w:tcPr>
          <w:p w14:paraId="03A3006C" w14:textId="77777777" w:rsidR="00400DD1" w:rsidRPr="00DD47DF" w:rsidRDefault="00400DD1" w:rsidP="00F23CDB">
            <w:pPr>
              <w:pStyle w:val="Tabulka"/>
              <w:jc w:val="left"/>
              <w:rPr>
                <w:rFonts w:cs="Calibri"/>
              </w:rPr>
            </w:pPr>
            <w:r w:rsidRPr="00DD47DF">
              <w:rPr>
                <w:rFonts w:cs="Calibri"/>
              </w:rPr>
              <w:t>Svaz průmyslu a dopravy ČR</w:t>
            </w:r>
          </w:p>
        </w:tc>
        <w:tc>
          <w:tcPr>
            <w:tcW w:w="2609" w:type="pct"/>
            <w:shd w:val="clear" w:color="auto" w:fill="auto"/>
            <w:vAlign w:val="center"/>
          </w:tcPr>
          <w:p w14:paraId="1F53DD3E" w14:textId="77777777" w:rsidR="00400DD1" w:rsidRPr="00DD47DF" w:rsidRDefault="00AF6FE3" w:rsidP="00F23CDB">
            <w:pPr>
              <w:pStyle w:val="Tabulka"/>
              <w:jc w:val="left"/>
              <w:rPr>
                <w:rFonts w:cs="Calibri"/>
              </w:rPr>
            </w:pPr>
            <w:hyperlink r:id="rId254" w:history="1">
              <w:r w:rsidR="00400DD1" w:rsidRPr="00DD47DF">
                <w:rPr>
                  <w:rStyle w:val="Hypertextovodkaz"/>
                  <w:rFonts w:cs="Calibri"/>
                  <w:bCs/>
                </w:rPr>
                <w:t>http://www.spcr.cz/</w:t>
              </w:r>
            </w:hyperlink>
          </w:p>
        </w:tc>
      </w:tr>
      <w:tr w:rsidR="00400DD1" w:rsidRPr="00DD47DF" w14:paraId="51EA3559" w14:textId="77777777">
        <w:trPr>
          <w:trHeight w:val="414"/>
        </w:trPr>
        <w:tc>
          <w:tcPr>
            <w:tcW w:w="2391" w:type="pct"/>
            <w:shd w:val="clear" w:color="auto" w:fill="auto"/>
            <w:vAlign w:val="center"/>
          </w:tcPr>
          <w:p w14:paraId="1EC7B9C2" w14:textId="77777777" w:rsidR="00400DD1" w:rsidRPr="00DD47DF" w:rsidRDefault="00400DD1" w:rsidP="00F23CDB">
            <w:pPr>
              <w:pStyle w:val="Tabulka"/>
              <w:jc w:val="left"/>
              <w:rPr>
                <w:rFonts w:cs="Calibri"/>
              </w:rPr>
            </w:pPr>
            <w:r w:rsidRPr="00DD47DF">
              <w:rPr>
                <w:rFonts w:cs="Calibri"/>
              </w:rPr>
              <w:t>Svaz měst a obcí ČR</w:t>
            </w:r>
          </w:p>
        </w:tc>
        <w:tc>
          <w:tcPr>
            <w:tcW w:w="2609" w:type="pct"/>
            <w:shd w:val="clear" w:color="auto" w:fill="auto"/>
            <w:vAlign w:val="center"/>
          </w:tcPr>
          <w:p w14:paraId="6F2DFA5A" w14:textId="77777777" w:rsidR="00400DD1" w:rsidRPr="00DD47DF" w:rsidRDefault="00AF6FE3" w:rsidP="00F23CDB">
            <w:pPr>
              <w:pStyle w:val="Tabulka"/>
              <w:jc w:val="left"/>
              <w:rPr>
                <w:rFonts w:cs="Calibri"/>
              </w:rPr>
            </w:pPr>
            <w:hyperlink r:id="rId255" w:history="1">
              <w:r w:rsidR="00400DD1" w:rsidRPr="00DD47DF">
                <w:rPr>
                  <w:rStyle w:val="Hypertextovodkaz"/>
                  <w:rFonts w:cs="Calibri"/>
                  <w:bCs/>
                </w:rPr>
                <w:t>http://www.smocr.cz/</w:t>
              </w:r>
            </w:hyperlink>
            <w:r w:rsidR="00400DD1" w:rsidRPr="00DD47DF">
              <w:rPr>
                <w:rFonts w:cs="Calibri"/>
              </w:rPr>
              <w:t xml:space="preserve"> </w:t>
            </w:r>
          </w:p>
        </w:tc>
      </w:tr>
      <w:tr w:rsidR="00400DD1" w:rsidRPr="00DD47DF" w14:paraId="44DC74BB" w14:textId="77777777">
        <w:trPr>
          <w:trHeight w:val="414"/>
        </w:trPr>
        <w:tc>
          <w:tcPr>
            <w:tcW w:w="2391" w:type="pct"/>
            <w:shd w:val="clear" w:color="auto" w:fill="auto"/>
            <w:vAlign w:val="center"/>
          </w:tcPr>
          <w:p w14:paraId="210D6B7B" w14:textId="77777777" w:rsidR="00400DD1" w:rsidRPr="00DD47DF" w:rsidRDefault="00400DD1" w:rsidP="00F23CDB">
            <w:pPr>
              <w:pStyle w:val="Tabulka"/>
              <w:jc w:val="left"/>
              <w:rPr>
                <w:rFonts w:cs="Calibri"/>
              </w:rPr>
            </w:pPr>
            <w:r w:rsidRPr="00DD47DF">
              <w:rPr>
                <w:rFonts w:cs="Calibri"/>
              </w:rPr>
              <w:t>Svaz obchodu a cestovního ruchu</w:t>
            </w:r>
          </w:p>
        </w:tc>
        <w:tc>
          <w:tcPr>
            <w:tcW w:w="2609" w:type="pct"/>
            <w:shd w:val="clear" w:color="auto" w:fill="auto"/>
            <w:vAlign w:val="center"/>
          </w:tcPr>
          <w:p w14:paraId="1AE1007D" w14:textId="77777777" w:rsidR="00400DD1" w:rsidRPr="00DD47DF" w:rsidRDefault="00AF6FE3" w:rsidP="00F23CDB">
            <w:pPr>
              <w:pStyle w:val="Tabulka"/>
              <w:jc w:val="left"/>
              <w:rPr>
                <w:rFonts w:cs="Calibri"/>
              </w:rPr>
            </w:pPr>
            <w:hyperlink r:id="rId256" w:history="1">
              <w:r w:rsidR="00400DD1" w:rsidRPr="00DD47DF">
                <w:rPr>
                  <w:rStyle w:val="Hypertextovodkaz"/>
                  <w:rFonts w:cs="Calibri"/>
                  <w:bCs/>
                </w:rPr>
                <w:t>http://www.socr.cz/</w:t>
              </w:r>
            </w:hyperlink>
            <w:r w:rsidR="00400DD1" w:rsidRPr="00DD47DF">
              <w:rPr>
                <w:rFonts w:cs="Calibri"/>
              </w:rPr>
              <w:t xml:space="preserve"> </w:t>
            </w:r>
          </w:p>
        </w:tc>
      </w:tr>
      <w:tr w:rsidR="00400DD1" w:rsidRPr="00DD47DF" w14:paraId="6F762DD9" w14:textId="77777777">
        <w:trPr>
          <w:trHeight w:val="414"/>
        </w:trPr>
        <w:tc>
          <w:tcPr>
            <w:tcW w:w="2391" w:type="pct"/>
            <w:shd w:val="clear" w:color="auto" w:fill="auto"/>
            <w:vAlign w:val="center"/>
          </w:tcPr>
          <w:p w14:paraId="5877020C" w14:textId="77777777" w:rsidR="00400DD1" w:rsidRPr="00DD47DF" w:rsidRDefault="00400DD1" w:rsidP="00F23CDB">
            <w:pPr>
              <w:pStyle w:val="Tabulka"/>
              <w:jc w:val="left"/>
              <w:rPr>
                <w:rFonts w:cs="Calibri"/>
              </w:rPr>
            </w:pPr>
            <w:r w:rsidRPr="00DD47DF">
              <w:rPr>
                <w:rFonts w:cs="Calibri"/>
              </w:rPr>
              <w:t>Asociace malých a středních podniků</w:t>
            </w:r>
          </w:p>
        </w:tc>
        <w:tc>
          <w:tcPr>
            <w:tcW w:w="2609" w:type="pct"/>
            <w:shd w:val="clear" w:color="auto" w:fill="auto"/>
            <w:vAlign w:val="center"/>
          </w:tcPr>
          <w:p w14:paraId="68967793" w14:textId="77777777" w:rsidR="00400DD1" w:rsidRPr="00DD47DF" w:rsidRDefault="00AF6FE3" w:rsidP="00F23CDB">
            <w:pPr>
              <w:pStyle w:val="Tabulka"/>
              <w:jc w:val="left"/>
              <w:rPr>
                <w:rFonts w:cs="Calibri"/>
              </w:rPr>
            </w:pPr>
            <w:hyperlink r:id="rId257" w:history="1">
              <w:r w:rsidR="00400DD1" w:rsidRPr="00DD47DF">
                <w:rPr>
                  <w:rStyle w:val="Hypertextovodkaz"/>
                  <w:rFonts w:cs="Calibri"/>
                  <w:bCs/>
                </w:rPr>
                <w:t>http://www.amsp.cz/</w:t>
              </w:r>
            </w:hyperlink>
          </w:p>
        </w:tc>
      </w:tr>
      <w:tr w:rsidR="00400DD1" w:rsidRPr="00DD47DF" w14:paraId="7FB6B854" w14:textId="77777777">
        <w:trPr>
          <w:trHeight w:val="414"/>
        </w:trPr>
        <w:tc>
          <w:tcPr>
            <w:tcW w:w="2391" w:type="pct"/>
            <w:shd w:val="clear" w:color="auto" w:fill="auto"/>
            <w:vAlign w:val="center"/>
          </w:tcPr>
          <w:p w14:paraId="23C9C9CE" w14:textId="77777777" w:rsidR="00400DD1" w:rsidRPr="00DD47DF" w:rsidRDefault="00400DD1" w:rsidP="00F23CDB">
            <w:pPr>
              <w:pStyle w:val="Tabulka"/>
              <w:jc w:val="left"/>
              <w:rPr>
                <w:rFonts w:cs="Calibri"/>
              </w:rPr>
            </w:pPr>
            <w:r w:rsidRPr="00DD47DF">
              <w:rPr>
                <w:rFonts w:cs="Calibri"/>
              </w:rPr>
              <w:t>Nestátní neziskové organizace</w:t>
            </w:r>
          </w:p>
        </w:tc>
        <w:tc>
          <w:tcPr>
            <w:tcW w:w="2609" w:type="pct"/>
            <w:shd w:val="clear" w:color="auto" w:fill="auto"/>
            <w:vAlign w:val="center"/>
          </w:tcPr>
          <w:p w14:paraId="0F4FB3F0" w14:textId="77777777" w:rsidR="00400DD1" w:rsidRPr="00DD47DF" w:rsidRDefault="00AF6FE3" w:rsidP="00F23CDB">
            <w:pPr>
              <w:pStyle w:val="Tabulka"/>
              <w:jc w:val="left"/>
              <w:rPr>
                <w:rFonts w:cs="Calibri"/>
              </w:rPr>
            </w:pPr>
            <w:hyperlink r:id="rId258" w:history="1">
              <w:r w:rsidR="00400DD1" w:rsidRPr="00DD47DF">
                <w:rPr>
                  <w:rStyle w:val="Hypertextovodkaz"/>
                  <w:rFonts w:cs="Calibri"/>
                  <w:bCs/>
                </w:rPr>
                <w:t>http://www.asociacenno.cz/</w:t>
              </w:r>
            </w:hyperlink>
          </w:p>
        </w:tc>
      </w:tr>
      <w:tr w:rsidR="00400DD1" w:rsidRPr="00DD47DF" w14:paraId="1C3445D7" w14:textId="77777777">
        <w:trPr>
          <w:trHeight w:val="414"/>
        </w:trPr>
        <w:tc>
          <w:tcPr>
            <w:tcW w:w="2391" w:type="pct"/>
            <w:shd w:val="clear" w:color="auto" w:fill="auto"/>
            <w:vAlign w:val="center"/>
          </w:tcPr>
          <w:p w14:paraId="1FCA6CEC" w14:textId="77777777" w:rsidR="00400DD1" w:rsidRPr="00DD47DF" w:rsidRDefault="00400DD1" w:rsidP="00F23CDB">
            <w:pPr>
              <w:pStyle w:val="Tabulka"/>
              <w:jc w:val="left"/>
              <w:rPr>
                <w:rFonts w:cs="Calibri"/>
              </w:rPr>
            </w:pPr>
            <w:r w:rsidRPr="00DD47DF">
              <w:rPr>
                <w:rFonts w:cs="Calibri"/>
              </w:rPr>
              <w:t>Národní síť Místních akčních skupin České republiky, o.s.</w:t>
            </w:r>
          </w:p>
        </w:tc>
        <w:tc>
          <w:tcPr>
            <w:tcW w:w="2609" w:type="pct"/>
            <w:shd w:val="clear" w:color="auto" w:fill="auto"/>
            <w:vAlign w:val="center"/>
          </w:tcPr>
          <w:p w14:paraId="33C15DB2" w14:textId="77777777" w:rsidR="00400DD1" w:rsidRPr="00DD47DF" w:rsidRDefault="00AF6FE3" w:rsidP="00F23CDB">
            <w:pPr>
              <w:pStyle w:val="Tabulka"/>
              <w:jc w:val="left"/>
              <w:rPr>
                <w:rFonts w:cs="Calibri"/>
              </w:rPr>
            </w:pPr>
            <w:hyperlink r:id="rId259" w:history="1">
              <w:r w:rsidR="00400DD1" w:rsidRPr="00DD47DF">
                <w:rPr>
                  <w:rStyle w:val="Hypertextovodkaz"/>
                  <w:rFonts w:cs="Calibri"/>
                  <w:bCs/>
                </w:rPr>
                <w:t>http://nsmascr.cz/o-nas/mistni-akncni-skupiny/</w:t>
              </w:r>
            </w:hyperlink>
          </w:p>
        </w:tc>
      </w:tr>
      <w:tr w:rsidR="00400DD1" w:rsidRPr="00DD47DF" w14:paraId="2B2E26F7" w14:textId="77777777">
        <w:trPr>
          <w:trHeight w:val="414"/>
        </w:trPr>
        <w:tc>
          <w:tcPr>
            <w:tcW w:w="2391" w:type="pct"/>
            <w:shd w:val="clear" w:color="auto" w:fill="auto"/>
            <w:vAlign w:val="center"/>
          </w:tcPr>
          <w:p w14:paraId="1C680A38" w14:textId="77777777" w:rsidR="00400DD1" w:rsidRPr="00DD47DF" w:rsidRDefault="00400DD1" w:rsidP="00F23CDB">
            <w:pPr>
              <w:pStyle w:val="Tabulka"/>
              <w:jc w:val="left"/>
              <w:rPr>
                <w:rFonts w:cs="Calibri"/>
              </w:rPr>
            </w:pPr>
            <w:r w:rsidRPr="00DD47DF">
              <w:rPr>
                <w:rFonts w:cs="Calibri"/>
              </w:rPr>
              <w:t>Český telekomunikační úřad</w:t>
            </w:r>
          </w:p>
        </w:tc>
        <w:tc>
          <w:tcPr>
            <w:tcW w:w="2609" w:type="pct"/>
            <w:shd w:val="clear" w:color="auto" w:fill="auto"/>
            <w:vAlign w:val="center"/>
          </w:tcPr>
          <w:p w14:paraId="5E5CDA43" w14:textId="77777777" w:rsidR="00400DD1" w:rsidRPr="00DD47DF" w:rsidRDefault="00AF6FE3" w:rsidP="00F23CDB">
            <w:pPr>
              <w:pStyle w:val="Tabulka"/>
              <w:jc w:val="left"/>
              <w:rPr>
                <w:rFonts w:cs="Calibri"/>
              </w:rPr>
            </w:pPr>
            <w:hyperlink r:id="rId260" w:history="1">
              <w:r w:rsidR="00400DD1" w:rsidRPr="00DD47DF">
                <w:rPr>
                  <w:rStyle w:val="Hypertextovodkaz"/>
                  <w:rFonts w:cs="Calibri"/>
                  <w:bCs/>
                </w:rPr>
                <w:t>http://www.ctu.cz/</w:t>
              </w:r>
            </w:hyperlink>
            <w:r w:rsidR="00400DD1" w:rsidRPr="00DD47DF">
              <w:rPr>
                <w:rFonts w:cs="Calibri"/>
              </w:rPr>
              <w:t xml:space="preserve"> </w:t>
            </w:r>
          </w:p>
        </w:tc>
      </w:tr>
      <w:tr w:rsidR="00400DD1" w:rsidRPr="00DD47DF" w14:paraId="0217C7EC" w14:textId="77777777">
        <w:trPr>
          <w:trHeight w:val="414"/>
        </w:trPr>
        <w:tc>
          <w:tcPr>
            <w:tcW w:w="2391" w:type="pct"/>
            <w:shd w:val="clear" w:color="auto" w:fill="auto"/>
            <w:vAlign w:val="center"/>
          </w:tcPr>
          <w:p w14:paraId="2499976A" w14:textId="77777777" w:rsidR="00400DD1" w:rsidRPr="00DD47DF" w:rsidRDefault="00400DD1" w:rsidP="00F23CDB">
            <w:pPr>
              <w:pStyle w:val="Tabulka"/>
              <w:jc w:val="left"/>
              <w:rPr>
                <w:rFonts w:cs="Calibri"/>
              </w:rPr>
            </w:pPr>
            <w:r w:rsidRPr="00DD47DF">
              <w:rPr>
                <w:rFonts w:cs="Calibri"/>
              </w:rPr>
              <w:t>Vysoká škola ekonomická v Praze</w:t>
            </w:r>
          </w:p>
        </w:tc>
        <w:tc>
          <w:tcPr>
            <w:tcW w:w="2609" w:type="pct"/>
            <w:shd w:val="clear" w:color="auto" w:fill="auto"/>
            <w:vAlign w:val="center"/>
          </w:tcPr>
          <w:p w14:paraId="33529480" w14:textId="77777777" w:rsidR="00400DD1" w:rsidRPr="00DD47DF" w:rsidRDefault="00AF6FE3" w:rsidP="00F23CDB">
            <w:pPr>
              <w:pStyle w:val="Tabulka"/>
              <w:jc w:val="left"/>
              <w:rPr>
                <w:rFonts w:cs="Calibri"/>
              </w:rPr>
            </w:pPr>
            <w:hyperlink r:id="rId261" w:history="1">
              <w:r w:rsidR="00400DD1" w:rsidRPr="00DD47DF">
                <w:rPr>
                  <w:rStyle w:val="Hypertextovodkaz"/>
                  <w:rFonts w:cs="Calibri"/>
                  <w:bCs/>
                </w:rPr>
                <w:t>http://www.vse.cz/</w:t>
              </w:r>
            </w:hyperlink>
            <w:r w:rsidR="00400DD1" w:rsidRPr="00DD47DF">
              <w:rPr>
                <w:rFonts w:cs="Calibri"/>
              </w:rPr>
              <w:t xml:space="preserve"> </w:t>
            </w:r>
          </w:p>
        </w:tc>
      </w:tr>
      <w:tr w:rsidR="00400DD1" w:rsidRPr="00DD47DF" w14:paraId="3566CC57" w14:textId="77777777">
        <w:trPr>
          <w:trHeight w:val="414"/>
        </w:trPr>
        <w:tc>
          <w:tcPr>
            <w:tcW w:w="2391" w:type="pct"/>
            <w:shd w:val="clear" w:color="auto" w:fill="auto"/>
            <w:vAlign w:val="center"/>
          </w:tcPr>
          <w:p w14:paraId="655D5EE8" w14:textId="77777777" w:rsidR="00400DD1" w:rsidRPr="00DD47DF" w:rsidRDefault="00400DD1" w:rsidP="00F23CDB">
            <w:pPr>
              <w:pStyle w:val="Tabulka"/>
              <w:jc w:val="left"/>
              <w:rPr>
                <w:rFonts w:cs="Calibri"/>
              </w:rPr>
            </w:pPr>
            <w:r w:rsidRPr="00DD47DF">
              <w:rPr>
                <w:rFonts w:cs="Calibri"/>
              </w:rPr>
              <w:t>Hlavní město Praha</w:t>
            </w:r>
          </w:p>
        </w:tc>
        <w:tc>
          <w:tcPr>
            <w:tcW w:w="2609" w:type="pct"/>
            <w:shd w:val="clear" w:color="auto" w:fill="auto"/>
            <w:vAlign w:val="center"/>
          </w:tcPr>
          <w:p w14:paraId="4A0ED0A3" w14:textId="77777777" w:rsidR="00400DD1" w:rsidRPr="00DD47DF" w:rsidRDefault="00AF6FE3" w:rsidP="00F23CDB">
            <w:pPr>
              <w:pStyle w:val="Tabulka"/>
              <w:jc w:val="left"/>
              <w:rPr>
                <w:rFonts w:cs="Calibri"/>
              </w:rPr>
            </w:pPr>
            <w:hyperlink r:id="rId262" w:history="1">
              <w:r w:rsidR="00400DD1" w:rsidRPr="00DD47DF">
                <w:rPr>
                  <w:rStyle w:val="Hypertextovodkaz"/>
                  <w:rFonts w:cs="Calibri"/>
                  <w:bCs/>
                </w:rPr>
                <w:t>http://www.praha.eu/jnp/cz/home/index.html</w:t>
              </w:r>
            </w:hyperlink>
          </w:p>
        </w:tc>
      </w:tr>
    </w:tbl>
    <w:p w14:paraId="43B9F840" w14:textId="77777777" w:rsidR="00400DD1" w:rsidRPr="00DD47DF" w:rsidRDefault="00400DD1" w:rsidP="00400DD1">
      <w:pPr>
        <w:pStyle w:val="Standardn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912"/>
      </w:tblGrid>
      <w:tr w:rsidR="00400DD1" w:rsidRPr="00DD47DF" w14:paraId="4A1B91E1" w14:textId="77777777">
        <w:trPr>
          <w:trHeight w:val="414"/>
        </w:trPr>
        <w:tc>
          <w:tcPr>
            <w:tcW w:w="5000" w:type="pct"/>
            <w:gridSpan w:val="2"/>
            <w:shd w:val="clear" w:color="auto" w:fill="DBE5F1"/>
            <w:vAlign w:val="center"/>
          </w:tcPr>
          <w:p w14:paraId="50759680" w14:textId="77777777" w:rsidR="00400DD1" w:rsidRPr="00DD47DF" w:rsidRDefault="00400DD1" w:rsidP="005F4918">
            <w:pPr>
              <w:pStyle w:val="Tabulka"/>
              <w:rPr>
                <w:rFonts w:cs="Calibri"/>
                <w:b/>
              </w:rPr>
            </w:pPr>
            <w:r w:rsidRPr="00DD47DF">
              <w:rPr>
                <w:rFonts w:cs="Calibri"/>
                <w:b/>
              </w:rPr>
              <w:t>PS</w:t>
            </w:r>
            <w:r w:rsidR="005F4918" w:rsidRPr="00DD47DF">
              <w:rPr>
                <w:rFonts w:cs="Calibri"/>
                <w:b/>
              </w:rPr>
              <w:t xml:space="preserve"> </w:t>
            </w:r>
            <w:r w:rsidRPr="00DD47DF">
              <w:rPr>
                <w:rFonts w:cs="Calibri"/>
                <w:b/>
              </w:rPr>
              <w:t>5 „Příprava finančních nástrojů“</w:t>
            </w:r>
          </w:p>
        </w:tc>
      </w:tr>
      <w:tr w:rsidR="00400DD1" w:rsidRPr="00DD47DF" w14:paraId="13481287" w14:textId="77777777">
        <w:trPr>
          <w:trHeight w:val="414"/>
        </w:trPr>
        <w:tc>
          <w:tcPr>
            <w:tcW w:w="2395" w:type="pct"/>
            <w:shd w:val="clear" w:color="auto" w:fill="auto"/>
            <w:vAlign w:val="center"/>
          </w:tcPr>
          <w:p w14:paraId="1EB8355D" w14:textId="77777777" w:rsidR="00400DD1" w:rsidRPr="00DD47DF" w:rsidRDefault="00400DD1" w:rsidP="00F23CDB">
            <w:pPr>
              <w:pStyle w:val="Tabulka"/>
              <w:jc w:val="left"/>
              <w:rPr>
                <w:rFonts w:cs="Calibri"/>
              </w:rPr>
            </w:pPr>
            <w:r w:rsidRPr="00DD47DF">
              <w:rPr>
                <w:rFonts w:cs="Calibri"/>
              </w:rPr>
              <w:t>Národní ekonomická rada vlády</w:t>
            </w:r>
          </w:p>
        </w:tc>
        <w:tc>
          <w:tcPr>
            <w:tcW w:w="2605" w:type="pct"/>
            <w:shd w:val="clear" w:color="auto" w:fill="auto"/>
            <w:vAlign w:val="center"/>
          </w:tcPr>
          <w:p w14:paraId="1BE3F559" w14:textId="77777777" w:rsidR="00400DD1" w:rsidRPr="00DD47DF" w:rsidRDefault="00AF6FE3" w:rsidP="00F23CDB">
            <w:pPr>
              <w:pStyle w:val="Tabulka"/>
              <w:jc w:val="left"/>
              <w:rPr>
                <w:rFonts w:cs="Calibri"/>
              </w:rPr>
            </w:pPr>
            <w:hyperlink r:id="rId263" w:history="1">
              <w:r w:rsidR="00400DD1" w:rsidRPr="00DD47DF">
                <w:rPr>
                  <w:rStyle w:val="Hypertextovodkaz"/>
                  <w:rFonts w:cs="Calibri"/>
                  <w:bCs/>
                </w:rPr>
                <w:t>http://www.vlada.cz/cz/ppov/ekonomicka-rada/narodni-ekonomicka-rada-vlady-51371/</w:t>
              </w:r>
            </w:hyperlink>
            <w:r w:rsidR="00400DD1" w:rsidRPr="00DD47DF">
              <w:rPr>
                <w:rFonts w:cs="Calibri"/>
              </w:rPr>
              <w:t xml:space="preserve"> </w:t>
            </w:r>
          </w:p>
        </w:tc>
      </w:tr>
      <w:tr w:rsidR="00400DD1" w:rsidRPr="00DD47DF" w14:paraId="6F586E87" w14:textId="77777777">
        <w:trPr>
          <w:trHeight w:val="414"/>
        </w:trPr>
        <w:tc>
          <w:tcPr>
            <w:tcW w:w="2395" w:type="pct"/>
            <w:shd w:val="clear" w:color="auto" w:fill="auto"/>
            <w:vAlign w:val="center"/>
          </w:tcPr>
          <w:p w14:paraId="4EFB8B8D" w14:textId="77777777" w:rsidR="00400DD1" w:rsidRPr="00DD47DF" w:rsidRDefault="00400DD1" w:rsidP="00F23CDB">
            <w:pPr>
              <w:pStyle w:val="Tabulka"/>
              <w:jc w:val="left"/>
              <w:rPr>
                <w:rFonts w:cs="Calibri"/>
              </w:rPr>
            </w:pPr>
            <w:r w:rsidRPr="00DD47DF">
              <w:rPr>
                <w:rFonts w:cs="Calibri"/>
              </w:rPr>
              <w:t>Českomoravská záruční a rozvojová banka</w:t>
            </w:r>
          </w:p>
        </w:tc>
        <w:tc>
          <w:tcPr>
            <w:tcW w:w="2605" w:type="pct"/>
            <w:shd w:val="clear" w:color="auto" w:fill="auto"/>
            <w:vAlign w:val="center"/>
          </w:tcPr>
          <w:p w14:paraId="23257724" w14:textId="77777777" w:rsidR="00400DD1" w:rsidRPr="00DD47DF" w:rsidRDefault="00AF6FE3" w:rsidP="00F23CDB">
            <w:pPr>
              <w:pStyle w:val="Tabulka"/>
              <w:jc w:val="left"/>
              <w:rPr>
                <w:rFonts w:cs="Calibri"/>
              </w:rPr>
            </w:pPr>
            <w:hyperlink r:id="rId264" w:history="1">
              <w:r w:rsidR="00400DD1" w:rsidRPr="00DD47DF">
                <w:rPr>
                  <w:rStyle w:val="Hypertextovodkaz"/>
                  <w:rFonts w:cs="Calibri"/>
                  <w:bCs/>
                </w:rPr>
                <w:t>http://www.cmzrb.cz/</w:t>
              </w:r>
            </w:hyperlink>
            <w:r w:rsidR="00400DD1" w:rsidRPr="00DD47DF">
              <w:rPr>
                <w:rFonts w:cs="Calibri"/>
              </w:rPr>
              <w:t xml:space="preserve"> </w:t>
            </w:r>
          </w:p>
        </w:tc>
      </w:tr>
      <w:tr w:rsidR="00400DD1" w:rsidRPr="00DD47DF" w14:paraId="2D8E561D" w14:textId="77777777">
        <w:trPr>
          <w:trHeight w:val="414"/>
        </w:trPr>
        <w:tc>
          <w:tcPr>
            <w:tcW w:w="2395" w:type="pct"/>
            <w:shd w:val="clear" w:color="auto" w:fill="auto"/>
            <w:vAlign w:val="center"/>
          </w:tcPr>
          <w:p w14:paraId="2E9511B4" w14:textId="77777777" w:rsidR="00400DD1" w:rsidRPr="00DD47DF" w:rsidRDefault="00400DD1" w:rsidP="00F23CDB">
            <w:pPr>
              <w:pStyle w:val="Tabulka"/>
              <w:jc w:val="left"/>
              <w:rPr>
                <w:rFonts w:cs="Calibri"/>
              </w:rPr>
            </w:pPr>
            <w:r w:rsidRPr="00DD47DF">
              <w:rPr>
                <w:rFonts w:cs="Calibri"/>
              </w:rPr>
              <w:t>Svaz měst a obcí ČR</w:t>
            </w:r>
          </w:p>
        </w:tc>
        <w:tc>
          <w:tcPr>
            <w:tcW w:w="2605" w:type="pct"/>
            <w:shd w:val="clear" w:color="auto" w:fill="auto"/>
            <w:vAlign w:val="center"/>
          </w:tcPr>
          <w:p w14:paraId="27D4E628" w14:textId="77777777" w:rsidR="00400DD1" w:rsidRPr="00DD47DF" w:rsidRDefault="00AF6FE3" w:rsidP="00F23CDB">
            <w:pPr>
              <w:pStyle w:val="Tabulka"/>
              <w:jc w:val="left"/>
              <w:rPr>
                <w:rFonts w:cs="Calibri"/>
              </w:rPr>
            </w:pPr>
            <w:hyperlink r:id="rId265" w:history="1">
              <w:r w:rsidR="00400DD1" w:rsidRPr="00DD47DF">
                <w:rPr>
                  <w:rStyle w:val="Hypertextovodkaz"/>
                  <w:rFonts w:cs="Calibri"/>
                  <w:bCs/>
                </w:rPr>
                <w:t>http://www.smocr.cz/</w:t>
              </w:r>
            </w:hyperlink>
            <w:r w:rsidR="00400DD1" w:rsidRPr="00DD47DF">
              <w:rPr>
                <w:rFonts w:cs="Calibri"/>
              </w:rPr>
              <w:t xml:space="preserve"> </w:t>
            </w:r>
          </w:p>
        </w:tc>
      </w:tr>
      <w:tr w:rsidR="00400DD1" w:rsidRPr="00DD47DF" w14:paraId="028C7776" w14:textId="77777777">
        <w:trPr>
          <w:trHeight w:val="414"/>
        </w:trPr>
        <w:tc>
          <w:tcPr>
            <w:tcW w:w="2395" w:type="pct"/>
            <w:shd w:val="clear" w:color="auto" w:fill="auto"/>
            <w:vAlign w:val="center"/>
          </w:tcPr>
          <w:p w14:paraId="488A583F" w14:textId="77777777" w:rsidR="00400DD1" w:rsidRPr="00DD47DF" w:rsidRDefault="00400DD1" w:rsidP="00F23CDB">
            <w:pPr>
              <w:pStyle w:val="Tabulka"/>
              <w:jc w:val="left"/>
              <w:rPr>
                <w:rFonts w:cs="Calibri"/>
              </w:rPr>
            </w:pPr>
            <w:r w:rsidRPr="00DD47DF">
              <w:rPr>
                <w:rFonts w:cs="Calibri"/>
              </w:rPr>
              <w:t>Česká bankovní asociace</w:t>
            </w:r>
          </w:p>
        </w:tc>
        <w:tc>
          <w:tcPr>
            <w:tcW w:w="2605" w:type="pct"/>
            <w:shd w:val="clear" w:color="auto" w:fill="auto"/>
            <w:vAlign w:val="center"/>
          </w:tcPr>
          <w:p w14:paraId="7E684E30" w14:textId="77777777" w:rsidR="00400DD1" w:rsidRPr="00DD47DF" w:rsidRDefault="00AF6FE3" w:rsidP="00F23CDB">
            <w:pPr>
              <w:pStyle w:val="Tabulka"/>
              <w:jc w:val="left"/>
              <w:rPr>
                <w:rFonts w:cs="Calibri"/>
              </w:rPr>
            </w:pPr>
            <w:hyperlink r:id="rId266" w:history="1">
              <w:r w:rsidR="00400DD1" w:rsidRPr="00DD47DF">
                <w:rPr>
                  <w:rStyle w:val="Hypertextovodkaz"/>
                  <w:rFonts w:cs="Calibri"/>
                  <w:bCs/>
                </w:rPr>
                <w:t>https://www.czech-ba.cz/</w:t>
              </w:r>
            </w:hyperlink>
            <w:r w:rsidR="00400DD1" w:rsidRPr="00DD47DF">
              <w:rPr>
                <w:rFonts w:cs="Calibri"/>
              </w:rPr>
              <w:t xml:space="preserve"> </w:t>
            </w:r>
          </w:p>
        </w:tc>
      </w:tr>
      <w:tr w:rsidR="002002C5" w:rsidRPr="00DD47DF" w14:paraId="4EF2D6E6" w14:textId="77777777">
        <w:trPr>
          <w:trHeight w:val="414"/>
        </w:trPr>
        <w:tc>
          <w:tcPr>
            <w:tcW w:w="2395" w:type="pct"/>
            <w:shd w:val="clear" w:color="auto" w:fill="auto"/>
            <w:vAlign w:val="center"/>
          </w:tcPr>
          <w:p w14:paraId="61CF8C42" w14:textId="77777777" w:rsidR="002002C5" w:rsidRPr="00DD47DF" w:rsidRDefault="002002C5" w:rsidP="00E7342F">
            <w:pPr>
              <w:pStyle w:val="Tabulka"/>
              <w:jc w:val="left"/>
              <w:rPr>
                <w:rFonts w:cs="Calibri"/>
              </w:rPr>
            </w:pPr>
            <w:r w:rsidRPr="00DD47DF">
              <w:rPr>
                <w:rFonts w:cs="Calibri"/>
              </w:rPr>
              <w:t>Czech Venture Capital &amp; Private Equity Association</w:t>
            </w:r>
          </w:p>
        </w:tc>
        <w:tc>
          <w:tcPr>
            <w:tcW w:w="2605" w:type="pct"/>
            <w:shd w:val="clear" w:color="auto" w:fill="auto"/>
            <w:vAlign w:val="center"/>
          </w:tcPr>
          <w:p w14:paraId="7244A820" w14:textId="77777777" w:rsidR="002002C5" w:rsidRPr="00DD47DF" w:rsidRDefault="00AF6FE3" w:rsidP="00E7342F">
            <w:pPr>
              <w:pStyle w:val="Tabulka"/>
              <w:jc w:val="left"/>
              <w:rPr>
                <w:rFonts w:cs="Calibri"/>
              </w:rPr>
            </w:pPr>
            <w:hyperlink r:id="rId267" w:history="1">
              <w:r w:rsidR="002002C5" w:rsidRPr="00DD47DF">
                <w:rPr>
                  <w:rStyle w:val="Hypertextovodkaz"/>
                  <w:rFonts w:cs="Calibri"/>
                </w:rPr>
                <w:t>http://www.cvca.cz</w:t>
              </w:r>
            </w:hyperlink>
          </w:p>
        </w:tc>
      </w:tr>
    </w:tbl>
    <w:p w14:paraId="552B1862" w14:textId="77777777" w:rsidR="00400DD1" w:rsidRPr="00DD47DF" w:rsidRDefault="00400DD1" w:rsidP="00400DD1">
      <w:pPr>
        <w:pStyle w:val="Standardn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912"/>
      </w:tblGrid>
      <w:tr w:rsidR="00400DD1" w:rsidRPr="00DD47DF" w14:paraId="255DD70E" w14:textId="77777777">
        <w:trPr>
          <w:trHeight w:val="430"/>
        </w:trPr>
        <w:tc>
          <w:tcPr>
            <w:tcW w:w="5000" w:type="pct"/>
            <w:gridSpan w:val="2"/>
            <w:shd w:val="clear" w:color="auto" w:fill="DBE5F1"/>
            <w:vAlign w:val="center"/>
          </w:tcPr>
          <w:p w14:paraId="715357D7" w14:textId="77777777" w:rsidR="00400DD1" w:rsidRPr="00DD47DF" w:rsidRDefault="00400DD1" w:rsidP="005F4918">
            <w:pPr>
              <w:pStyle w:val="Tabulka"/>
              <w:rPr>
                <w:rFonts w:cs="Calibri"/>
                <w:b/>
              </w:rPr>
            </w:pPr>
            <w:r w:rsidRPr="00DD47DF">
              <w:rPr>
                <w:rFonts w:cs="Calibri"/>
                <w:b/>
              </w:rPr>
              <w:t>PS</w:t>
            </w:r>
            <w:r w:rsidR="005F4918" w:rsidRPr="00DD47DF">
              <w:rPr>
                <w:rFonts w:cs="Calibri"/>
                <w:b/>
              </w:rPr>
              <w:t xml:space="preserve"> </w:t>
            </w:r>
            <w:r w:rsidRPr="00DD47DF">
              <w:rPr>
                <w:rFonts w:cs="Calibri"/>
                <w:b/>
              </w:rPr>
              <w:t>6 „Horizontální“</w:t>
            </w:r>
          </w:p>
        </w:tc>
      </w:tr>
      <w:tr w:rsidR="00400DD1" w:rsidRPr="00DD47DF" w14:paraId="4F63282C" w14:textId="77777777">
        <w:trPr>
          <w:trHeight w:val="414"/>
        </w:trPr>
        <w:tc>
          <w:tcPr>
            <w:tcW w:w="2395" w:type="pct"/>
            <w:shd w:val="clear" w:color="auto" w:fill="auto"/>
            <w:vAlign w:val="center"/>
          </w:tcPr>
          <w:p w14:paraId="1C1008FB" w14:textId="77777777" w:rsidR="00400DD1" w:rsidRPr="00DD47DF" w:rsidRDefault="00400DD1" w:rsidP="00F23CDB">
            <w:pPr>
              <w:pStyle w:val="Tabulka"/>
              <w:jc w:val="left"/>
              <w:rPr>
                <w:rFonts w:cs="Calibri"/>
              </w:rPr>
            </w:pPr>
            <w:r w:rsidRPr="00DD47DF">
              <w:rPr>
                <w:rFonts w:cs="Calibri"/>
              </w:rPr>
              <w:t>M</w:t>
            </w:r>
            <w:r w:rsidR="000E47D9" w:rsidRPr="00DD47DF">
              <w:rPr>
                <w:rFonts w:cs="Calibri"/>
              </w:rPr>
              <w:t>inisterstvo pro místní rozvoj</w:t>
            </w:r>
          </w:p>
        </w:tc>
        <w:tc>
          <w:tcPr>
            <w:tcW w:w="2605" w:type="pct"/>
            <w:shd w:val="clear" w:color="auto" w:fill="auto"/>
            <w:vAlign w:val="center"/>
          </w:tcPr>
          <w:p w14:paraId="2E35574E" w14:textId="77777777" w:rsidR="00400DD1" w:rsidRPr="00DD47DF" w:rsidRDefault="00AF6FE3" w:rsidP="00F23CDB">
            <w:pPr>
              <w:pStyle w:val="Tabulka"/>
              <w:jc w:val="left"/>
              <w:rPr>
                <w:rFonts w:cs="Calibri"/>
              </w:rPr>
            </w:pPr>
            <w:hyperlink r:id="rId268" w:history="1">
              <w:r w:rsidR="00400DD1" w:rsidRPr="00DD47DF">
                <w:rPr>
                  <w:rStyle w:val="Hypertextovodkaz"/>
                  <w:rFonts w:cs="Calibri"/>
                  <w:bCs/>
                </w:rPr>
                <w:t>http://www.mmr.cz/cs/Uvodni-strana</w:t>
              </w:r>
            </w:hyperlink>
          </w:p>
        </w:tc>
      </w:tr>
      <w:tr w:rsidR="00400DD1" w:rsidRPr="00DD47DF" w14:paraId="1C2BA598" w14:textId="77777777">
        <w:trPr>
          <w:trHeight w:val="414"/>
        </w:trPr>
        <w:tc>
          <w:tcPr>
            <w:tcW w:w="2395" w:type="pct"/>
            <w:shd w:val="clear" w:color="auto" w:fill="auto"/>
            <w:vAlign w:val="center"/>
          </w:tcPr>
          <w:p w14:paraId="2A08FBD9" w14:textId="77777777" w:rsidR="00400DD1" w:rsidRPr="00DD47DF" w:rsidRDefault="00400DD1" w:rsidP="00F23CDB">
            <w:pPr>
              <w:pStyle w:val="Tabulka"/>
              <w:jc w:val="left"/>
              <w:rPr>
                <w:rFonts w:cs="Calibri"/>
              </w:rPr>
            </w:pPr>
            <w:r w:rsidRPr="00DD47DF">
              <w:rPr>
                <w:rFonts w:cs="Calibri"/>
              </w:rPr>
              <w:lastRenderedPageBreak/>
              <w:t>Svaz měst a obcí ČR</w:t>
            </w:r>
          </w:p>
        </w:tc>
        <w:tc>
          <w:tcPr>
            <w:tcW w:w="2605" w:type="pct"/>
            <w:shd w:val="clear" w:color="auto" w:fill="auto"/>
            <w:vAlign w:val="center"/>
          </w:tcPr>
          <w:p w14:paraId="35B281D5" w14:textId="77777777" w:rsidR="00400DD1" w:rsidRPr="00DD47DF" w:rsidRDefault="00AF6FE3" w:rsidP="00F23CDB">
            <w:pPr>
              <w:pStyle w:val="Tabulka"/>
              <w:jc w:val="left"/>
              <w:rPr>
                <w:rFonts w:cs="Calibri"/>
              </w:rPr>
            </w:pPr>
            <w:hyperlink r:id="rId269" w:history="1">
              <w:r w:rsidR="00400DD1" w:rsidRPr="00DD47DF">
                <w:rPr>
                  <w:rStyle w:val="Hypertextovodkaz"/>
                  <w:rFonts w:cs="Calibri"/>
                  <w:bCs/>
                </w:rPr>
                <w:t>http://www.smocr.cz/</w:t>
              </w:r>
            </w:hyperlink>
            <w:r w:rsidR="00400DD1" w:rsidRPr="00DD47DF">
              <w:rPr>
                <w:rFonts w:cs="Calibri"/>
              </w:rPr>
              <w:t xml:space="preserve"> </w:t>
            </w:r>
          </w:p>
        </w:tc>
      </w:tr>
      <w:tr w:rsidR="00400DD1" w:rsidRPr="00DD47DF" w14:paraId="62553FD1" w14:textId="77777777">
        <w:trPr>
          <w:trHeight w:val="414"/>
        </w:trPr>
        <w:tc>
          <w:tcPr>
            <w:tcW w:w="2395" w:type="pct"/>
            <w:shd w:val="clear" w:color="auto" w:fill="auto"/>
            <w:vAlign w:val="center"/>
          </w:tcPr>
          <w:p w14:paraId="517C6A32" w14:textId="77777777" w:rsidR="00400DD1" w:rsidRPr="00DD47DF" w:rsidRDefault="00400DD1" w:rsidP="00F23CDB">
            <w:pPr>
              <w:pStyle w:val="Tabulka"/>
              <w:jc w:val="left"/>
              <w:rPr>
                <w:rFonts w:cs="Calibri"/>
              </w:rPr>
            </w:pPr>
            <w:r w:rsidRPr="00DD47DF">
              <w:rPr>
                <w:rFonts w:cs="Calibri"/>
              </w:rPr>
              <w:t>Česká bankovní asociace</w:t>
            </w:r>
          </w:p>
        </w:tc>
        <w:tc>
          <w:tcPr>
            <w:tcW w:w="2605" w:type="pct"/>
            <w:shd w:val="clear" w:color="auto" w:fill="auto"/>
            <w:vAlign w:val="center"/>
          </w:tcPr>
          <w:p w14:paraId="2D02DFED" w14:textId="77777777" w:rsidR="00400DD1" w:rsidRPr="00DD47DF" w:rsidRDefault="00AF6FE3" w:rsidP="00F23CDB">
            <w:pPr>
              <w:pStyle w:val="Tabulka"/>
              <w:jc w:val="left"/>
              <w:rPr>
                <w:rFonts w:cs="Calibri"/>
              </w:rPr>
            </w:pPr>
            <w:hyperlink r:id="rId270" w:history="1">
              <w:r w:rsidR="00184A61" w:rsidRPr="00DD47DF">
                <w:rPr>
                  <w:rStyle w:val="Hypertextovodkaz"/>
                  <w:rFonts w:cs="Calibri"/>
                  <w:bCs/>
                </w:rPr>
                <w:t>https://www.czech-ba.cz/</w:t>
              </w:r>
            </w:hyperlink>
          </w:p>
        </w:tc>
      </w:tr>
      <w:tr w:rsidR="00184A61" w:rsidRPr="00DD47DF" w14:paraId="69A126BD" w14:textId="77777777">
        <w:trPr>
          <w:trHeight w:val="414"/>
        </w:trPr>
        <w:tc>
          <w:tcPr>
            <w:tcW w:w="2395" w:type="pct"/>
            <w:shd w:val="clear" w:color="auto" w:fill="auto"/>
            <w:vAlign w:val="center"/>
          </w:tcPr>
          <w:p w14:paraId="7B7E2205" w14:textId="77777777" w:rsidR="00184A61" w:rsidRPr="00DD47DF" w:rsidRDefault="00184A61" w:rsidP="00F23CDB">
            <w:pPr>
              <w:pStyle w:val="Tabulka"/>
              <w:jc w:val="left"/>
              <w:rPr>
                <w:rFonts w:cs="Calibri"/>
              </w:rPr>
            </w:pPr>
            <w:r w:rsidRPr="00DD47DF">
              <w:rPr>
                <w:rFonts w:cs="Calibri"/>
              </w:rPr>
              <w:t>Českomoravská záruční a rozvojová banka, a.s.</w:t>
            </w:r>
          </w:p>
        </w:tc>
        <w:tc>
          <w:tcPr>
            <w:tcW w:w="2605" w:type="pct"/>
            <w:shd w:val="clear" w:color="auto" w:fill="auto"/>
            <w:vAlign w:val="center"/>
          </w:tcPr>
          <w:p w14:paraId="30EC05A4" w14:textId="77777777" w:rsidR="00184A61" w:rsidRPr="00DD47DF" w:rsidRDefault="00AF6FE3" w:rsidP="00F23CDB">
            <w:pPr>
              <w:pStyle w:val="Tabulka"/>
              <w:jc w:val="left"/>
              <w:rPr>
                <w:rFonts w:cs="Calibri"/>
              </w:rPr>
            </w:pPr>
            <w:hyperlink r:id="rId271" w:history="1">
              <w:r w:rsidR="00184A61" w:rsidRPr="00DD47DF">
                <w:rPr>
                  <w:rStyle w:val="Hypertextovodkaz"/>
                  <w:rFonts w:cs="Calibri"/>
                </w:rPr>
                <w:t>http://cmzrb.cz</w:t>
              </w:r>
            </w:hyperlink>
            <w:r w:rsidR="00184A61" w:rsidRPr="00DD47DF">
              <w:rPr>
                <w:rFonts w:cs="Calibri"/>
              </w:rPr>
              <w:t xml:space="preserve"> </w:t>
            </w:r>
          </w:p>
        </w:tc>
      </w:tr>
      <w:bookmarkEnd w:id="151"/>
    </w:tbl>
    <w:p w14:paraId="66580968" w14:textId="77777777" w:rsidR="009B27F6" w:rsidRPr="00DD47DF" w:rsidRDefault="009B27F6" w:rsidP="009B27F6">
      <w:pPr>
        <w:pStyle w:val="Standardntext"/>
      </w:pPr>
    </w:p>
    <w:p w14:paraId="5A6DD86F" w14:textId="77777777" w:rsidR="009B27F6" w:rsidRPr="00DD47DF" w:rsidRDefault="009B27F6" w:rsidP="009B27F6">
      <w:pPr>
        <w:pStyle w:val="Standardntext"/>
      </w:pPr>
    </w:p>
    <w:p w14:paraId="43150B9E" w14:textId="77777777" w:rsidR="00AA042C" w:rsidRPr="00DD47DF" w:rsidRDefault="0084765A" w:rsidP="00E134D0">
      <w:pPr>
        <w:pStyle w:val="Nadpis2"/>
        <w:numPr>
          <w:ilvl w:val="0"/>
          <w:numId w:val="0"/>
        </w:numPr>
        <w:ind w:left="576" w:hanging="576"/>
        <w:rPr>
          <w:rFonts w:cs="Calibri"/>
        </w:rPr>
      </w:pPr>
      <w:bookmarkStart w:id="153" w:name="_Toc520445352"/>
      <w:r w:rsidRPr="00DD47DF">
        <w:rPr>
          <w:rFonts w:cs="Calibri"/>
        </w:rPr>
        <w:t>P</w:t>
      </w:r>
      <w:r w:rsidR="00E134D0" w:rsidRPr="00DD47DF">
        <w:rPr>
          <w:rFonts w:cs="Calibri"/>
        </w:rPr>
        <w:t>ŘÍLOHY</w:t>
      </w:r>
      <w:r w:rsidRPr="00DD47DF">
        <w:rPr>
          <w:rFonts w:cs="Calibri"/>
        </w:rPr>
        <w:t xml:space="preserve"> </w:t>
      </w:r>
      <w:r w:rsidR="00E134D0" w:rsidRPr="00DD47DF">
        <w:rPr>
          <w:rFonts w:cs="Calibri"/>
        </w:rPr>
        <w:t>(nahrány do systému pro elektronickou výměnu dat jako samostatné soubory)</w:t>
      </w:r>
      <w:bookmarkEnd w:id="153"/>
    </w:p>
    <w:p w14:paraId="196B7874" w14:textId="77777777" w:rsidR="007F55D2" w:rsidRPr="00DD47DF" w:rsidRDefault="004D0D1E" w:rsidP="00DA3512">
      <w:pPr>
        <w:pStyle w:val="Standardntext"/>
        <w:numPr>
          <w:ilvl w:val="0"/>
          <w:numId w:val="75"/>
        </w:numPr>
        <w:ind w:left="426"/>
      </w:pPr>
      <w:r w:rsidRPr="00DD47DF">
        <w:t>N</w:t>
      </w:r>
      <w:r w:rsidR="00E134D0" w:rsidRPr="00DD47DF">
        <w:t>ávrh zprávy o hodnocení ex ante a shrnutí (povinné)</w:t>
      </w:r>
    </w:p>
    <w:p w14:paraId="4AF8BBA1" w14:textId="77777777" w:rsidR="003D1B35" w:rsidRPr="00DD47DF" w:rsidRDefault="004D0D1E" w:rsidP="00DA3512">
      <w:pPr>
        <w:pStyle w:val="Standardntext"/>
        <w:numPr>
          <w:ilvl w:val="0"/>
          <w:numId w:val="75"/>
        </w:numPr>
        <w:ind w:left="426"/>
      </w:pPr>
      <w:r w:rsidRPr="00DD47DF">
        <w:t>D</w:t>
      </w:r>
      <w:r w:rsidR="00E134D0" w:rsidRPr="00DD47DF">
        <w:t>okumentace o posouzení použitelnosti a plnění předběžných podmínek (je-li žádoucí)</w:t>
      </w:r>
    </w:p>
    <w:p w14:paraId="4342DFE3" w14:textId="77777777" w:rsidR="003D1B35" w:rsidRPr="00DD47DF" w:rsidRDefault="004D0D1E" w:rsidP="00DA3512">
      <w:pPr>
        <w:pStyle w:val="Standardntext"/>
        <w:numPr>
          <w:ilvl w:val="0"/>
          <w:numId w:val="75"/>
        </w:numPr>
        <w:ind w:left="426"/>
      </w:pPr>
      <w:r w:rsidRPr="00DD47DF">
        <w:t>S</w:t>
      </w:r>
      <w:r w:rsidR="00E134D0" w:rsidRPr="00DD47DF">
        <w:t>hrnutí operačního programu pro veřejnost (je-li žádoucí)</w:t>
      </w:r>
    </w:p>
    <w:p w14:paraId="7793DD7B" w14:textId="77777777" w:rsidR="00681577" w:rsidRPr="00DD47DF" w:rsidRDefault="00681577" w:rsidP="00DA3512">
      <w:pPr>
        <w:pStyle w:val="Standardntext"/>
        <w:numPr>
          <w:ilvl w:val="0"/>
          <w:numId w:val="75"/>
        </w:numPr>
        <w:ind w:left="426"/>
      </w:pPr>
      <w:r w:rsidRPr="00DD47DF">
        <w:t>Stanovisko Ministerstva životního prostředí podle zákona č. 100/2001 Sb., o posuzování vlivů na životní prostředí a o změně některých souvisejících zákonů, k návrhu koncepce „Operační program Podnikání a inovace pro konkurenceschopnost 2014 - 2020“</w:t>
      </w:r>
    </w:p>
    <w:p w14:paraId="7EA4A59A" w14:textId="77777777" w:rsidR="004D0D1E" w:rsidRPr="00DD47DF" w:rsidRDefault="004D0D1E" w:rsidP="004D0D1E">
      <w:pPr>
        <w:pStyle w:val="Standardntext"/>
        <w:ind w:left="66"/>
        <w:rPr>
          <w:b/>
        </w:rPr>
      </w:pPr>
    </w:p>
    <w:p w14:paraId="0D71F0C5" w14:textId="77777777" w:rsidR="004D0D1E" w:rsidRPr="00DD47DF" w:rsidRDefault="004D0D1E" w:rsidP="004D0D1E">
      <w:pPr>
        <w:pStyle w:val="Standardntext"/>
        <w:ind w:left="66"/>
        <w:rPr>
          <w:b/>
        </w:rPr>
      </w:pPr>
      <w:r w:rsidRPr="00DD47DF">
        <w:rPr>
          <w:b/>
        </w:rPr>
        <w:t>Nepovinné přílohy Operačního programu:</w:t>
      </w:r>
    </w:p>
    <w:p w14:paraId="672E77BA" w14:textId="77777777" w:rsidR="00811581" w:rsidRPr="00DD47DF" w:rsidRDefault="00811581" w:rsidP="00DA3512">
      <w:pPr>
        <w:pStyle w:val="Standardntext"/>
        <w:numPr>
          <w:ilvl w:val="0"/>
          <w:numId w:val="74"/>
        </w:numPr>
        <w:ind w:left="426"/>
      </w:pPr>
      <w:r w:rsidRPr="00DD47DF">
        <w:t>Zhodnocení zkušeností z programovacího období 2007-2013</w:t>
      </w:r>
    </w:p>
    <w:p w14:paraId="7CB40351" w14:textId="77777777" w:rsidR="00D3716C" w:rsidRPr="00DD47DF" w:rsidRDefault="00CB48D4" w:rsidP="00DA3512">
      <w:pPr>
        <w:pStyle w:val="Standardntext"/>
        <w:numPr>
          <w:ilvl w:val="0"/>
          <w:numId w:val="74"/>
        </w:numPr>
        <w:ind w:left="426"/>
      </w:pPr>
      <w:r w:rsidRPr="00DD47DF">
        <w:t>Vazba Operačního programu na klíčové strategické dokumenty</w:t>
      </w:r>
    </w:p>
    <w:p w14:paraId="20F03815" w14:textId="77777777" w:rsidR="004D0D1E" w:rsidRPr="00DD47DF" w:rsidRDefault="00436868" w:rsidP="00DA3512">
      <w:pPr>
        <w:pStyle w:val="Standardntext"/>
        <w:numPr>
          <w:ilvl w:val="0"/>
          <w:numId w:val="74"/>
        </w:numPr>
        <w:ind w:left="426"/>
      </w:pPr>
      <w:r w:rsidRPr="00DD47DF">
        <w:t>Základní principy monitorování a vyhodnocování OP PIK</w:t>
      </w:r>
    </w:p>
    <w:p w14:paraId="3AA448A2" w14:textId="77777777" w:rsidR="00941AC0" w:rsidRPr="00DD47DF" w:rsidRDefault="004D0D1E" w:rsidP="00DA3512">
      <w:pPr>
        <w:pStyle w:val="Standardntext"/>
        <w:numPr>
          <w:ilvl w:val="0"/>
          <w:numId w:val="74"/>
        </w:numPr>
        <w:ind w:left="426"/>
      </w:pPr>
      <w:r w:rsidRPr="00DD47DF">
        <w:t>Synergie a komplementarity</w:t>
      </w:r>
    </w:p>
    <w:p w14:paraId="4B8341DF" w14:textId="77777777" w:rsidR="00A92A82" w:rsidRDefault="00A92A82" w:rsidP="00DA3512">
      <w:pPr>
        <w:pStyle w:val="Standardntext"/>
        <w:numPr>
          <w:ilvl w:val="0"/>
          <w:numId w:val="74"/>
        </w:numPr>
        <w:ind w:left="426"/>
      </w:pPr>
      <w:r w:rsidRPr="00DD47DF">
        <w:t>Typové projekty specifického cíle 3.6</w:t>
      </w:r>
    </w:p>
    <w:p w14:paraId="38AC1D5A" w14:textId="40D4873B" w:rsidR="009E0DDE" w:rsidRPr="00DD47DF" w:rsidRDefault="00EC5F4F" w:rsidP="00223029">
      <w:pPr>
        <w:pStyle w:val="Standardntext"/>
        <w:numPr>
          <w:ilvl w:val="0"/>
          <w:numId w:val="74"/>
        </w:numPr>
        <w:ind w:left="426"/>
      </w:pPr>
      <w:r w:rsidRPr="00EC5F4F">
        <w:t>Seznam obcí – podporovaných specifických oblastí, a teritoriální vymezení režimu regionální podpory zaměřeného na cestovní ruch ve specifickém cíli 2.3</w:t>
      </w:r>
    </w:p>
    <w:sectPr w:rsidR="009E0DDE" w:rsidRPr="00DD47DF" w:rsidSect="00A870BF">
      <w:headerReference w:type="default" r:id="rId272"/>
      <w:footerReference w:type="default" r:id="rId273"/>
      <w:pgSz w:w="11906" w:h="16838"/>
      <w:pgMar w:top="1418" w:right="1276" w:bottom="1276" w:left="1418"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5BA269" w14:textId="77777777" w:rsidR="00E46245" w:rsidRDefault="00E46245" w:rsidP="00F03E3C">
      <w:r>
        <w:separator/>
      </w:r>
    </w:p>
  </w:endnote>
  <w:endnote w:type="continuationSeparator" w:id="0">
    <w:p w14:paraId="0795A6DF" w14:textId="77777777" w:rsidR="00E46245" w:rsidRDefault="00E46245" w:rsidP="00F03E3C">
      <w:r>
        <w:continuationSeparator/>
      </w:r>
    </w:p>
  </w:endnote>
  <w:endnote w:type="continuationNotice" w:id="1">
    <w:p w14:paraId="1FF40B78" w14:textId="77777777" w:rsidR="00E46245" w:rsidRDefault="00E462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EE"/>
    <w:family w:val="swiss"/>
    <w:pitch w:val="variable"/>
    <w:sig w:usb0="00000287" w:usb1="00000800" w:usb2="00000000" w:usb3="00000000" w:csb0="0000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488DA" w14:textId="77777777" w:rsidR="00E46245" w:rsidRDefault="00E46245" w:rsidP="00297A5A">
    <w:pPr>
      <w:pStyle w:val="Zpat"/>
      <w:tabs>
        <w:tab w:val="clear" w:pos="9072"/>
        <w:tab w:val="left" w:pos="6549"/>
        <w:tab w:val="left" w:pos="7137"/>
        <w:tab w:val="right" w:pos="9212"/>
      </w:tabs>
      <w:jc w:val="left"/>
    </w:pPr>
    <w:r>
      <w:rPr>
        <w:noProof/>
      </w:rPr>
      <w:drawing>
        <wp:anchor distT="0" distB="0" distL="114300" distR="114300" simplePos="0" relativeHeight="251603456" behindDoc="1" locked="0" layoutInCell="1" allowOverlap="0" wp14:anchorId="5032F749" wp14:editId="5EB25391">
          <wp:simplePos x="0" y="0"/>
          <wp:positionH relativeFrom="column">
            <wp:posOffset>4018280</wp:posOffset>
          </wp:positionH>
          <wp:positionV relativeFrom="page">
            <wp:posOffset>9901555</wp:posOffset>
          </wp:positionV>
          <wp:extent cx="1846580" cy="359410"/>
          <wp:effectExtent l="0" t="0" r="1270" b="2540"/>
          <wp:wrapTight wrapText="bothSides">
            <wp:wrapPolygon edited="0">
              <wp:start x="0" y="0"/>
              <wp:lineTo x="0" y="20608"/>
              <wp:lineTo x="21392" y="20608"/>
              <wp:lineTo x="21392" y="0"/>
              <wp:lineTo x="0" y="0"/>
            </wp:wrapPolygon>
          </wp:wrapTight>
          <wp:docPr id="69"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tab/>
    </w:r>
    <w:r>
      <w:tab/>
    </w:r>
    <w:r>
      <w:tab/>
    </w:r>
    <w:r>
      <w:tab/>
    </w:r>
    <w:r>
      <w:fldChar w:fldCharType="begin"/>
    </w:r>
    <w:r>
      <w:instrText>PAGE   \* MERGEFORMAT</w:instrText>
    </w:r>
    <w:r>
      <w:fldChar w:fldCharType="separate"/>
    </w:r>
    <w:r>
      <w:rPr>
        <w:noProof/>
      </w:rPr>
      <w:t>3</w:t>
    </w:r>
    <w:r>
      <w:rPr>
        <w:noProof/>
      </w:rPr>
      <w:fldChar w:fldCharType="end"/>
    </w:r>
  </w:p>
  <w:p w14:paraId="58B31292" w14:textId="77777777" w:rsidR="00E46245" w:rsidRDefault="00E46245" w:rsidP="0056085D">
    <w:pPr>
      <w:pStyle w:val="Zpat"/>
      <w:tabs>
        <w:tab w:val="left" w:pos="6274"/>
        <w:tab w:val="left" w:pos="6585"/>
        <w:tab w:val="left" w:pos="7515"/>
        <w:tab w:val="left" w:pos="8370"/>
      </w:tabs>
      <w:jc w:val="left"/>
    </w:pPr>
    <w:r>
      <w:tab/>
    </w:r>
    <w:r>
      <w:tab/>
      <w:t xml:space="preserve"> </w:t>
    </w:r>
    <w:r>
      <w:tab/>
    </w:r>
    <w:r>
      <w:tab/>
    </w:r>
    <w:r>
      <w:tab/>
    </w:r>
    <w:r>
      <w:tab/>
    </w: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5F460" w14:textId="77777777" w:rsidR="00E46245" w:rsidRDefault="00E46245" w:rsidP="00FA5EE8">
    <w:pPr>
      <w:pStyle w:val="Zpat"/>
      <w:tabs>
        <w:tab w:val="clear" w:pos="9072"/>
      </w:tabs>
      <w:jc w:val="right"/>
    </w:pPr>
    <w:r>
      <w:rPr>
        <w:noProof/>
      </w:rPr>
      <w:drawing>
        <wp:anchor distT="0" distB="0" distL="114300" distR="114300" simplePos="0" relativeHeight="251686400" behindDoc="1" locked="0" layoutInCell="1" allowOverlap="0" wp14:anchorId="3FDB0E12" wp14:editId="3633DA37">
          <wp:simplePos x="0" y="0"/>
          <wp:positionH relativeFrom="column">
            <wp:posOffset>7170420</wp:posOffset>
          </wp:positionH>
          <wp:positionV relativeFrom="page">
            <wp:posOffset>6741160</wp:posOffset>
          </wp:positionV>
          <wp:extent cx="1846580" cy="359410"/>
          <wp:effectExtent l="0" t="0" r="1270" b="2540"/>
          <wp:wrapTight wrapText="bothSides">
            <wp:wrapPolygon edited="0">
              <wp:start x="0" y="0"/>
              <wp:lineTo x="0" y="20608"/>
              <wp:lineTo x="21392" y="20608"/>
              <wp:lineTo x="21392" y="0"/>
              <wp:lineTo x="0" y="0"/>
            </wp:wrapPolygon>
          </wp:wrapTight>
          <wp:docPr id="4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AF6FE3">
      <w:rPr>
        <w:noProof/>
      </w:rPr>
      <w:t>92</w:t>
    </w:r>
    <w:r>
      <w:rPr>
        <w:noProof/>
      </w:rPr>
      <w:fldChar w:fldCharType="end"/>
    </w:r>
  </w:p>
  <w:p w14:paraId="3FDD0B20" w14:textId="77777777" w:rsidR="00E46245" w:rsidRDefault="00E46245"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13E02" w14:textId="77777777" w:rsidR="00E46245" w:rsidRDefault="00E46245" w:rsidP="00FA5EE8">
    <w:pPr>
      <w:pStyle w:val="Zpat"/>
      <w:tabs>
        <w:tab w:val="clear" w:pos="9072"/>
      </w:tabs>
      <w:jc w:val="right"/>
    </w:pPr>
    <w:r>
      <w:rPr>
        <w:noProof/>
      </w:rPr>
      <w:drawing>
        <wp:anchor distT="0" distB="0" distL="114300" distR="114300" simplePos="0" relativeHeight="251680256" behindDoc="1" locked="0" layoutInCell="1" allowOverlap="0" wp14:anchorId="5D12D6A3" wp14:editId="3DAB5076">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12"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AF6FE3">
      <w:rPr>
        <w:noProof/>
      </w:rPr>
      <w:t>127</w:t>
    </w:r>
    <w:r>
      <w:rPr>
        <w:noProof/>
      </w:rPr>
      <w:fldChar w:fldCharType="end"/>
    </w:r>
  </w:p>
  <w:p w14:paraId="52D4B0E9" w14:textId="77777777" w:rsidR="00E46245" w:rsidRDefault="00E46245"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C62A2" w14:textId="77777777" w:rsidR="00E46245" w:rsidRDefault="00E46245" w:rsidP="00FA5EE8">
    <w:pPr>
      <w:pStyle w:val="Zpat"/>
      <w:tabs>
        <w:tab w:val="clear" w:pos="9072"/>
      </w:tabs>
      <w:jc w:val="right"/>
    </w:pPr>
    <w:r>
      <w:rPr>
        <w:noProof/>
      </w:rPr>
      <w:drawing>
        <wp:anchor distT="0" distB="0" distL="114300" distR="114300" simplePos="0" relativeHeight="251698688" behindDoc="1" locked="0" layoutInCell="1" allowOverlap="0" wp14:anchorId="62789F48" wp14:editId="603C4879">
          <wp:simplePos x="0" y="0"/>
          <wp:positionH relativeFrom="column">
            <wp:posOffset>7127875</wp:posOffset>
          </wp:positionH>
          <wp:positionV relativeFrom="page">
            <wp:posOffset>6762115</wp:posOffset>
          </wp:positionV>
          <wp:extent cx="1846580" cy="359410"/>
          <wp:effectExtent l="0" t="0" r="1270" b="2540"/>
          <wp:wrapTight wrapText="bothSides">
            <wp:wrapPolygon edited="0">
              <wp:start x="0" y="0"/>
              <wp:lineTo x="0" y="20608"/>
              <wp:lineTo x="21392" y="20608"/>
              <wp:lineTo x="21392" y="0"/>
              <wp:lineTo x="0" y="0"/>
            </wp:wrapPolygon>
          </wp:wrapTight>
          <wp:docPr id="15"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AF6FE3">
      <w:rPr>
        <w:noProof/>
      </w:rPr>
      <w:t>130</w:t>
    </w:r>
    <w:r>
      <w:rPr>
        <w:noProof/>
      </w:rPr>
      <w:fldChar w:fldCharType="end"/>
    </w:r>
  </w:p>
  <w:p w14:paraId="37009454" w14:textId="77777777" w:rsidR="00E46245" w:rsidRDefault="00E46245"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2ED41" w14:textId="77777777" w:rsidR="00E46245" w:rsidRDefault="00E46245" w:rsidP="00FA5EE8">
    <w:pPr>
      <w:pStyle w:val="Zpat"/>
      <w:tabs>
        <w:tab w:val="clear" w:pos="9072"/>
      </w:tabs>
      <w:jc w:val="right"/>
    </w:pPr>
    <w:r>
      <w:rPr>
        <w:noProof/>
      </w:rPr>
      <w:drawing>
        <wp:anchor distT="0" distB="0" distL="114300" distR="114300" simplePos="0" relativeHeight="251696640" behindDoc="1" locked="0" layoutInCell="1" allowOverlap="0" wp14:anchorId="3A0659FA" wp14:editId="152EFCF5">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322"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AF6FE3">
      <w:rPr>
        <w:noProof/>
      </w:rPr>
      <w:t>131</w:t>
    </w:r>
    <w:r>
      <w:rPr>
        <w:noProof/>
      </w:rPr>
      <w:fldChar w:fldCharType="end"/>
    </w:r>
  </w:p>
  <w:p w14:paraId="3414B8B2" w14:textId="77777777" w:rsidR="00E46245" w:rsidRDefault="00E46245"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E5B25" w14:textId="77777777" w:rsidR="00E46245" w:rsidRDefault="00E46245" w:rsidP="00FA5EE8">
    <w:pPr>
      <w:pStyle w:val="Zpat"/>
      <w:tabs>
        <w:tab w:val="clear" w:pos="9072"/>
      </w:tabs>
      <w:jc w:val="right"/>
    </w:pPr>
    <w:r>
      <w:rPr>
        <w:noProof/>
      </w:rPr>
      <w:drawing>
        <wp:anchor distT="0" distB="0" distL="114300" distR="114300" simplePos="0" relativeHeight="251710976" behindDoc="1" locked="0" layoutInCell="1" allowOverlap="0" wp14:anchorId="700DA306" wp14:editId="6E5B41DA">
          <wp:simplePos x="0" y="0"/>
          <wp:positionH relativeFrom="column">
            <wp:posOffset>7127875</wp:posOffset>
          </wp:positionH>
          <wp:positionV relativeFrom="page">
            <wp:posOffset>6741160</wp:posOffset>
          </wp:positionV>
          <wp:extent cx="1846580" cy="359410"/>
          <wp:effectExtent l="0" t="0" r="1270" b="2540"/>
          <wp:wrapTight wrapText="bothSides">
            <wp:wrapPolygon edited="0">
              <wp:start x="0" y="0"/>
              <wp:lineTo x="0" y="20608"/>
              <wp:lineTo x="21392" y="20608"/>
              <wp:lineTo x="21392" y="0"/>
              <wp:lineTo x="0" y="0"/>
            </wp:wrapPolygon>
          </wp:wrapTight>
          <wp:docPr id="325"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AF6FE3">
      <w:rPr>
        <w:noProof/>
      </w:rPr>
      <w:t>143</w:t>
    </w:r>
    <w:r>
      <w:rPr>
        <w:noProof/>
      </w:rPr>
      <w:fldChar w:fldCharType="end"/>
    </w:r>
  </w:p>
  <w:p w14:paraId="0D6B399D" w14:textId="77777777" w:rsidR="00E46245" w:rsidRDefault="00E46245"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54880" w14:textId="77777777" w:rsidR="00E46245" w:rsidRDefault="00E46245" w:rsidP="00FA5EE8">
    <w:pPr>
      <w:pStyle w:val="Zpat"/>
      <w:tabs>
        <w:tab w:val="clear" w:pos="9072"/>
      </w:tabs>
      <w:jc w:val="right"/>
    </w:pPr>
    <w:r>
      <w:rPr>
        <w:noProof/>
      </w:rPr>
      <w:drawing>
        <wp:anchor distT="0" distB="0" distL="114300" distR="114300" simplePos="0" relativeHeight="251708928" behindDoc="1" locked="0" layoutInCell="1" allowOverlap="0" wp14:anchorId="6DA0D538" wp14:editId="7A0B32AF">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328"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AF6FE3">
      <w:rPr>
        <w:noProof/>
      </w:rPr>
      <w:t>151</w:t>
    </w:r>
    <w:r>
      <w:rPr>
        <w:noProof/>
      </w:rPr>
      <w:fldChar w:fldCharType="end"/>
    </w:r>
  </w:p>
  <w:p w14:paraId="103B2973" w14:textId="77777777" w:rsidR="00E46245" w:rsidRDefault="00E46245"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9FDBE" w14:textId="77777777" w:rsidR="00E46245" w:rsidRDefault="00E46245" w:rsidP="00FA5EE8">
    <w:pPr>
      <w:pStyle w:val="Zpat"/>
      <w:tabs>
        <w:tab w:val="clear" w:pos="9072"/>
      </w:tabs>
      <w:jc w:val="right"/>
    </w:pPr>
    <w:r>
      <w:rPr>
        <w:noProof/>
      </w:rPr>
      <w:drawing>
        <wp:anchor distT="0" distB="0" distL="114300" distR="114300" simplePos="0" relativeHeight="251643392" behindDoc="1" locked="0" layoutInCell="1" allowOverlap="0" wp14:anchorId="65917073" wp14:editId="41CCD1E6">
          <wp:simplePos x="0" y="0"/>
          <wp:positionH relativeFrom="column">
            <wp:posOffset>7132955</wp:posOffset>
          </wp:positionH>
          <wp:positionV relativeFrom="page">
            <wp:posOffset>6753860</wp:posOffset>
          </wp:positionV>
          <wp:extent cx="1846580" cy="359410"/>
          <wp:effectExtent l="0" t="0" r="1270" b="2540"/>
          <wp:wrapTight wrapText="bothSides">
            <wp:wrapPolygon edited="0">
              <wp:start x="0" y="0"/>
              <wp:lineTo x="0" y="20608"/>
              <wp:lineTo x="21392" y="20608"/>
              <wp:lineTo x="21392" y="0"/>
              <wp:lineTo x="0" y="0"/>
            </wp:wrapPolygon>
          </wp:wrapTight>
          <wp:docPr id="331"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AF6FE3">
      <w:rPr>
        <w:noProof/>
      </w:rPr>
      <w:t>154</w:t>
    </w:r>
    <w:r>
      <w:rPr>
        <w:noProof/>
      </w:rPr>
      <w:fldChar w:fldCharType="end"/>
    </w:r>
  </w:p>
  <w:p w14:paraId="10B81B6C" w14:textId="77777777" w:rsidR="00E46245" w:rsidRDefault="00E46245" w:rsidP="00305C77">
    <w:pPr>
      <w:pStyle w:val="Zpat"/>
      <w:tabs>
        <w:tab w:val="left" w:pos="6274"/>
        <w:tab w:val="left" w:pos="6585"/>
        <w:tab w:val="left" w:pos="7515"/>
        <w:tab w:val="left" w:pos="7719"/>
        <w:tab w:val="left" w:pos="8370"/>
      </w:tabs>
      <w:jc w:val="left"/>
    </w:pPr>
    <w:r>
      <w:tab/>
    </w:r>
    <w:r>
      <w:tab/>
      <w:t xml:space="preserve"> </w:t>
    </w:r>
    <w:r>
      <w:tab/>
    </w:r>
    <w:r>
      <w:tab/>
    </w:r>
    <w:r>
      <w:tab/>
    </w:r>
    <w:r>
      <w:tab/>
    </w:r>
    <w:r>
      <w:tab/>
    </w:r>
    <w:r>
      <w:tab/>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45A1B" w14:textId="77777777" w:rsidR="00E46245" w:rsidRDefault="00E46245" w:rsidP="00926525">
    <w:pPr>
      <w:pStyle w:val="Zpat"/>
      <w:tabs>
        <w:tab w:val="clear" w:pos="9072"/>
      </w:tabs>
      <w:jc w:val="right"/>
    </w:pPr>
    <w:r>
      <w:rPr>
        <w:noProof/>
      </w:rPr>
      <w:drawing>
        <wp:anchor distT="0" distB="0" distL="114300" distR="114300" simplePos="0" relativeHeight="251654656" behindDoc="1" locked="0" layoutInCell="1" allowOverlap="1" wp14:anchorId="5D1B4F6E" wp14:editId="73B3ECAA">
          <wp:simplePos x="0" y="0"/>
          <wp:positionH relativeFrom="column">
            <wp:posOffset>7133590</wp:posOffset>
          </wp:positionH>
          <wp:positionV relativeFrom="paragraph">
            <wp:posOffset>36195</wp:posOffset>
          </wp:positionV>
          <wp:extent cx="1847850" cy="358775"/>
          <wp:effectExtent l="0" t="0" r="0" b="3175"/>
          <wp:wrapTight wrapText="bothSides">
            <wp:wrapPolygon edited="0">
              <wp:start x="0" y="0"/>
              <wp:lineTo x="0" y="20644"/>
              <wp:lineTo x="21377" y="20644"/>
              <wp:lineTo x="21377" y="0"/>
              <wp:lineTo x="0" y="0"/>
            </wp:wrapPolygon>
          </wp:wrapTight>
          <wp:docPr id="334"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358775"/>
                  </a:xfrm>
                  <a:prstGeom prst="rect">
                    <a:avLst/>
                  </a:prstGeom>
                  <a:noFill/>
                  <a:ln>
                    <a:noFill/>
                  </a:ln>
                </pic:spPr>
              </pic:pic>
            </a:graphicData>
          </a:graphic>
        </wp:anchor>
      </w:drawing>
    </w:r>
    <w:r>
      <w:tab/>
    </w:r>
    <w:r>
      <w:tab/>
    </w:r>
    <w:r>
      <w:tab/>
      <w:t xml:space="preserve">   </w:t>
    </w:r>
    <w:r>
      <w:fldChar w:fldCharType="begin"/>
    </w:r>
    <w:r>
      <w:instrText>PAGE   \* MERGEFORMAT</w:instrText>
    </w:r>
    <w:r>
      <w:fldChar w:fldCharType="separate"/>
    </w:r>
    <w:r w:rsidR="00AF6FE3">
      <w:rPr>
        <w:noProof/>
      </w:rPr>
      <w:t>152</w:t>
    </w:r>
    <w:r>
      <w:rPr>
        <w:noProof/>
      </w:rPr>
      <w:fldChar w:fldCharType="end"/>
    </w:r>
  </w:p>
  <w:p w14:paraId="030193E8" w14:textId="77777777" w:rsidR="00E46245" w:rsidRDefault="00E46245" w:rsidP="0022503D">
    <w:pPr>
      <w:pStyle w:val="Zpat"/>
      <w:jc w:val="righ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28E36" w14:textId="77777777" w:rsidR="00E46245" w:rsidRDefault="00E46245" w:rsidP="00FA5EE8">
    <w:pPr>
      <w:pStyle w:val="Zpat"/>
      <w:tabs>
        <w:tab w:val="clear" w:pos="9072"/>
      </w:tabs>
      <w:jc w:val="right"/>
    </w:pPr>
    <w:r>
      <w:rPr>
        <w:noProof/>
      </w:rPr>
      <w:drawing>
        <wp:anchor distT="0" distB="0" distL="114300" distR="114300" simplePos="0" relativeHeight="251645440" behindDoc="1" locked="0" layoutInCell="1" allowOverlap="0" wp14:anchorId="3A67A1AC" wp14:editId="6B7D137A">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337"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AF6FE3">
      <w:rPr>
        <w:noProof/>
      </w:rPr>
      <w:t>174</w:t>
    </w:r>
    <w:r>
      <w:rPr>
        <w:noProof/>
      </w:rPr>
      <w:fldChar w:fldCharType="end"/>
    </w:r>
  </w:p>
  <w:p w14:paraId="67867060" w14:textId="77777777" w:rsidR="00E46245" w:rsidRDefault="00E46245" w:rsidP="00305C77">
    <w:pPr>
      <w:pStyle w:val="Zpat"/>
      <w:tabs>
        <w:tab w:val="left" w:pos="6274"/>
        <w:tab w:val="left" w:pos="6585"/>
        <w:tab w:val="left" w:pos="7515"/>
        <w:tab w:val="left" w:pos="7719"/>
        <w:tab w:val="left" w:pos="8370"/>
      </w:tabs>
      <w:jc w:val="left"/>
    </w:pPr>
    <w:r>
      <w:tab/>
    </w:r>
    <w:r>
      <w:tab/>
      <w:t xml:space="preserve"> </w:t>
    </w:r>
    <w:r>
      <w:tab/>
    </w:r>
    <w:r>
      <w:tab/>
    </w:r>
    <w:r>
      <w:tab/>
    </w:r>
    <w:r>
      <w:tab/>
    </w:r>
    <w:r>
      <w:tab/>
    </w:r>
    <w:r>
      <w:tab/>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6070E" w14:textId="77777777" w:rsidR="00E46245" w:rsidRDefault="00E46245" w:rsidP="00FA5EE8">
    <w:pPr>
      <w:pStyle w:val="Zpat"/>
      <w:tabs>
        <w:tab w:val="clear" w:pos="9072"/>
      </w:tabs>
      <w:jc w:val="right"/>
    </w:pPr>
    <w:r>
      <w:rPr>
        <w:noProof/>
      </w:rPr>
      <w:drawing>
        <wp:anchor distT="0" distB="0" distL="114300" distR="114300" simplePos="0" relativeHeight="251641344" behindDoc="1" locked="0" layoutInCell="1" allowOverlap="0" wp14:anchorId="33EDDD07" wp14:editId="15314DF2">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340"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AF6FE3">
      <w:rPr>
        <w:noProof/>
      </w:rPr>
      <w:t>177</w:t>
    </w:r>
    <w:r>
      <w:rPr>
        <w:noProof/>
      </w:rPr>
      <w:fldChar w:fldCharType="end"/>
    </w:r>
  </w:p>
  <w:p w14:paraId="74298EC8" w14:textId="77777777" w:rsidR="00E46245" w:rsidRDefault="00E46245" w:rsidP="00305C77">
    <w:pPr>
      <w:pStyle w:val="Zpat"/>
      <w:tabs>
        <w:tab w:val="left" w:pos="6274"/>
        <w:tab w:val="left" w:pos="6585"/>
        <w:tab w:val="left" w:pos="7515"/>
        <w:tab w:val="left" w:pos="7719"/>
        <w:tab w:val="left" w:pos="8370"/>
      </w:tabs>
      <w:jc w:val="left"/>
    </w:pPr>
    <w:r>
      <w:tab/>
    </w:r>
    <w:r>
      <w:tab/>
      <w:t xml:space="preserve"> </w:t>
    </w:r>
    <w:r>
      <w:tab/>
    </w:r>
    <w:r>
      <w:tab/>
    </w:r>
    <w:r>
      <w:tab/>
    </w: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3B091" w14:textId="77777777" w:rsidR="00E46245" w:rsidRPr="00EA68D5" w:rsidRDefault="00E46245" w:rsidP="00EA68D5">
    <w:pPr>
      <w:pStyle w:val="Zpat"/>
      <w:jc w:val="center"/>
      <w:rPr>
        <w:b/>
        <w:sz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8EA0D" w14:textId="77777777" w:rsidR="00E46245" w:rsidRDefault="00E46245" w:rsidP="00FA5EE8">
    <w:pPr>
      <w:pStyle w:val="Zpat"/>
      <w:tabs>
        <w:tab w:val="clear" w:pos="9072"/>
      </w:tabs>
      <w:jc w:val="right"/>
    </w:pPr>
    <w:r>
      <w:rPr>
        <w:noProof/>
      </w:rPr>
      <w:drawing>
        <wp:anchor distT="0" distB="0" distL="114300" distR="114300" simplePos="0" relativeHeight="251635200" behindDoc="1" locked="0" layoutInCell="1" allowOverlap="0" wp14:anchorId="244010B9" wp14:editId="24A96527">
          <wp:simplePos x="0" y="0"/>
          <wp:positionH relativeFrom="column">
            <wp:posOffset>7141845</wp:posOffset>
          </wp:positionH>
          <wp:positionV relativeFrom="page">
            <wp:posOffset>6759575</wp:posOffset>
          </wp:positionV>
          <wp:extent cx="1846580" cy="359410"/>
          <wp:effectExtent l="0" t="0" r="1270" b="2540"/>
          <wp:wrapTight wrapText="bothSides">
            <wp:wrapPolygon edited="0">
              <wp:start x="0" y="0"/>
              <wp:lineTo x="0" y="20608"/>
              <wp:lineTo x="21392" y="20608"/>
              <wp:lineTo x="21392" y="0"/>
              <wp:lineTo x="0" y="0"/>
            </wp:wrapPolygon>
          </wp:wrapTight>
          <wp:docPr id="343"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AF6FE3">
      <w:rPr>
        <w:noProof/>
      </w:rPr>
      <w:t>234</w:t>
    </w:r>
    <w:r>
      <w:rPr>
        <w:noProof/>
      </w:rPr>
      <w:fldChar w:fldCharType="end"/>
    </w:r>
  </w:p>
  <w:p w14:paraId="7367AD71" w14:textId="77777777" w:rsidR="00E46245" w:rsidRDefault="00E46245" w:rsidP="00305C77">
    <w:pPr>
      <w:pStyle w:val="Zpat"/>
      <w:tabs>
        <w:tab w:val="left" w:pos="6274"/>
        <w:tab w:val="left" w:pos="6585"/>
        <w:tab w:val="left" w:pos="7515"/>
        <w:tab w:val="left" w:pos="7719"/>
        <w:tab w:val="left" w:pos="8370"/>
      </w:tabs>
      <w:jc w:val="left"/>
    </w:pPr>
    <w:r>
      <w:tab/>
    </w:r>
    <w:r>
      <w:tab/>
      <w:t xml:space="preserve"> </w:t>
    </w:r>
    <w:r>
      <w:tab/>
    </w:r>
    <w:r>
      <w:tab/>
    </w:r>
    <w:r>
      <w:tab/>
    </w:r>
    <w:r>
      <w:tab/>
    </w:r>
    <w:r>
      <w:tab/>
    </w:r>
    <w:r>
      <w:tab/>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74DA9" w14:textId="77777777" w:rsidR="00E46245" w:rsidRDefault="00E46245" w:rsidP="00A870BF">
    <w:pPr>
      <w:pStyle w:val="Zpat"/>
      <w:tabs>
        <w:tab w:val="clear" w:pos="9072"/>
      </w:tabs>
      <w:jc w:val="right"/>
    </w:pPr>
    <w:r>
      <w:rPr>
        <w:noProof/>
      </w:rPr>
      <w:drawing>
        <wp:anchor distT="0" distB="0" distL="114300" distR="114300" simplePos="0" relativeHeight="251661824" behindDoc="1" locked="0" layoutInCell="1" allowOverlap="0" wp14:anchorId="62C87E48" wp14:editId="0A95AB22">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51"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AF6FE3">
      <w:rPr>
        <w:noProof/>
      </w:rPr>
      <w:t>247</w:t>
    </w:r>
    <w:r>
      <w:rPr>
        <w:noProof/>
      </w:rPr>
      <w:fldChar w:fldCharType="end"/>
    </w:r>
  </w:p>
  <w:p w14:paraId="257B15C0" w14:textId="77777777" w:rsidR="00E46245" w:rsidRPr="00A870BF" w:rsidRDefault="00E46245" w:rsidP="00A870BF">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FDF20" w14:textId="77777777" w:rsidR="00E46245" w:rsidRDefault="00E46245" w:rsidP="00FA5EE8">
    <w:pPr>
      <w:pStyle w:val="Zpat"/>
      <w:tabs>
        <w:tab w:val="clear" w:pos="9072"/>
      </w:tabs>
      <w:jc w:val="right"/>
    </w:pPr>
    <w:r>
      <w:rPr>
        <w:noProof/>
      </w:rPr>
      <w:drawing>
        <wp:anchor distT="0" distB="0" distL="114300" distR="114300" simplePos="0" relativeHeight="251618816" behindDoc="1" locked="0" layoutInCell="1" allowOverlap="0" wp14:anchorId="68CB07D0" wp14:editId="5E6ED05F">
          <wp:simplePos x="0" y="0"/>
          <wp:positionH relativeFrom="column">
            <wp:posOffset>4017645</wp:posOffset>
          </wp:positionH>
          <wp:positionV relativeFrom="page">
            <wp:posOffset>9885680</wp:posOffset>
          </wp:positionV>
          <wp:extent cx="1846580" cy="359410"/>
          <wp:effectExtent l="0" t="0" r="1270" b="2540"/>
          <wp:wrapTight wrapText="bothSides">
            <wp:wrapPolygon edited="0">
              <wp:start x="0" y="0"/>
              <wp:lineTo x="0" y="20608"/>
              <wp:lineTo x="21392" y="20608"/>
              <wp:lineTo x="21392" y="0"/>
              <wp:lineTo x="0" y="0"/>
            </wp:wrapPolygon>
          </wp:wrapTight>
          <wp:docPr id="292"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AF6FE3">
      <w:rPr>
        <w:noProof/>
      </w:rPr>
      <w:t>8</w:t>
    </w:r>
    <w:r>
      <w:rPr>
        <w:noProof/>
      </w:rPr>
      <w:fldChar w:fldCharType="end"/>
    </w:r>
  </w:p>
  <w:p w14:paraId="4C2F8ED7" w14:textId="77777777" w:rsidR="00E46245" w:rsidRDefault="00E46245" w:rsidP="00FA5EE8">
    <w:pPr>
      <w:pStyle w:val="Zpat"/>
      <w:tabs>
        <w:tab w:val="left" w:pos="6274"/>
        <w:tab w:val="left" w:pos="6585"/>
        <w:tab w:val="left" w:pos="7515"/>
        <w:tab w:val="left" w:pos="7719"/>
        <w:tab w:val="left" w:pos="8370"/>
        <w:tab w:val="left" w:pos="9204"/>
        <w:tab w:val="left" w:pos="11475"/>
      </w:tabs>
      <w:jc w:val="left"/>
    </w:pPr>
    <w:r>
      <w:tab/>
    </w:r>
    <w:r>
      <w:tab/>
      <w:t xml:space="preserve"> </w:t>
    </w:r>
    <w:r>
      <w:tab/>
    </w:r>
    <w:r>
      <w:tab/>
    </w:r>
    <w:r>
      <w:tab/>
    </w:r>
    <w:r>
      <w:tab/>
    </w:r>
    <w:r>
      <w:tab/>
    </w: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C2067" w14:textId="77777777" w:rsidR="00E46245" w:rsidRDefault="00E46245" w:rsidP="00FA5EE8">
    <w:pPr>
      <w:pStyle w:val="Zpat"/>
      <w:tabs>
        <w:tab w:val="clear" w:pos="9072"/>
      </w:tabs>
      <w:jc w:val="right"/>
    </w:pPr>
    <w:r>
      <w:rPr>
        <w:noProof/>
      </w:rPr>
      <w:drawing>
        <wp:anchor distT="0" distB="0" distL="114300" distR="114300" simplePos="0" relativeHeight="251629056" behindDoc="1" locked="0" layoutInCell="1" allowOverlap="0" wp14:anchorId="0D0519B8" wp14:editId="7EF6FAF1">
          <wp:simplePos x="0" y="0"/>
          <wp:positionH relativeFrom="column">
            <wp:posOffset>7149465</wp:posOffset>
          </wp:positionH>
          <wp:positionV relativeFrom="page">
            <wp:posOffset>6761480</wp:posOffset>
          </wp:positionV>
          <wp:extent cx="1846580" cy="359410"/>
          <wp:effectExtent l="0" t="0" r="1270" b="2540"/>
          <wp:wrapTight wrapText="bothSides">
            <wp:wrapPolygon edited="0">
              <wp:start x="0" y="0"/>
              <wp:lineTo x="0" y="20608"/>
              <wp:lineTo x="21392" y="20608"/>
              <wp:lineTo x="21392" y="0"/>
              <wp:lineTo x="0" y="0"/>
            </wp:wrapPolygon>
          </wp:wrapTight>
          <wp:docPr id="295"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AF6FE3">
      <w:rPr>
        <w:noProof/>
      </w:rPr>
      <w:t>48</w:t>
    </w:r>
    <w:r>
      <w:rPr>
        <w:noProof/>
      </w:rPr>
      <w:fldChar w:fldCharType="end"/>
    </w:r>
  </w:p>
  <w:p w14:paraId="5B241431" w14:textId="77777777" w:rsidR="00E46245" w:rsidRDefault="00E46245" w:rsidP="00FA5EE8">
    <w:pPr>
      <w:pStyle w:val="Zpat"/>
      <w:tabs>
        <w:tab w:val="left" w:pos="6274"/>
        <w:tab w:val="left" w:pos="6585"/>
        <w:tab w:val="left" w:pos="7515"/>
        <w:tab w:val="left" w:pos="7719"/>
        <w:tab w:val="left" w:pos="8370"/>
        <w:tab w:val="left" w:pos="9204"/>
        <w:tab w:val="left" w:pos="11475"/>
      </w:tabs>
      <w:jc w:val="left"/>
    </w:pPr>
    <w:r>
      <w:tab/>
    </w:r>
    <w:r>
      <w:tab/>
      <w:t xml:space="preserve"> </w:t>
    </w:r>
    <w:r>
      <w:tab/>
    </w:r>
    <w:r>
      <w:tab/>
    </w:r>
    <w:r>
      <w:tab/>
    </w:r>
    <w:r>
      <w:tab/>
    </w:r>
    <w:r>
      <w:tab/>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640D5" w14:textId="77777777" w:rsidR="00E46245" w:rsidRDefault="00E46245" w:rsidP="00FA5EE8">
    <w:pPr>
      <w:pStyle w:val="Zpat"/>
      <w:tabs>
        <w:tab w:val="clear" w:pos="9072"/>
      </w:tabs>
      <w:jc w:val="right"/>
    </w:pPr>
    <w:r>
      <w:rPr>
        <w:noProof/>
      </w:rPr>
      <w:drawing>
        <wp:anchor distT="0" distB="0" distL="114300" distR="114300" simplePos="0" relativeHeight="251622912" behindDoc="1" locked="0" layoutInCell="1" allowOverlap="0" wp14:anchorId="2AE9000E" wp14:editId="17A4C824">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298"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AF6FE3">
      <w:rPr>
        <w:noProof/>
      </w:rPr>
      <w:t>50</w:t>
    </w:r>
    <w:r>
      <w:rPr>
        <w:noProof/>
      </w:rPr>
      <w:fldChar w:fldCharType="end"/>
    </w:r>
  </w:p>
  <w:p w14:paraId="4A01EA18" w14:textId="77777777" w:rsidR="00E46245" w:rsidRDefault="00E46245" w:rsidP="00FA5EE8">
    <w:pPr>
      <w:pStyle w:val="Zpat"/>
      <w:tabs>
        <w:tab w:val="left" w:pos="6274"/>
        <w:tab w:val="left" w:pos="6585"/>
        <w:tab w:val="left" w:pos="7515"/>
        <w:tab w:val="left" w:pos="7719"/>
        <w:tab w:val="left" w:pos="8370"/>
        <w:tab w:val="left" w:pos="9204"/>
        <w:tab w:val="left" w:pos="11475"/>
      </w:tabs>
      <w:jc w:val="left"/>
    </w:pPr>
    <w:r>
      <w:tab/>
    </w:r>
    <w:r>
      <w:tab/>
      <w:t xml:space="preserve"> </w:t>
    </w:r>
    <w:r>
      <w:tab/>
    </w:r>
    <w:r>
      <w:tab/>
    </w:r>
    <w:r>
      <w:tab/>
    </w:r>
    <w:r>
      <w:tab/>
    </w:r>
    <w:r>
      <w:tab/>
    </w: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0DC59" w14:textId="77777777" w:rsidR="00E46245" w:rsidRDefault="00E46245" w:rsidP="00FA5EE8">
    <w:pPr>
      <w:pStyle w:val="Zpat"/>
      <w:tabs>
        <w:tab w:val="clear" w:pos="9072"/>
      </w:tabs>
      <w:jc w:val="right"/>
    </w:pPr>
    <w:r>
      <w:rPr>
        <w:noProof/>
      </w:rPr>
      <w:drawing>
        <wp:anchor distT="0" distB="0" distL="114300" distR="114300" simplePos="0" relativeHeight="251620864" behindDoc="1" locked="0" layoutInCell="1" allowOverlap="0" wp14:anchorId="263791F4" wp14:editId="6454B545">
          <wp:simplePos x="0" y="0"/>
          <wp:positionH relativeFrom="column">
            <wp:posOffset>7149465</wp:posOffset>
          </wp:positionH>
          <wp:positionV relativeFrom="page">
            <wp:posOffset>6761480</wp:posOffset>
          </wp:positionV>
          <wp:extent cx="1846580" cy="359410"/>
          <wp:effectExtent l="0" t="0" r="1270" b="2540"/>
          <wp:wrapTight wrapText="bothSides">
            <wp:wrapPolygon edited="0">
              <wp:start x="0" y="0"/>
              <wp:lineTo x="0" y="20608"/>
              <wp:lineTo x="21392" y="20608"/>
              <wp:lineTo x="21392" y="0"/>
              <wp:lineTo x="0" y="0"/>
            </wp:wrapPolygon>
          </wp:wrapTight>
          <wp:docPr id="27"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AF6FE3">
      <w:rPr>
        <w:noProof/>
      </w:rPr>
      <w:t>55</w:t>
    </w:r>
    <w:r>
      <w:rPr>
        <w:noProof/>
      </w:rPr>
      <w:fldChar w:fldCharType="end"/>
    </w:r>
  </w:p>
  <w:p w14:paraId="02322325" w14:textId="77777777" w:rsidR="00E46245" w:rsidRDefault="00E46245" w:rsidP="00FA5EE8">
    <w:pPr>
      <w:pStyle w:val="Zpat"/>
      <w:tabs>
        <w:tab w:val="left" w:pos="6274"/>
        <w:tab w:val="left" w:pos="6585"/>
        <w:tab w:val="left" w:pos="7515"/>
        <w:tab w:val="left" w:pos="7719"/>
        <w:tab w:val="left" w:pos="8370"/>
        <w:tab w:val="left" w:pos="9204"/>
        <w:tab w:val="left" w:pos="11475"/>
      </w:tabs>
      <w:jc w:val="left"/>
    </w:pPr>
    <w:r>
      <w:tab/>
    </w:r>
    <w:r>
      <w:tab/>
      <w:t xml:space="preserve"> </w:t>
    </w:r>
    <w:r>
      <w:tab/>
    </w:r>
    <w:r>
      <w:tab/>
    </w:r>
    <w:r>
      <w:tab/>
    </w:r>
    <w:r>
      <w:tab/>
    </w:r>
    <w:r>
      <w:tab/>
    </w:r>
    <w:r>
      <w:tab/>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1F837" w14:textId="77777777" w:rsidR="00E46245" w:rsidRDefault="00E46245" w:rsidP="00FA5EE8">
    <w:pPr>
      <w:pStyle w:val="Zpat"/>
      <w:tabs>
        <w:tab w:val="clear" w:pos="9072"/>
      </w:tabs>
      <w:jc w:val="right"/>
    </w:pPr>
    <w:r>
      <w:rPr>
        <w:noProof/>
      </w:rPr>
      <w:drawing>
        <wp:anchor distT="0" distB="0" distL="114300" distR="114300" simplePos="0" relativeHeight="251665920" behindDoc="1" locked="0" layoutInCell="1" allowOverlap="0" wp14:anchorId="3B25B758" wp14:editId="633F1D87">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30"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AF6FE3">
      <w:rPr>
        <w:noProof/>
      </w:rPr>
      <w:t>68</w:t>
    </w:r>
    <w:r>
      <w:rPr>
        <w:noProof/>
      </w:rPr>
      <w:fldChar w:fldCharType="end"/>
    </w:r>
  </w:p>
  <w:p w14:paraId="72AC404D" w14:textId="77777777" w:rsidR="00E46245" w:rsidRDefault="00E46245"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F0353" w14:textId="77777777" w:rsidR="00E46245" w:rsidRDefault="00E46245" w:rsidP="00FA5EE8">
    <w:pPr>
      <w:pStyle w:val="Zpat"/>
      <w:tabs>
        <w:tab w:val="clear" w:pos="9072"/>
      </w:tabs>
      <w:jc w:val="right"/>
    </w:pPr>
    <w:r>
      <w:rPr>
        <w:noProof/>
      </w:rPr>
      <w:drawing>
        <wp:anchor distT="0" distB="0" distL="114300" distR="114300" simplePos="0" relativeHeight="251667968" behindDoc="1" locked="0" layoutInCell="1" allowOverlap="0" wp14:anchorId="0759D28C" wp14:editId="6258A7B5">
          <wp:simplePos x="0" y="0"/>
          <wp:positionH relativeFrom="column">
            <wp:posOffset>7159625</wp:posOffset>
          </wp:positionH>
          <wp:positionV relativeFrom="page">
            <wp:posOffset>6741160</wp:posOffset>
          </wp:positionV>
          <wp:extent cx="1846580" cy="359410"/>
          <wp:effectExtent l="0" t="0" r="1270" b="2540"/>
          <wp:wrapTight wrapText="bothSides">
            <wp:wrapPolygon edited="0">
              <wp:start x="0" y="0"/>
              <wp:lineTo x="0" y="20608"/>
              <wp:lineTo x="21392" y="20608"/>
              <wp:lineTo x="21392" y="0"/>
              <wp:lineTo x="0" y="0"/>
            </wp:wrapPolygon>
          </wp:wrapTight>
          <wp:docPr id="33"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AF6FE3">
      <w:rPr>
        <w:noProof/>
      </w:rPr>
      <w:t>71</w:t>
    </w:r>
    <w:r>
      <w:rPr>
        <w:noProof/>
      </w:rPr>
      <w:fldChar w:fldCharType="end"/>
    </w:r>
  </w:p>
  <w:p w14:paraId="7D1F70A6" w14:textId="77777777" w:rsidR="00E46245" w:rsidRDefault="00E46245"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88F9D" w14:textId="77777777" w:rsidR="00E46245" w:rsidRDefault="00E46245" w:rsidP="00FA5EE8">
    <w:pPr>
      <w:pStyle w:val="Zpat"/>
      <w:tabs>
        <w:tab w:val="clear" w:pos="9072"/>
      </w:tabs>
      <w:jc w:val="right"/>
    </w:pPr>
    <w:r>
      <w:rPr>
        <w:noProof/>
      </w:rPr>
      <w:drawing>
        <wp:anchor distT="0" distB="0" distL="114300" distR="114300" simplePos="0" relativeHeight="251670016" behindDoc="1" locked="0" layoutInCell="1" allowOverlap="0" wp14:anchorId="0CE8D970" wp14:editId="2D11FF20">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43"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sidR="00AF6FE3">
      <w:rPr>
        <w:noProof/>
      </w:rPr>
      <w:t>87</w:t>
    </w:r>
    <w:r>
      <w:rPr>
        <w:noProof/>
      </w:rPr>
      <w:fldChar w:fldCharType="end"/>
    </w:r>
  </w:p>
  <w:p w14:paraId="736A5DE9" w14:textId="77777777" w:rsidR="00E46245" w:rsidRDefault="00E46245"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01E59" w14:textId="77777777" w:rsidR="00E46245" w:rsidRDefault="00E46245" w:rsidP="00F03E3C">
      <w:r>
        <w:separator/>
      </w:r>
    </w:p>
  </w:footnote>
  <w:footnote w:type="continuationSeparator" w:id="0">
    <w:p w14:paraId="1CEB4597" w14:textId="77777777" w:rsidR="00E46245" w:rsidRDefault="00E46245" w:rsidP="00F03E3C">
      <w:r>
        <w:continuationSeparator/>
      </w:r>
    </w:p>
  </w:footnote>
  <w:footnote w:type="continuationNotice" w:id="1">
    <w:p w14:paraId="1BBA29E2" w14:textId="77777777" w:rsidR="00E46245" w:rsidRDefault="00E46245"/>
  </w:footnote>
  <w:footnote w:id="2">
    <w:p w14:paraId="1031D659" w14:textId="77777777" w:rsidR="00E46245" w:rsidRPr="00DD47DF" w:rsidRDefault="00E46245" w:rsidP="0040363A">
      <w:pPr>
        <w:pStyle w:val="Poznmkapodarou"/>
      </w:pPr>
      <w:r w:rsidRPr="00DD47DF">
        <w:rPr>
          <w:rStyle w:val="Znakapoznpodarou"/>
        </w:rPr>
        <w:footnoteRef/>
      </w:r>
      <w:r w:rsidRPr="00DD47DF">
        <w:t xml:space="preserve">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w:t>
      </w:r>
    </w:p>
  </w:footnote>
  <w:footnote w:id="3">
    <w:p w14:paraId="62F8D49E" w14:textId="77777777" w:rsidR="00E46245" w:rsidRPr="00DD47DF" w:rsidRDefault="00E46245" w:rsidP="0040363A">
      <w:pPr>
        <w:pStyle w:val="Poznmkapodarou"/>
      </w:pPr>
      <w:r w:rsidRPr="00DD47DF">
        <w:rPr>
          <w:rStyle w:val="Znakapoznpodarou"/>
        </w:rPr>
        <w:footnoteRef/>
      </w:r>
      <w:r w:rsidRPr="00DD47DF">
        <w:t xml:space="preserve"> Prováděcí nařízení Komise (EU) č. 288/2014 ze dne 25. února 2014.</w:t>
      </w:r>
    </w:p>
  </w:footnote>
  <w:footnote w:id="4">
    <w:p w14:paraId="7F01ABC1" w14:textId="77777777" w:rsidR="00E46245" w:rsidRPr="00DD47DF" w:rsidRDefault="00E46245" w:rsidP="0040363A">
      <w:pPr>
        <w:pStyle w:val="Poznmkapodarou"/>
      </w:pPr>
      <w:r w:rsidRPr="00DD47DF">
        <w:rPr>
          <w:rStyle w:val="Znakapoznpodarou"/>
        </w:rPr>
        <w:footnoteRef/>
      </w:r>
      <w:r w:rsidRPr="00DD47DF">
        <w:t xml:space="preserve"> KOM (2010) 2020 ze dne 3. března 2010.</w:t>
      </w:r>
    </w:p>
  </w:footnote>
  <w:footnote w:id="5">
    <w:p w14:paraId="7E26FCB3" w14:textId="77777777" w:rsidR="00E46245" w:rsidRPr="00DD47DF" w:rsidRDefault="00E46245" w:rsidP="0040363A">
      <w:pPr>
        <w:pStyle w:val="Poznmkapodarou"/>
      </w:pPr>
      <w:r w:rsidRPr="00DD47DF">
        <w:rPr>
          <w:rStyle w:val="Znakapoznpodarou"/>
        </w:rPr>
        <w:footnoteRef/>
      </w:r>
      <w:r w:rsidRPr="00DD47DF">
        <w:t xml:space="preserve"> Nařízení Evropského parlamentu a Rady (EU) č. 1301/2013 ze dne 17. prosince 2013 o Evropském fondu pro regionální rozvoj, o zvláštních ustanoveních týkajících se cíle Investice pro růst a zaměstnanost a o zrušení nařízení (ES) č. 1080/2006.</w:t>
      </w:r>
    </w:p>
  </w:footnote>
  <w:footnote w:id="6">
    <w:p w14:paraId="38B96D51" w14:textId="77777777" w:rsidR="00E46245" w:rsidRPr="00DD47DF" w:rsidRDefault="00E46245" w:rsidP="0040363A">
      <w:pPr>
        <w:pStyle w:val="Poznmkapodarou"/>
      </w:pPr>
      <w:r w:rsidRPr="00DD47DF">
        <w:rPr>
          <w:rStyle w:val="Znakapoznpodarou"/>
        </w:rPr>
        <w:footnoteRef/>
      </w:r>
      <w:r w:rsidRPr="00DD47DF">
        <w:t xml:space="preserve"> Zhodnocení zkušeností z programovacího období 2007-2013 a jejich návaznosti v programovacím období 2014-2020 z hlediska věcného zaměření intervencí je obsaženo v Nepovinné příloze č. 1.</w:t>
      </w:r>
    </w:p>
  </w:footnote>
  <w:footnote w:id="7">
    <w:p w14:paraId="3CA393DE" w14:textId="77777777" w:rsidR="00E46245" w:rsidRPr="00DD47DF" w:rsidRDefault="00E46245" w:rsidP="0040363A">
      <w:pPr>
        <w:pStyle w:val="Poznmkapodarou"/>
      </w:pPr>
      <w:r w:rsidRPr="00DD47DF">
        <w:rPr>
          <w:rStyle w:val="Znakapoznpodarou"/>
        </w:rPr>
        <w:footnoteRef/>
      </w:r>
      <w:r w:rsidRPr="00DD47DF">
        <w:t xml:space="preserve"> Tato verze programového dokumentu OP PIK obsahuje v Příloze č. I Závěrečnou zprávu, včetně shrnutí, ex-ante hodnocení programu v souladu s čl. 55 bodem 2 obecného nařízení.   </w:t>
      </w:r>
    </w:p>
  </w:footnote>
  <w:footnote w:id="8">
    <w:p w14:paraId="6A6C8483" w14:textId="77777777" w:rsidR="00E46245" w:rsidRPr="00DD47DF" w:rsidRDefault="00E46245" w:rsidP="0040363A">
      <w:pPr>
        <w:pStyle w:val="Poznmkapodarou"/>
        <w:rPr>
          <w:rStyle w:val="Znakapoznpodarou"/>
          <w:vertAlign w:val="baseline"/>
        </w:rPr>
      </w:pPr>
      <w:r w:rsidRPr="00DD47DF">
        <w:rPr>
          <w:rStyle w:val="Znakapoznpodarou"/>
        </w:rPr>
        <w:footnoteRef/>
      </w:r>
      <w:r w:rsidRPr="00DD47DF">
        <w:rPr>
          <w:rStyle w:val="Znakapoznpodarou"/>
          <w:vertAlign w:val="baseline"/>
        </w:rPr>
        <w:t xml:space="preserve"> Nařízení o EFRR, čl. 3.</w:t>
      </w:r>
    </w:p>
  </w:footnote>
  <w:footnote w:id="9">
    <w:p w14:paraId="60247FC3" w14:textId="77777777" w:rsidR="00E46245" w:rsidRPr="00DD47DF" w:rsidRDefault="00E46245" w:rsidP="00120476">
      <w:pPr>
        <w:pStyle w:val="Poznmkapodarou"/>
      </w:pPr>
      <w:r w:rsidRPr="00DD47DF">
        <w:rPr>
          <w:rStyle w:val="Znakapoznpodarou"/>
        </w:rPr>
        <w:footnoteRef/>
      </w:r>
      <w:r w:rsidRPr="00DD47DF">
        <w:t xml:space="preserve"> V úrovních 1 až cca 4 podle Klasifikace řádů inovací z hlediska přínosu užitných hodnot.</w:t>
      </w:r>
    </w:p>
  </w:footnote>
  <w:footnote w:id="10">
    <w:p w14:paraId="73464470" w14:textId="77777777" w:rsidR="00E46245" w:rsidRPr="00DD47DF" w:rsidRDefault="00E46245" w:rsidP="0040363A">
      <w:pPr>
        <w:pStyle w:val="Poznmkapodarou"/>
      </w:pPr>
      <w:r w:rsidRPr="00DD47DF">
        <w:rPr>
          <w:rStyle w:val="Znakapoznpodarou"/>
        </w:rPr>
        <w:footnoteRef/>
      </w:r>
      <w:r w:rsidRPr="00DD47DF">
        <w:t xml:space="preserve"> Evropský fond pro regionální rozvoj (EFRR), Evropský sociální fond (ESF), Fond soudržnosti (FS), Evropský zemědělský fondu pro rozvoj venkova (EZFRV) a Evropský námořní a rybářské fond (EMFF).</w:t>
      </w:r>
    </w:p>
  </w:footnote>
  <w:footnote w:id="11">
    <w:p w14:paraId="69BC6C67" w14:textId="77777777" w:rsidR="00E46245" w:rsidRPr="00DD47DF" w:rsidRDefault="00E46245" w:rsidP="000B0FE7">
      <w:pPr>
        <w:pStyle w:val="Poznmkapodarou"/>
      </w:pPr>
      <w:r w:rsidRPr="00DD47DF">
        <w:rPr>
          <w:rStyle w:val="Znakapoznpodarou"/>
        </w:rPr>
        <w:footnoteRef/>
      </w:r>
      <w:r w:rsidRPr="00DD47DF">
        <w:t xml:space="preserve"> Jedná se o odvětví aplikací, která se odlišují od priorit definovaných z národní úrovně a současně jsou alespoň jedním krajem identifikovány jako oblast jeho inteligentní specializace (viz oddíl 4.2.1.).</w:t>
      </w:r>
    </w:p>
  </w:footnote>
  <w:footnote w:id="12">
    <w:p w14:paraId="7C97A506" w14:textId="77777777" w:rsidR="00E46245" w:rsidRPr="00DD47DF" w:rsidRDefault="00E46245" w:rsidP="000B0FE7">
      <w:pPr>
        <w:pStyle w:val="Poznmkapodarou"/>
      </w:pPr>
      <w:r w:rsidRPr="00DD47DF">
        <w:rPr>
          <w:rStyle w:val="Znakapoznpodarou"/>
        </w:rPr>
        <w:footnoteRef/>
      </w:r>
      <w:r w:rsidRPr="00DD47DF">
        <w:t xml:space="preserve"> Jedná se o znalosti v oblasti IT pro nová média, nakladatelství a média, zpracování a práci s digitálním obsahem, a pro audiovizuální tvorbu.</w:t>
      </w:r>
    </w:p>
  </w:footnote>
  <w:footnote w:id="13">
    <w:p w14:paraId="60A2CFD0" w14:textId="77777777" w:rsidR="00E46245" w:rsidRPr="00DD47DF" w:rsidRDefault="00E46245" w:rsidP="000B0FE7">
      <w:pPr>
        <w:pStyle w:val="Poznmkapodarou"/>
      </w:pPr>
      <w:r w:rsidRPr="00DD47DF">
        <w:rPr>
          <w:rStyle w:val="Znakapoznpodarou"/>
        </w:rPr>
        <w:footnoteRef/>
      </w:r>
      <w:r w:rsidRPr="00DD47DF">
        <w:t xml:space="preserve"> Jedná se o znalosti v oblasti užitého a průmyslového designu, vizuálních a múzických umění a znalosti a dovednosti v oblasti tradiční i moderní živé kultury s využitím v kulturních průmyslech. </w:t>
      </w:r>
    </w:p>
  </w:footnote>
  <w:footnote w:id="14">
    <w:p w14:paraId="610B497C" w14:textId="77777777" w:rsidR="00E46245" w:rsidRPr="00DD47DF" w:rsidRDefault="00E46245" w:rsidP="00782BE3">
      <w:pPr>
        <w:pStyle w:val="Poznmkapodarou"/>
      </w:pPr>
      <w:r w:rsidRPr="00DD47DF">
        <w:rPr>
          <w:rStyle w:val="Znakapoznpodarou"/>
        </w:rPr>
        <w:footnoteRef/>
      </w:r>
      <w:r w:rsidRPr="00DD47DF">
        <w:t xml:space="preserve"> Možnosti využití tepla / vzdálené kogenerace na zemědělských BPS v České republice, zpracovatel NovaEnergo s.r.o., květen 2013</w:t>
      </w:r>
    </w:p>
  </w:footnote>
  <w:footnote w:id="15">
    <w:p w14:paraId="090EFB9B" w14:textId="77777777" w:rsidR="00E46245" w:rsidRPr="00DD47DF" w:rsidRDefault="00E46245" w:rsidP="00F260AA">
      <w:pPr>
        <w:pStyle w:val="Poznmkapodarou"/>
      </w:pPr>
      <w:r w:rsidRPr="00DD47DF">
        <w:rPr>
          <w:rStyle w:val="Znakapoznpodarou"/>
        </w:rPr>
        <w:footnoteRef/>
      </w:r>
      <w:r w:rsidRPr="00DD47DF">
        <w:t xml:space="preserve"> Pro každou bioplynovou stanici byly prozkoumány možnosti využití tepla/ vzdálené kogenerace v okruhu 4 km od instalace. Pokud se v takto blízkém okolí stanice vyskytovalo větší sídlo s centrálním zásobováním teplem, větší průmyslový nebo zemědělský podnik/ areál, nebo jiné stavby, ve kterých by bylo možné teplo využívat, pak je do tabulky doplněno „ano“ (existuje možnost využití tepla/ vzdálené kogenerace). V případě, že se v blízkosti BPS vyskytují větší sídla či areály, ale není zcela jisté, zda jsou centrálně zásobeny teplem či zda jsou v provozu (není přístup k podrobnějším datům), pak je do tabulky doplněno „možná“ (není jisté, zda existuje možnost využití tepla/ vzdálené kogenerace, je třeba získat podrobnější data o okolí).</w:t>
      </w:r>
    </w:p>
  </w:footnote>
  <w:footnote w:id="16">
    <w:p w14:paraId="1ED72FD2" w14:textId="77777777" w:rsidR="00E46245" w:rsidRPr="00DD47DF" w:rsidRDefault="00E46245" w:rsidP="00F260AA">
      <w:pPr>
        <w:pStyle w:val="Poznmkapodarou"/>
      </w:pPr>
      <w:r w:rsidRPr="00DD47DF">
        <w:rPr>
          <w:rStyle w:val="Znakapoznpodarou"/>
        </w:rPr>
        <w:footnoteRef/>
      </w:r>
      <w:r w:rsidRPr="00DD47DF">
        <w:t xml:space="preserve"> Hodnoty v grafech obsahují data za ČEZ Distribuce a. s.</w:t>
      </w:r>
    </w:p>
  </w:footnote>
  <w:footnote w:id="17">
    <w:p w14:paraId="40523BD8" w14:textId="77777777" w:rsidR="00E46245" w:rsidRPr="00DD47DF" w:rsidRDefault="00E46245" w:rsidP="00056DBD">
      <w:pPr>
        <w:pStyle w:val="Textpoznpodarou"/>
      </w:pPr>
      <w:r w:rsidRPr="00DD47DF">
        <w:rPr>
          <w:rStyle w:val="Znakapoznpodarou"/>
        </w:rPr>
        <w:footnoteRef/>
      </w:r>
      <w:r w:rsidRPr="00DD47DF">
        <w:t xml:space="preserve"> Analytická studie na zavádění nízkouhlíkových technologií v rámci ČR pro aktivity zahrnuté v rámci specifického cíle 3.4 OP PIK, ČVUT a spol., říjen 2014.</w:t>
      </w:r>
    </w:p>
  </w:footnote>
  <w:footnote w:id="18">
    <w:p w14:paraId="2DCE9BEC" w14:textId="77777777" w:rsidR="00E46245" w:rsidRPr="00DD47DF" w:rsidRDefault="00E46245" w:rsidP="00F260AA">
      <w:pPr>
        <w:pStyle w:val="Poznmkapodarou"/>
      </w:pPr>
      <w:r w:rsidRPr="00DD47DF">
        <w:rPr>
          <w:rStyle w:val="Znakapoznpodarou"/>
        </w:rPr>
        <w:footnoteRef/>
      </w:r>
      <w:r w:rsidRPr="00DD47DF">
        <w:t xml:space="preserve"> Podle Politiky druhotných surovin ČR lze za druhotnou surovinu považovat látky či předměty, které přestaly být odpadem nebo se odpadem nikdy nestaly (tzn. vedlejší produkty) a vstupují do dalšího procesu výroby či využití, s látkou či předmětem se běžně obchoduje a existují její technické charakteristiky jako např. technické a oborové normy, obchodní zvyklosti apod., které umožňují látku či předmět jednoznačně popsat pro potřeby obchodu či technologického procesu. </w:t>
      </w:r>
    </w:p>
  </w:footnote>
  <w:footnote w:id="19">
    <w:p w14:paraId="6A406707" w14:textId="77777777" w:rsidR="00E46245" w:rsidRPr="00DD47DF" w:rsidRDefault="00E46245" w:rsidP="00F260AA">
      <w:pPr>
        <w:pStyle w:val="Poznmkapodarou"/>
        <w:rPr>
          <w:rFonts w:ascii="Calibri" w:hAnsi="Calibri"/>
        </w:rPr>
      </w:pPr>
      <w:r w:rsidRPr="00DD47DF">
        <w:rPr>
          <w:rStyle w:val="Znakapoznpodarou"/>
        </w:rPr>
        <w:footnoteRef/>
      </w:r>
      <w:r w:rsidRPr="00DD47DF">
        <w:t xml:space="preserve"> ERÚ, 2010: Cenové rozhodnutí Energetického regulačního úřadu č. 1/2010 ze dne 11. října 2010, k cenám tepelné energie</w:t>
      </w:r>
    </w:p>
  </w:footnote>
  <w:footnote w:id="20">
    <w:p w14:paraId="43BD5D85" w14:textId="77777777" w:rsidR="00E46245" w:rsidRPr="00DD47DF" w:rsidRDefault="00E46245" w:rsidP="00F260AA">
      <w:pPr>
        <w:pStyle w:val="Poznmkapodarou"/>
      </w:pPr>
      <w:r w:rsidRPr="00DD47DF">
        <w:rPr>
          <w:rStyle w:val="Znakapoznpodarou"/>
        </w:rPr>
        <w:footnoteRef/>
      </w:r>
      <w:r w:rsidRPr="00DD47DF">
        <w:t xml:space="preserve"> FinTherm Praha - KWH Pipe, a.s., 2013</w:t>
      </w:r>
    </w:p>
  </w:footnote>
  <w:footnote w:id="21">
    <w:p w14:paraId="52B99952" w14:textId="77777777" w:rsidR="00E46245" w:rsidRPr="00DD47DF" w:rsidRDefault="00E46245" w:rsidP="00F260AA">
      <w:pPr>
        <w:pStyle w:val="Poznmkapodarou"/>
      </w:pPr>
      <w:r w:rsidRPr="00DD47DF">
        <w:rPr>
          <w:rStyle w:val="Znakapoznpodarou"/>
        </w:rPr>
        <w:footnoteRef/>
      </w:r>
      <w:r w:rsidRPr="00DD47DF">
        <w:t xml:space="preserve"> V rámci ČR je v současnosti provozováno dle ERÚ 1 531,139 km parních rozvodů, přičemž dle odhadů členů Teplárenského sdružení ČR je možné rekonstruovat 2/3 délky existujících parních rozvodů.</w:t>
      </w:r>
    </w:p>
  </w:footnote>
  <w:footnote w:id="22">
    <w:p w14:paraId="353BCF1C" w14:textId="77777777" w:rsidR="00E46245" w:rsidRPr="00DD47DF" w:rsidRDefault="00E46245" w:rsidP="00F260AA">
      <w:pPr>
        <w:pStyle w:val="Poznmkapodarou"/>
      </w:pPr>
      <w:r w:rsidRPr="00DD47DF">
        <w:rPr>
          <w:rStyle w:val="Znakapoznpodarou"/>
        </w:rPr>
        <w:footnoteRef/>
      </w:r>
      <w:r w:rsidRPr="00DD47DF">
        <w:t xml:space="preserve"> Průměrná hodnota EU-27 nezahrnuje Chorvatsko.</w:t>
      </w:r>
    </w:p>
  </w:footnote>
  <w:footnote w:id="23">
    <w:p w14:paraId="5285235D" w14:textId="77777777" w:rsidR="00E46245" w:rsidRPr="00DD47DF" w:rsidRDefault="00E46245" w:rsidP="00F260AA">
      <w:pPr>
        <w:pStyle w:val="Poznmkapodarou"/>
      </w:pPr>
      <w:r w:rsidRPr="00DD47DF">
        <w:rPr>
          <w:rStyle w:val="Znakapoznpodarou"/>
        </w:rPr>
        <w:footnoteRef/>
      </w:r>
      <w:r w:rsidRPr="00DD47DF">
        <w:t xml:space="preserve"> MPO, 2006: Zpráva o výsledcích analýzy vnitrostátního potenciálu kombinované výroby elektřiny a tepla v České republice podle směrnice 2004/8/ES </w:t>
      </w:r>
    </w:p>
  </w:footnote>
  <w:footnote w:id="24">
    <w:p w14:paraId="58AA777B" w14:textId="77777777" w:rsidR="00E46245" w:rsidRPr="00DD47DF" w:rsidRDefault="00E46245" w:rsidP="00F260AA">
      <w:pPr>
        <w:pStyle w:val="Poznmkapodarou"/>
      </w:pPr>
      <w:r w:rsidRPr="00DD47DF">
        <w:rPr>
          <w:rStyle w:val="Znakapoznpodarou"/>
        </w:rPr>
        <w:footnoteRef/>
      </w:r>
      <w:r w:rsidRPr="00DD47DF">
        <w:t xml:space="preserve"> Data Teplárenského sdružení ČR, ORTEP k 1. 1. 2013</w:t>
      </w:r>
    </w:p>
  </w:footnote>
  <w:footnote w:id="25">
    <w:p w14:paraId="1EB69B94" w14:textId="77777777" w:rsidR="00E46245" w:rsidRPr="00DD47DF" w:rsidRDefault="00E46245" w:rsidP="00570220">
      <w:pPr>
        <w:pStyle w:val="Poznmkapodarou"/>
      </w:pPr>
      <w:r w:rsidRPr="00DD47DF">
        <w:rPr>
          <w:rStyle w:val="Znakapoznpodarou"/>
        </w:rPr>
        <w:footnoteRef/>
      </w:r>
      <w:r w:rsidRPr="00DD47DF">
        <w:t xml:space="preserve"> ICT sektor je definován jako kombinace ekonomických činností produkujících výrobky a poskytujících služby, jež jsou primárně určeny ke zpracování, komunikaci a distribuci informací elektronickou cestou, včetně jejich zachycení, ukládání, přenosu a zobrazení (OECD, 2007).</w:t>
      </w:r>
    </w:p>
  </w:footnote>
  <w:footnote w:id="26">
    <w:p w14:paraId="5E7B33D6" w14:textId="77777777" w:rsidR="00E46245" w:rsidRPr="00DD47DF" w:rsidRDefault="00E46245" w:rsidP="00570220">
      <w:pPr>
        <w:pStyle w:val="Poznmkapodarou"/>
      </w:pPr>
      <w:r w:rsidRPr="00DD47DF">
        <w:rPr>
          <w:rStyle w:val="Znakapoznpodarou"/>
        </w:rPr>
        <w:footnoteRef/>
      </w:r>
      <w:r w:rsidRPr="00DD47DF">
        <w:t xml:space="preserve"> Data převzata převážně z analýzy </w:t>
      </w:r>
      <w:r w:rsidRPr="00DD47DF">
        <w:rPr>
          <w:i/>
        </w:rPr>
        <w:t>Využívání IT v podnicích - výsledky za leden 201</w:t>
      </w:r>
      <w:r w:rsidRPr="00DD47DF">
        <w:t>3, ČSÚ.</w:t>
      </w:r>
    </w:p>
  </w:footnote>
  <w:footnote w:id="27">
    <w:p w14:paraId="378085FD" w14:textId="77777777" w:rsidR="00E46245" w:rsidRPr="00DD47DF" w:rsidRDefault="00E46245" w:rsidP="00782BE3">
      <w:pPr>
        <w:pStyle w:val="Poznmkapodarou"/>
      </w:pPr>
      <w:r w:rsidRPr="00DD47DF">
        <w:rPr>
          <w:rStyle w:val="Znakapoznpodarou"/>
        </w:rPr>
        <w:footnoteRef/>
      </w:r>
      <w:r w:rsidRPr="00DD47DF">
        <w:t xml:space="preserve"> Podle definice Národního institutu pro standardy a technologie Ministerstva obchodu Spojených států Amerických je cloud computing model umožňující na vyžádání všudypřítomný pohodlný síťový přístup ke sdíleným zdrojům konfigurovatelného výpočetního výkonu (např. sítě, servery, datová úložiště, aplikace a služby), který může být velmi rychle připraven a dodán s minimálním úsilím a interakcí poskytovatele.</w:t>
      </w:r>
    </w:p>
  </w:footnote>
  <w:footnote w:id="28">
    <w:p w14:paraId="58A10E4E" w14:textId="77777777" w:rsidR="00E46245" w:rsidRPr="00DD47DF" w:rsidRDefault="00E46245" w:rsidP="00782BE3">
      <w:pPr>
        <w:pStyle w:val="Poznmkapodarou"/>
      </w:pPr>
      <w:r w:rsidRPr="00DD47DF">
        <w:rPr>
          <w:rStyle w:val="Znakapoznpodarou"/>
        </w:rPr>
        <w:footnoteRef/>
      </w:r>
      <w:r w:rsidRPr="00DD47DF">
        <w:t xml:space="preserve"> Feuerlicht, George, Burkon, Lukáš a Šebesta, Michal. Cloud Computing Adoption: What are the Issues, 2010. http://www.cssi.cz/cssi/system/files/all/si-2011-02p-16-Feuerlicht-Burkon-Sebesta.pdf.</w:t>
      </w:r>
    </w:p>
  </w:footnote>
  <w:footnote w:id="29">
    <w:p w14:paraId="35AEA68B" w14:textId="77777777" w:rsidR="00E46245" w:rsidRPr="00DD47DF" w:rsidRDefault="00E46245" w:rsidP="00782BE3">
      <w:pPr>
        <w:pStyle w:val="Poznmkapodarou"/>
      </w:pPr>
      <w:r w:rsidRPr="00DD47DF">
        <w:rPr>
          <w:rStyle w:val="Znakapoznpodarou"/>
        </w:rPr>
        <w:footnoteRef/>
      </w:r>
      <w:r w:rsidRPr="00DD47DF">
        <w:t xml:space="preserve"> </w:t>
      </w:r>
      <w:r w:rsidRPr="00DD47DF">
        <w:rPr>
          <w:bCs/>
          <w:szCs w:val="22"/>
        </w:rPr>
        <w:t>CIO Business World. Google: čeští podnikatelé nevědí, co je cloud. CIO Business World, 2011. http://businessworld.cz/temata?id=2&amp;article=on&amp;article_id=8309&amp;cat=&amp;q=Cloud%20computing&amp;sid=google-cesti-podnikatele-nevedi-co-je-cloud.</w:t>
      </w:r>
    </w:p>
  </w:footnote>
  <w:footnote w:id="30">
    <w:p w14:paraId="08380508" w14:textId="77777777" w:rsidR="00E46245" w:rsidRPr="00DD47DF" w:rsidRDefault="00E46245" w:rsidP="00BE7303">
      <w:pPr>
        <w:pStyle w:val="Textpoznpodarou"/>
        <w:spacing w:after="120"/>
      </w:pPr>
      <w:r w:rsidRPr="00DD47DF">
        <w:rPr>
          <w:rStyle w:val="Znakapoznpodarou"/>
        </w:rPr>
        <w:footnoteRef/>
      </w:r>
      <w:r w:rsidRPr="00DD47DF">
        <w:t xml:space="preserve"> Např. „Analýza absorpční kapacity a návrh cílových hodnot indikátorů OP PIK 2014 – 2020“, HaskoningDHV Czech Republic, spol. s r.o. (únor 2014).</w:t>
      </w:r>
    </w:p>
  </w:footnote>
  <w:footnote w:id="31">
    <w:p w14:paraId="6825B1E9" w14:textId="77777777" w:rsidR="00E46245" w:rsidRPr="00DD47DF" w:rsidRDefault="00E46245" w:rsidP="00BE7303">
      <w:pPr>
        <w:pStyle w:val="Textpoznpodarou"/>
        <w:spacing w:after="120"/>
      </w:pPr>
      <w:r w:rsidRPr="00DD47DF">
        <w:rPr>
          <w:rStyle w:val="Znakapoznpodarou"/>
        </w:rPr>
        <w:footnoteRef/>
      </w:r>
      <w:r w:rsidRPr="00DD47DF">
        <w:t xml:space="preserve"> Dle čl. 120 bodu 2 písm. a) obecného nařízení.</w:t>
      </w:r>
    </w:p>
  </w:footnote>
  <w:footnote w:id="32">
    <w:p w14:paraId="092725B8" w14:textId="77777777" w:rsidR="00E46245" w:rsidRPr="00DD47DF" w:rsidRDefault="00E46245" w:rsidP="00BE7303">
      <w:pPr>
        <w:pStyle w:val="Textpoznpodarou"/>
        <w:spacing w:after="120"/>
      </w:pPr>
      <w:r w:rsidRPr="00DD47DF">
        <w:rPr>
          <w:rStyle w:val="Znakapoznpodarou"/>
        </w:rPr>
        <w:footnoteRef/>
      </w:r>
      <w:r w:rsidRPr="00DD47DF">
        <w:t xml:space="preserve"> Materiál „Pravidla spolufinancování Evropských strukturálních a investičních fondů v programovém období 2014-2020 (MF, červen 2014, kapitola 5.1.6), schválen vládou ČR usnesením č, 583/2014.</w:t>
      </w:r>
    </w:p>
  </w:footnote>
  <w:footnote w:id="33">
    <w:p w14:paraId="3DDEB0CD" w14:textId="77777777" w:rsidR="00E46245" w:rsidRPr="00DD47DF" w:rsidRDefault="00E46245">
      <w:pPr>
        <w:pStyle w:val="Textpoznpodarou"/>
      </w:pPr>
      <w:r w:rsidRPr="00DD47DF">
        <w:rPr>
          <w:rStyle w:val="Znakapoznpodarou"/>
        </w:rPr>
        <w:footnoteRef/>
      </w:r>
      <w:r w:rsidRPr="00DD47DF">
        <w:t xml:space="preserve"> Přístup Řídícího orgánu OP PIK k monitoringu je popsán v Nepovinné příloze č. 3. </w:t>
      </w:r>
    </w:p>
  </w:footnote>
  <w:footnote w:id="34">
    <w:p w14:paraId="233181B7" w14:textId="77777777" w:rsidR="00E46245" w:rsidRPr="00DD47DF" w:rsidRDefault="00E46245" w:rsidP="00C26C42">
      <w:pPr>
        <w:pStyle w:val="Poznmkapodarou"/>
      </w:pPr>
      <w:r w:rsidRPr="00DD47DF">
        <w:rPr>
          <w:rStyle w:val="Znakapoznpodarou"/>
        </w:rPr>
        <w:footnoteRef/>
      </w:r>
      <w:r w:rsidRPr="00DD47DF">
        <w:t xml:space="preserve"> Jedná se o inovace 5. – 9. řádu dle Klasifikace řádů inovací (dle publikace Inovační podnikání, 2007, dostupné na http://www.aipcr.cz/pdf/publikace_inovacni_podnikani.pdf).</w:t>
      </w:r>
    </w:p>
  </w:footnote>
  <w:footnote w:id="35">
    <w:p w14:paraId="3D4A09C5" w14:textId="77777777" w:rsidR="00E46245" w:rsidRPr="00DD47DF" w:rsidRDefault="00E46245">
      <w:pPr>
        <w:pStyle w:val="Textpoznpodarou"/>
      </w:pPr>
      <w:r w:rsidRPr="00DD47DF">
        <w:rPr>
          <w:rStyle w:val="Znakapoznpodarou"/>
        </w:rPr>
        <w:footnoteRef/>
      </w:r>
      <w:r w:rsidRPr="00DD47DF">
        <w:t xml:space="preserve"> V elektronickém systému SFC2014 je uvedena střední hodnota intervalu, tj. 0,71.</w:t>
      </w:r>
    </w:p>
  </w:footnote>
  <w:footnote w:id="36">
    <w:p w14:paraId="5C659E8F" w14:textId="77777777" w:rsidR="00E46245" w:rsidRPr="00DD47DF" w:rsidRDefault="00E46245" w:rsidP="007E6815">
      <w:pPr>
        <w:pStyle w:val="Poznmkapodarou"/>
      </w:pPr>
      <w:r w:rsidRPr="00DD47DF">
        <w:rPr>
          <w:rStyle w:val="Znakapoznpodarou"/>
        </w:rPr>
        <w:footnoteRef/>
      </w:r>
      <w:r w:rsidRPr="00DD47DF">
        <w:t xml:space="preserve"> V elektronickém systému SFC2014 je uvedena střední hodnota intervalu, tj. 30,4.</w:t>
      </w:r>
    </w:p>
  </w:footnote>
  <w:footnote w:id="37">
    <w:p w14:paraId="4180C58A" w14:textId="77777777" w:rsidR="00E46245" w:rsidRPr="00DD47DF" w:rsidRDefault="00E46245" w:rsidP="00A25CBC">
      <w:pPr>
        <w:pStyle w:val="Poznmkapodarou"/>
      </w:pPr>
      <w:r w:rsidRPr="00DD47DF">
        <w:rPr>
          <w:rStyle w:val="Znakapoznpodarou"/>
        </w:rPr>
        <w:footnoteRef/>
      </w:r>
      <w:r w:rsidRPr="00DD47DF">
        <w:t xml:space="preserve"> Inovací se rozumí implementace nového nebo signifikantně zlepšeného produktu/služby, procesu nebo nové organizační či marketingové metody, přičemž se musí jednat o produkty, procesy a metody, které jsou minimálně nové (či podstatně zlepšené) pro danou firmu. Inovace může vycházet z vlastních vývojových aktivit firmy, nebo může být převzata z jiné organizace (dle Oslo Manual OECD, dostupný na </w:t>
      </w:r>
      <w:hyperlink r:id="rId1" w:history="1">
        <w:r w:rsidRPr="00DD47DF">
          <w:rPr>
            <w:rStyle w:val="Hypertextovodkaz"/>
            <w:color w:val="auto"/>
            <w:u w:val="none"/>
          </w:rPr>
          <w:t>http://www.oecd.org/science/inno/2367580.pdf</w:t>
        </w:r>
      </w:hyperlink>
      <w:r w:rsidRPr="00DD47DF">
        <w:t>).</w:t>
      </w:r>
    </w:p>
  </w:footnote>
  <w:footnote w:id="38">
    <w:p w14:paraId="04272710" w14:textId="77777777" w:rsidR="00E46245" w:rsidRPr="00DD47DF" w:rsidRDefault="00E46245" w:rsidP="00A25CBC">
      <w:pPr>
        <w:pStyle w:val="Poznmkapodarou"/>
      </w:pPr>
      <w:r w:rsidRPr="00DD47DF">
        <w:rPr>
          <w:rStyle w:val="Znakapoznpodarou"/>
        </w:rPr>
        <w:footnoteRef/>
      </w:r>
      <w:r w:rsidRPr="00DD47DF">
        <w:t xml:space="preserve"> Ekoinovace je jakákoliv inovace, která generuje efekty žádoucí z hlediska ochrany životního prostředí. Ekoinovace lze vyvíjet a uplatňovat ve službách, technologiích, produktech a systémech řízení.</w:t>
      </w:r>
    </w:p>
  </w:footnote>
  <w:footnote w:id="39">
    <w:p w14:paraId="6D1241D0" w14:textId="77777777" w:rsidR="00E46245" w:rsidRPr="00DD47DF" w:rsidRDefault="00E46245" w:rsidP="00A25CBC">
      <w:pPr>
        <w:pStyle w:val="Textpoznpodarou"/>
      </w:pPr>
      <w:r w:rsidRPr="00DD47DF">
        <w:rPr>
          <w:rStyle w:val="Znakapoznpodarou"/>
        </w:rPr>
        <w:footnoteRef/>
      </w:r>
      <w:r w:rsidRPr="00DD47DF">
        <w:t xml:space="preserve"> „Příprava na budoucnost: vývoj společné strategie pro klíčové technologie v EU“ </w:t>
      </w:r>
      <w:r w:rsidRPr="00DD47DF">
        <w:cr/>
        <w:t>http://eur-lex.europa.eu/legal-content/CS/TXT/PDF/?uri=CELEX:52009DC0512&amp;from=EN</w:t>
      </w:r>
    </w:p>
  </w:footnote>
  <w:footnote w:id="40">
    <w:p w14:paraId="7073C0D2" w14:textId="77777777" w:rsidR="00E46245" w:rsidRPr="00DD47DF" w:rsidRDefault="00E46245" w:rsidP="00A25CBC">
      <w:pPr>
        <w:pStyle w:val="Poznmkapodarou"/>
      </w:pPr>
      <w:r w:rsidRPr="00DD47DF">
        <w:rPr>
          <w:rStyle w:val="Znakapoznpodarou"/>
        </w:rPr>
        <w:footnoteRef/>
      </w:r>
      <w:r w:rsidRPr="00DD47DF">
        <w:t xml:space="preserve"> Přeshraniční síť Ira-SMEnapř. umožňuje koordinovanou podporu VaV projektů MSP z dvou či více partnerských zemí, přičemž každý řídicí orgán poskytuje podporu subjektu z příslušné programové oblasti za předpokladu, že jsou prokázány pozitivní dopady pro oba regiony. </w:t>
      </w:r>
    </w:p>
  </w:footnote>
  <w:footnote w:id="41">
    <w:p w14:paraId="110CEA4E" w14:textId="77777777" w:rsidR="00E46245" w:rsidRPr="00DD47DF" w:rsidRDefault="00E46245" w:rsidP="00A25CBC">
      <w:pPr>
        <w:pStyle w:val="Textpoznpodarou"/>
        <w:spacing w:after="120"/>
      </w:pPr>
      <w:r w:rsidRPr="00DD47DF">
        <w:rPr>
          <w:rStyle w:val="Znakapoznpodarou"/>
        </w:rPr>
        <w:footnoteRef/>
      </w:r>
      <w:r w:rsidRPr="00DD47DF">
        <w:t xml:space="preserve"> Zemědělský podnikatel definovaný zákonem č. 252/1997 Sb., o zemědělství.</w:t>
      </w:r>
    </w:p>
  </w:footnote>
  <w:footnote w:id="42">
    <w:p w14:paraId="37855BB2" w14:textId="77777777" w:rsidR="00E46245" w:rsidRPr="00DD47DF" w:rsidRDefault="00E46245" w:rsidP="007E6815">
      <w:pPr>
        <w:pStyle w:val="Poznmkapodarou"/>
      </w:pPr>
      <w:r w:rsidRPr="00DD47DF">
        <w:rPr>
          <w:rStyle w:val="Znakapoznpodarou"/>
        </w:rPr>
        <w:footnoteRef/>
      </w:r>
      <w:r w:rsidRPr="00DD47DF">
        <w:t xml:space="preserve"> V elektronickém systému SFC2014 je uvedena střední hodnota intervalu, tj. 7,0.</w:t>
      </w:r>
    </w:p>
  </w:footnote>
  <w:footnote w:id="43">
    <w:p w14:paraId="121B9FB2" w14:textId="77777777" w:rsidR="00E46245" w:rsidRPr="00DD47DF" w:rsidRDefault="00E46245" w:rsidP="00497C7C">
      <w:pPr>
        <w:pStyle w:val="Poznmkapodarou"/>
      </w:pPr>
      <w:r w:rsidRPr="00DD47DF">
        <w:rPr>
          <w:rStyle w:val="Znakapoznpodarou"/>
        </w:rPr>
        <w:footnoteRef/>
      </w:r>
      <w:r w:rsidRPr="00DD47DF">
        <w:t xml:space="preserve"> Pojem sdílená infrastruktura zahrnuje vědeckotechnické parky, včetně podnikatelských inkubátorů a infrastrukturu provozovanou klastry (zejména zařízení a nástroje pro výzkum a vývoj).</w:t>
      </w:r>
    </w:p>
  </w:footnote>
  <w:footnote w:id="44">
    <w:p w14:paraId="48CA35F2" w14:textId="77777777" w:rsidR="00E46245" w:rsidRPr="00DD47DF" w:rsidRDefault="00E46245" w:rsidP="00497C7C">
      <w:pPr>
        <w:pStyle w:val="Poznmkapodarou"/>
      </w:pPr>
      <w:r w:rsidRPr="00DD47DF">
        <w:rPr>
          <w:rStyle w:val="Znakapoznpodarou"/>
        </w:rPr>
        <w:footnoteRef/>
      </w:r>
      <w:r w:rsidRPr="00DD47DF">
        <w:t xml:space="preserve"> Motivací MSP bude tedy zejména přístup ke kapacitám a znalostem, které jim chybějí ve vyjmenovaných oblastech a významně ztěžují úspěšnou realizaci inovačních aktivit.  Stěžejním prvkem pro širší využívání služeb bude dostatek kvalitních lidských zdrojů působících v inovační infrastruktuře, které navíc budou disponovat kontakty na další odborníky a výzkumné týmy ve znalostních institucích v ČR i v zahraničí. Motivačním prvkem budou i příklady dobré praxe podniků, které implementovaly nové postupy či aktivity s pomocí již existující a úspěšně fungující inovační infrastruktury.</w:t>
      </w:r>
    </w:p>
  </w:footnote>
  <w:footnote w:id="45">
    <w:p w14:paraId="10846D4B" w14:textId="77777777" w:rsidR="00E46245" w:rsidRPr="00DD47DF" w:rsidRDefault="00E46245" w:rsidP="00497C7C">
      <w:pPr>
        <w:pStyle w:val="Poznmkapodarou"/>
      </w:pPr>
      <w:r w:rsidRPr="00DD47DF">
        <w:rPr>
          <w:rStyle w:val="Znakapoznpodarou"/>
        </w:rPr>
        <w:footnoteRef/>
      </w:r>
      <w:r w:rsidRPr="00DD47DF">
        <w:t xml:space="preserve"> Před výstavbou nové sdílené infrastruktury bude vždy prioritizováno její rozšiřování. </w:t>
      </w:r>
      <w:r w:rsidRPr="00DD47DF">
        <w:tab/>
      </w:r>
    </w:p>
  </w:footnote>
  <w:footnote w:id="46">
    <w:p w14:paraId="43618AB2" w14:textId="77777777" w:rsidR="00E46245" w:rsidRPr="00DD47DF" w:rsidRDefault="00E46245" w:rsidP="00497C7C">
      <w:pPr>
        <w:pStyle w:val="Poznmkapodarou"/>
      </w:pPr>
      <w:r w:rsidRPr="00DD47DF">
        <w:rPr>
          <w:rStyle w:val="Znakapoznpodarou"/>
        </w:rPr>
        <w:footnoteRef/>
      </w:r>
      <w:r w:rsidRPr="00DD47DF">
        <w:t xml:space="preserve"> Např. zapojením do přeshraniční sítě kolektivního výzkumu CORNET.</w:t>
      </w:r>
    </w:p>
  </w:footnote>
  <w:footnote w:id="47">
    <w:p w14:paraId="1012AE33" w14:textId="77777777" w:rsidR="00E46245" w:rsidRPr="00DD47DF" w:rsidRDefault="00E46245" w:rsidP="00497C7C">
      <w:pPr>
        <w:pStyle w:val="Poznmkapodarou"/>
      </w:pPr>
      <w:r w:rsidRPr="00DD47DF">
        <w:rPr>
          <w:rStyle w:val="Znakapoznpodarou"/>
        </w:rPr>
        <w:footnoteRef/>
      </w:r>
      <w:r w:rsidRPr="00DD47DF">
        <w:t xml:space="preserve"> Dle zákona č. 89/2012 Sb., občanský zákoník.</w:t>
      </w:r>
    </w:p>
  </w:footnote>
  <w:footnote w:id="48">
    <w:p w14:paraId="37B1A4B5" w14:textId="15BC6AA5" w:rsidR="00E46245" w:rsidRPr="00DD47DF" w:rsidRDefault="00E46245" w:rsidP="00FE0B02">
      <w:pPr>
        <w:pStyle w:val="Poznmkapodarou"/>
        <w:rPr>
          <w:strike/>
        </w:rPr>
      </w:pPr>
      <w:r w:rsidRPr="00DD47DF">
        <w:rPr>
          <w:rStyle w:val="Znakapoznpodarou"/>
        </w:rPr>
        <w:footnoteRef/>
      </w:r>
      <w:r w:rsidRPr="00DD47DF">
        <w:t xml:space="preserve"> </w:t>
      </w:r>
      <w:r w:rsidRPr="008247A4">
        <w:t>Relevantní aktivity velkých podniků budou načítány do odpovídajících kódů intervencí (002, 057). Tyto kódy spadají do podmínky účasti velkých podniků v OP PIK uvedené v kapitole 1.1. Projekty přímé spolupráce velkých podniků s malými a středními podniky v rámci SC1.1 (s kódem intervence 063), projekty velkých podniků, které jsou stoprocentně zaměřeny na životní prostředí (tj. s kódem intervence 065) v rámci SC1.1, a projekty velkých podniků v rámci SC 1.2 (s kódem intervence 063, 059) nespadají do výpočtu velkých podniků v OP PIK.</w:t>
      </w:r>
    </w:p>
  </w:footnote>
  <w:footnote w:id="49">
    <w:p w14:paraId="350886DA" w14:textId="77777777" w:rsidR="00E129EE" w:rsidRPr="00DD47DF" w:rsidRDefault="00E129EE">
      <w:pPr>
        <w:pStyle w:val="Textpoznpodarou"/>
      </w:pPr>
      <w:r w:rsidRPr="00DD47DF">
        <w:rPr>
          <w:rStyle w:val="Znakapoznpodarou"/>
        </w:rPr>
        <w:footnoteRef/>
      </w:r>
      <w:r w:rsidRPr="00DD47DF">
        <w:t xml:space="preserve"> Tato hodnota je pouze indikativní, případné odchylky stanoví předběžné posouzení finančních nástrojů OP PIK. </w:t>
      </w:r>
    </w:p>
  </w:footnote>
  <w:footnote w:id="50">
    <w:p w14:paraId="232A1D88" w14:textId="77777777" w:rsidR="00E46245" w:rsidRPr="00DD47DF" w:rsidRDefault="00E46245">
      <w:pPr>
        <w:pStyle w:val="Textpoznpodarou"/>
      </w:pPr>
      <w:r w:rsidRPr="00DD47DF">
        <w:rPr>
          <w:rStyle w:val="Znakapoznpodarou"/>
        </w:rPr>
        <w:footnoteRef/>
      </w:r>
      <w:r w:rsidRPr="00DD47DF">
        <w:t xml:space="preserve"> V elektronickém systému SFC2014 je uvedena střední hodnota intervalu, tj. 56.</w:t>
      </w:r>
    </w:p>
  </w:footnote>
  <w:footnote w:id="51">
    <w:p w14:paraId="21BBB70F" w14:textId="77777777" w:rsidR="00E46245" w:rsidRPr="00DD47DF" w:rsidRDefault="00E46245">
      <w:pPr>
        <w:pStyle w:val="Textpoznpodarou"/>
      </w:pPr>
      <w:r w:rsidRPr="00DD47DF">
        <w:rPr>
          <w:rStyle w:val="Znakapoznpodarou"/>
        </w:rPr>
        <w:footnoteRef/>
      </w:r>
      <w:r w:rsidRPr="00DD47DF">
        <w:t xml:space="preserve"> V elektronickém systému SFC2014 je uvedena střední hodnota intervalu, tj. 68,5.</w:t>
      </w:r>
    </w:p>
  </w:footnote>
  <w:footnote w:id="52">
    <w:p w14:paraId="396A8D52" w14:textId="77777777" w:rsidR="00E46245" w:rsidRPr="00DD47DF" w:rsidRDefault="00E46245" w:rsidP="001F0C50">
      <w:pPr>
        <w:pStyle w:val="Poznmkapodarou"/>
      </w:pPr>
      <w:r w:rsidRPr="00DD47DF">
        <w:rPr>
          <w:rStyle w:val="Znakapoznpodarou"/>
        </w:rPr>
        <w:footnoteRef/>
      </w:r>
      <w:r w:rsidRPr="00DD47DF">
        <w:t xml:space="preserve"> Jedná se o inovace 1. – 4. řádu dle Klasifikace řádů inovací (dle publikace Inovační podnikání, 2007, dostupné na http://www.aipcr.cz/pdf/publikace_inovacni_podnikani.pdf).</w:t>
      </w:r>
    </w:p>
  </w:footnote>
  <w:footnote w:id="53">
    <w:p w14:paraId="3760CE30" w14:textId="20C4E7AB" w:rsidR="00E46245" w:rsidRPr="00DD47DF" w:rsidRDefault="00E46245">
      <w:pPr>
        <w:pStyle w:val="Textpoznpodarou"/>
      </w:pPr>
      <w:r w:rsidRPr="00DD47DF">
        <w:rPr>
          <w:rStyle w:val="Znakapoznpodarou"/>
        </w:rPr>
        <w:footnoteRef/>
      </w:r>
      <w:r w:rsidRPr="00DD47DF">
        <w:t xml:space="preserve"> V elektronickém systému SFC2014 je uvedena střední hodnota intervalu, tj. </w:t>
      </w:r>
      <w:r>
        <w:t>23,05</w:t>
      </w:r>
      <w:r w:rsidRPr="00DD47DF">
        <w:t>.</w:t>
      </w:r>
    </w:p>
  </w:footnote>
  <w:footnote w:id="54">
    <w:p w14:paraId="17D2E7CC" w14:textId="77777777" w:rsidR="00E46245" w:rsidRPr="00DD47DF" w:rsidRDefault="00E46245">
      <w:pPr>
        <w:pStyle w:val="Textpoznpodarou"/>
      </w:pPr>
      <w:r w:rsidRPr="00DD47DF">
        <w:rPr>
          <w:rStyle w:val="Znakapoznpodarou"/>
        </w:rPr>
        <w:footnoteRef/>
      </w:r>
      <w:r w:rsidRPr="00DD47DF">
        <w:t xml:space="preserve"> V elektronickém systému SFC2014 je uvedena střední hodnota intervalu, tj. 259 750 000.</w:t>
      </w:r>
    </w:p>
  </w:footnote>
  <w:footnote w:id="55">
    <w:p w14:paraId="2DBF5BA1" w14:textId="77777777" w:rsidR="00E46245" w:rsidRPr="00DD47DF" w:rsidRDefault="00E46245">
      <w:pPr>
        <w:pStyle w:val="Textpoznpodarou"/>
      </w:pPr>
      <w:r w:rsidRPr="00DD47DF">
        <w:rPr>
          <w:rStyle w:val="Znakapoznpodarou"/>
        </w:rPr>
        <w:footnoteRef/>
      </w:r>
      <w:r w:rsidRPr="00DD47DF">
        <w:t xml:space="preserve">  Financování i takových nákladů, které jsou obvykle způsobilými náklady pouze v rámci pravidel Evropského sociálního fondu, a to až do výše 10 % prostředků na prioritní osu. Podmínkou pro možnost financování aktivit v rámci křížového financování je nezbytnost těchto aktivit pro dosažení cílů podpořených projektů v tomto specifickém cíli OP PIK a jejich přímá vazba na tyto projekty. </w:t>
      </w:r>
    </w:p>
  </w:footnote>
  <w:footnote w:id="56">
    <w:p w14:paraId="09FF727E" w14:textId="77777777" w:rsidR="00E46245" w:rsidRPr="00DD47DF" w:rsidRDefault="00E46245" w:rsidP="00157906">
      <w:pPr>
        <w:pStyle w:val="Poznmkapodarou"/>
      </w:pPr>
      <w:r w:rsidRPr="00DD47DF">
        <w:rPr>
          <w:rStyle w:val="Znakapoznpodarou"/>
        </w:rPr>
        <w:footnoteRef/>
      </w:r>
      <w:r w:rsidRPr="00DD47DF">
        <w:t xml:space="preserve"> Snížení celkových ročních emisí suspendovaných částic PM10 a emisí oxidů dusíků, oxidu siřičitého a amoniaku jako výchozích látek pro vznik sekundárních prachových částic v tunách za rok. Hodnota indikátoru se získá součtem celkových ročních emisí PM10 a prekurzorů sekundárních částic v tunách násobených jejich faktorem potenciálu tvorby částic.</w:t>
      </w:r>
    </w:p>
  </w:footnote>
  <w:footnote w:id="57">
    <w:p w14:paraId="27D7F9B5" w14:textId="77777777" w:rsidR="00E46245" w:rsidRPr="00DD47DF" w:rsidRDefault="00E46245" w:rsidP="0038435E">
      <w:pPr>
        <w:pStyle w:val="Textpoznpodarou"/>
      </w:pPr>
      <w:r w:rsidRPr="00DD47DF">
        <w:rPr>
          <w:rStyle w:val="Znakapoznpodarou"/>
        </w:rPr>
        <w:footnoteRef/>
      </w:r>
      <w:r w:rsidRPr="00DD47DF">
        <w:t xml:space="preserve"> Dle zákona č. 76/2002 Sb., o integrované prevenci a omezování znečištění, jsou nejlepší dostupné techniky (BAT – Best Available Techniques) definované jako nejúčinnější a nejpokročilejší stadium vývoje technologií a činností a způsobů jejich provozování, které ukazují praktickou vhodnost určitých technik navržených k předcházení, a pokud to není možné, tak k omezování emisí a jejich dopadů na životní prostředí.</w:t>
      </w:r>
    </w:p>
    <w:p w14:paraId="2393557E" w14:textId="77777777" w:rsidR="00E46245" w:rsidRPr="00DD47DF" w:rsidRDefault="00E46245" w:rsidP="0038435E">
      <w:pPr>
        <w:pStyle w:val="Textpoznpodarou"/>
      </w:pPr>
      <w:r w:rsidRPr="00DD47DF">
        <w:t>Jedná se o takové techniky, které zajišťují nejvyšší možnou ochranu životního prostředí a jsou přitom reálně dostupné, tzn. umožňují jejich zavedení v aktuálních technicko - ekonomických podmínkách.</w:t>
      </w:r>
    </w:p>
  </w:footnote>
  <w:footnote w:id="58">
    <w:p w14:paraId="66439A36" w14:textId="77777777" w:rsidR="00E46245" w:rsidRPr="00DD47DF" w:rsidRDefault="00E46245" w:rsidP="008A674D">
      <w:pPr>
        <w:pStyle w:val="Poznmkapodarou"/>
      </w:pPr>
      <w:r w:rsidRPr="00DD47DF">
        <w:rPr>
          <w:rStyle w:val="Znakapoznpodarou"/>
        </w:rPr>
        <w:footnoteRef/>
      </w:r>
      <w:r w:rsidRPr="00DD47DF">
        <w:t xml:space="preserve"> Využití této metody je ovšem zásadně ovlivňováno finančním trhem a tudíž jeho stimulace musí být založena na podrobné analýze finančního sektoru i s ohledem na připravovanou ex ante analýzu FN dle čl. 37 obecného nařízení.</w:t>
      </w:r>
    </w:p>
  </w:footnote>
  <w:footnote w:id="59">
    <w:p w14:paraId="4A8008D8" w14:textId="77777777" w:rsidR="00E46245" w:rsidRPr="00DD47DF" w:rsidRDefault="00E46245" w:rsidP="00C61714">
      <w:pPr>
        <w:pStyle w:val="Poznmkapodarou"/>
      </w:pPr>
      <w:r w:rsidRPr="00DD47DF">
        <w:rPr>
          <w:rStyle w:val="Znakapoznpodarou"/>
        </w:rPr>
        <w:footnoteRef/>
      </w:r>
      <w:r w:rsidRPr="00DD47DF">
        <w:t xml:space="preserve"> Cílová hodnota reflektuje predikci hospodářského růstu a s tím spojený růst spotřeby energie.</w:t>
      </w:r>
    </w:p>
  </w:footnote>
  <w:footnote w:id="60">
    <w:p w14:paraId="2CE030A5" w14:textId="77777777" w:rsidR="00E46245" w:rsidRPr="00DD47DF" w:rsidRDefault="00E46245" w:rsidP="00C61714">
      <w:pPr>
        <w:pStyle w:val="Poznmkapodarou"/>
      </w:pPr>
      <w:r w:rsidRPr="00DD47DF">
        <w:rPr>
          <w:rStyle w:val="Znakapoznpodarou"/>
        </w:rPr>
        <w:footnoteRef/>
      </w:r>
      <w:r w:rsidRPr="00DD47DF">
        <w:t xml:space="preserve"> Cílová hodnota reflektuje predikci hospodářského růstu a s tím spojený růst spotřeby energie.</w:t>
      </w:r>
    </w:p>
  </w:footnote>
  <w:footnote w:id="61">
    <w:p w14:paraId="60B0A127" w14:textId="77777777" w:rsidR="00C71DCD" w:rsidRPr="0006076F" w:rsidRDefault="00C71DCD">
      <w:pPr>
        <w:pStyle w:val="Textpoznpodarou"/>
      </w:pPr>
      <w:r>
        <w:rPr>
          <w:rStyle w:val="Znakapoznpodarou"/>
        </w:rPr>
        <w:footnoteRef/>
      </w:r>
      <w:r>
        <w:t xml:space="preserve"> Jedná se o předběžnou hodnotu</w:t>
      </w:r>
      <w:r w:rsidRPr="008A49FA">
        <w:t>.</w:t>
      </w:r>
      <w:r>
        <w:t xml:space="preserve"> Přesný výhled bude znám po dokončení tzv. Národního klimaticko-energetického</w:t>
      </w:r>
      <w:r w:rsidRPr="001F4B3B">
        <w:t xml:space="preserve"> plánů</w:t>
      </w:r>
      <w:r>
        <w:t xml:space="preserve"> za ČR.</w:t>
      </w:r>
    </w:p>
  </w:footnote>
  <w:footnote w:id="62">
    <w:p w14:paraId="2FB6EC2E" w14:textId="77777777" w:rsidR="00E46245" w:rsidRPr="00DD47DF" w:rsidRDefault="00E46245" w:rsidP="00157906">
      <w:pPr>
        <w:pStyle w:val="Poznmkapodarou"/>
      </w:pPr>
      <w:r w:rsidRPr="00DD47DF">
        <w:rPr>
          <w:rStyle w:val="Znakapoznpodarou"/>
        </w:rPr>
        <w:footnoteRef/>
      </w:r>
      <w:r w:rsidRPr="00DD47DF">
        <w:t xml:space="preserve"> Snížení celkových ročních emisí suspendovaných částic PM10 a emisí oxidů dusíků, oxidu siřičitého a amoniaku jako výchozích látek pro vznik sekundárních prachových částic v tunách za rok. Hodnota indikátoru se získá součtem celkových ročních emisí PM10 a prekurzorů sekundárních částic v tunách násobených jejich faktorem potenciálu tvorby částic.</w:t>
      </w:r>
    </w:p>
  </w:footnote>
  <w:footnote w:id="63">
    <w:p w14:paraId="178F6A12" w14:textId="77777777" w:rsidR="00E46245" w:rsidRPr="00DD47DF" w:rsidRDefault="00E46245" w:rsidP="0038435E">
      <w:pPr>
        <w:pStyle w:val="Textpoznpodarou"/>
      </w:pPr>
      <w:r w:rsidRPr="00DD47DF">
        <w:rPr>
          <w:rStyle w:val="Znakapoznpodarou"/>
        </w:rPr>
        <w:footnoteRef/>
      </w:r>
      <w:r w:rsidRPr="00DD47DF">
        <w:t xml:space="preserve"> Dle zákona č. 76/2002 Sb., o integrované prevenci a omezování znečištění, jsou nejlepší dostupné techniky (BAT – Best Available Techniques) definované jako nejúčinnější a nejpokročilejší stadium vývoje technologií a činností a způsobů jejich provozování, které ukazují praktickou vhodnost určitých technik navržených k předcházení, a pokud to není možné, tak k omezování emisí a jejich dopadů na životní prostředí.</w:t>
      </w:r>
    </w:p>
    <w:p w14:paraId="73E4E158" w14:textId="77777777" w:rsidR="00E46245" w:rsidRPr="00DD47DF" w:rsidRDefault="00E46245" w:rsidP="0038435E">
      <w:pPr>
        <w:pStyle w:val="Textpoznpodarou"/>
      </w:pPr>
      <w:r w:rsidRPr="00DD47DF">
        <w:t>Jedná se o takové techniky, které zajišťují nejvyšší možnou ochranu životního prostředí a jsou přitom reálně dostupné, tzn. umožňují jejich zavedení v aktuálních technicko - ekonomických podmínkách.</w:t>
      </w:r>
    </w:p>
  </w:footnote>
  <w:footnote w:id="64">
    <w:p w14:paraId="34AFE181" w14:textId="77777777" w:rsidR="00E46245" w:rsidRPr="00DD47DF" w:rsidRDefault="00E46245" w:rsidP="0068667C">
      <w:pPr>
        <w:pStyle w:val="Poznmkapodarou"/>
      </w:pPr>
      <w:r w:rsidRPr="00DD47DF">
        <w:rPr>
          <w:rStyle w:val="Znakapoznpodarou"/>
        </w:rPr>
        <w:footnoteRef/>
      </w:r>
      <w:r w:rsidRPr="00DD47DF">
        <w:t xml:space="preserve"> Průměrná systémová četnost přerušení dodávky elektrické energie.</w:t>
      </w:r>
    </w:p>
  </w:footnote>
  <w:footnote w:id="65">
    <w:p w14:paraId="5A6AE003" w14:textId="77777777" w:rsidR="00E46245" w:rsidRPr="00DD47DF" w:rsidRDefault="00E46245" w:rsidP="00DC16B0">
      <w:pPr>
        <w:pStyle w:val="Poznmkapodarou"/>
      </w:pPr>
      <w:r w:rsidRPr="00DD47DF">
        <w:rPr>
          <w:rStyle w:val="Znakapoznpodarou"/>
        </w:rPr>
        <w:footnoteRef/>
      </w:r>
      <w:r w:rsidRPr="00DD47DF">
        <w:t xml:space="preserve"> V elektronickém systému SFC2014 je uvedena zaokrouhlená hodnota 2,76.</w:t>
      </w:r>
    </w:p>
  </w:footnote>
  <w:footnote w:id="66">
    <w:p w14:paraId="5120BE3D" w14:textId="77777777" w:rsidR="00E46245" w:rsidRPr="00DD47DF" w:rsidRDefault="00E46245" w:rsidP="00DC16B0">
      <w:pPr>
        <w:pStyle w:val="Poznmkapodarou"/>
      </w:pPr>
      <w:r w:rsidRPr="00DD47DF">
        <w:rPr>
          <w:rStyle w:val="Znakapoznpodarou"/>
        </w:rPr>
        <w:footnoteRef/>
      </w:r>
      <w:r w:rsidRPr="00DD47DF">
        <w:t xml:space="preserve"> V elektronickém systému SFC2014 je uvedena zaokrouhlená hodnota 1,93.</w:t>
      </w:r>
    </w:p>
  </w:footnote>
  <w:footnote w:id="67">
    <w:p w14:paraId="702EFA42" w14:textId="77777777" w:rsidR="00E46245" w:rsidRPr="00DD47DF" w:rsidRDefault="00E46245" w:rsidP="0068667C">
      <w:pPr>
        <w:pStyle w:val="Poznmkapodarou"/>
      </w:pPr>
      <w:r w:rsidRPr="00DD47DF">
        <w:rPr>
          <w:rStyle w:val="Znakapoznpodarou"/>
        </w:rPr>
        <w:footnoteRef/>
      </w:r>
      <w:r w:rsidRPr="00DD47DF">
        <w:t xml:space="preserve"> Průměrná systémová doba trvání přerušení dodávky elektrické energie.</w:t>
      </w:r>
    </w:p>
  </w:footnote>
  <w:footnote w:id="68">
    <w:p w14:paraId="5543967C" w14:textId="77777777" w:rsidR="00E46245" w:rsidRPr="00DD47DF" w:rsidRDefault="00E46245" w:rsidP="00157906">
      <w:pPr>
        <w:pStyle w:val="Poznmkapodarou"/>
      </w:pPr>
      <w:r w:rsidRPr="00DD47DF">
        <w:rPr>
          <w:rStyle w:val="Znakapoznpodarou"/>
        </w:rPr>
        <w:footnoteRef/>
      </w:r>
      <w:r w:rsidRPr="00DD47DF">
        <w:t xml:space="preserve"> Snížení celkových ročních emisí suspendovaných částic PM10 a emisí oxidů dusíků, oxidu siřičitého a amoniaku jako výchozích látek pro vznik sekundárních prachových částic v tunách za rok. Hodnota indikátoru se získá součtem celkových ročních emisí PM10 a prekurzorů sekundárních částic v tunách násobených jejich faktorem potenciálu tvorby částic.</w:t>
      </w:r>
    </w:p>
  </w:footnote>
  <w:footnote w:id="69">
    <w:p w14:paraId="1CF0EB17" w14:textId="77777777" w:rsidR="00E46245" w:rsidRPr="00DD47DF" w:rsidRDefault="00E46245" w:rsidP="0038435E">
      <w:pPr>
        <w:pStyle w:val="Textpoznpodarou"/>
      </w:pPr>
      <w:r w:rsidRPr="00DD47DF">
        <w:rPr>
          <w:rStyle w:val="Znakapoznpodarou"/>
        </w:rPr>
        <w:footnoteRef/>
      </w:r>
      <w:r w:rsidRPr="00DD47DF">
        <w:t xml:space="preserve"> Dle zákona č. 76/2002 Sb., o integrované prevenci a omezování znečištění, jsou nejlepší dostupné techniky (BAT – Best Available Techniques) definované jako nejúčinnější a nejpokročilejší stadium vývoje technologií a činností a způsobů jejich provozování, které ukazují praktickou vhodnost určitých technik navržených k předcházení, a pokud to není možné, tak k omezování emisí a jejich dopadů na životní prostředí.</w:t>
      </w:r>
    </w:p>
    <w:p w14:paraId="6177953D" w14:textId="77777777" w:rsidR="00E46245" w:rsidRPr="00DD47DF" w:rsidRDefault="00E46245" w:rsidP="0038435E">
      <w:pPr>
        <w:pStyle w:val="Textpoznpodarou"/>
      </w:pPr>
      <w:r w:rsidRPr="00DD47DF">
        <w:t>Jedná se o takové techniky, které zajišťují nejvyšší možnou ochranu životního prostředí a jsou přitom reálně dostupné, tzn. umožňují jejich zavedení v aktuálních technicko - ekonomických podmínkách.</w:t>
      </w:r>
    </w:p>
  </w:footnote>
  <w:footnote w:id="70">
    <w:p w14:paraId="6720D82A" w14:textId="25F42337" w:rsidR="00E46245" w:rsidRPr="00DD47DF" w:rsidRDefault="00E46245" w:rsidP="00DE2376">
      <w:pPr>
        <w:pStyle w:val="Poznmkapodarou"/>
      </w:pPr>
      <w:r w:rsidRPr="00DD47DF">
        <w:rPr>
          <w:rStyle w:val="Znakapoznpodarou"/>
        </w:rPr>
        <w:footnoteRef/>
      </w:r>
      <w:r w:rsidRPr="00DD47DF">
        <w:t xml:space="preserve"> </w:t>
      </w:r>
      <w:r w:rsidR="008665CA" w:rsidRPr="008665CA">
        <w:rPr>
          <w:lang w:eastAsia="cs-CZ"/>
        </w:rPr>
        <w:t>Relevantní aktivity velkých podniků budou načítány do odpovídajících kódů intervencí, kde je to aplikovatelné (SC3.2: kód 070, SC3.4: kód 003). Pro velké podniky v rámci SC3.1 a SC3.2 (kódy 009, 010, 011 a 012) připadá pouze 67 703 835 EUR, zbylá alokace je jen pro MSP. Tyto hodnoty spadají do podmínky účasti velkých podniků v OP PIK uvedené v kapitole 1.1.</w:t>
      </w:r>
    </w:p>
  </w:footnote>
  <w:footnote w:id="71">
    <w:p w14:paraId="55D572F2" w14:textId="77777777" w:rsidR="00E46245" w:rsidRPr="00DD47DF" w:rsidRDefault="00E46245" w:rsidP="00843336">
      <w:pPr>
        <w:pStyle w:val="Textpoznpodarou"/>
        <w:spacing w:after="60"/>
      </w:pPr>
      <w:r w:rsidRPr="00DD47DF">
        <w:rPr>
          <w:rStyle w:val="Znakapoznpodarou"/>
        </w:rPr>
        <w:footnoteRef/>
      </w:r>
      <w:r w:rsidRPr="00DD47DF">
        <w:t xml:space="preserve"> V některých specifických případech lze zvážit řešení založené na družicové telekomunikaci.</w:t>
      </w:r>
    </w:p>
  </w:footnote>
  <w:footnote w:id="72">
    <w:p w14:paraId="78A79BE8" w14:textId="77777777" w:rsidR="00E46245" w:rsidRPr="00DD47DF" w:rsidRDefault="00E46245" w:rsidP="00DC56C8">
      <w:pPr>
        <w:pStyle w:val="Poznmkapodarou"/>
      </w:pPr>
      <w:r w:rsidRPr="00DD47DF">
        <w:rPr>
          <w:rStyle w:val="Znakapoznpodarou"/>
        </w:rPr>
        <w:footnoteRef/>
      </w:r>
      <w:r w:rsidRPr="00DD47DF">
        <w:t xml:space="preserve"> Každým rozšířením vysokorychlostního připojení o dalších 10 % dojde k ročnímu nárůstu HDP per capita o 0,9 až 1,5 % (Czernich et al.: Cesifo Working Paper No. 2861, Ifo Institute for Economic Research, 2009).</w:t>
      </w:r>
    </w:p>
  </w:footnote>
  <w:footnote w:id="73">
    <w:p w14:paraId="511505FF" w14:textId="77777777" w:rsidR="00E46245" w:rsidRPr="00DD47DF" w:rsidRDefault="00E46245" w:rsidP="00DC56C8">
      <w:pPr>
        <w:pStyle w:val="Poznmkapodarou"/>
      </w:pPr>
      <w:r w:rsidRPr="00DD47DF">
        <w:rPr>
          <w:rStyle w:val="Znakapoznpodarou"/>
        </w:rPr>
        <w:footnoteRef/>
      </w:r>
      <w:r w:rsidRPr="00DD47DF">
        <w:t xml:space="preserve"> Na každé 1 ztracené pracovní místo vznikne díky vysokorychlostnímu připojení 2,6 nových pracovních míst (McKinsey, 2011, SME survey).</w:t>
      </w:r>
    </w:p>
  </w:footnote>
  <w:footnote w:id="74">
    <w:p w14:paraId="2E93E513" w14:textId="77777777" w:rsidR="00E46245" w:rsidRPr="00DD47DF" w:rsidRDefault="00E46245" w:rsidP="004F2EB2">
      <w:pPr>
        <w:pStyle w:val="Poznmkapodarou"/>
      </w:pPr>
      <w:r w:rsidRPr="00DD47DF">
        <w:rPr>
          <w:rStyle w:val="Znakapoznpodarou"/>
        </w:rPr>
        <w:footnoteRef/>
      </w:r>
      <w:r w:rsidRPr="00DD47DF">
        <w:t xml:space="preserve"> Rozumí se, že případná podpora do tzv. šedých míst by podléhala notifikačnímu procesu u Evropské komise podle čl. 107 Smlouvy o fungování EU. ČR však hodlá primárně postupovat podle nařízení Komise (EU) č. 651/2014 ze dne 17. června 2014, kterým se v souladu s články 107 a 108 Smlouvy prohlašují určité kategorie podpory za slučitelné s vnitřním trhem. ČR plně vychází při zpracování této oblasti podpory z dokumentů EK např. „Guide to broadband investment“ nebo „The broadband State aid rules explained“.</w:t>
      </w:r>
    </w:p>
  </w:footnote>
  <w:footnote w:id="75">
    <w:p w14:paraId="7AC7D0C8" w14:textId="77777777" w:rsidR="00E46245" w:rsidRPr="00DD47DF" w:rsidRDefault="00E46245">
      <w:pPr>
        <w:pStyle w:val="Textpoznpodarou"/>
      </w:pPr>
      <w:r w:rsidRPr="00DD47DF">
        <w:rPr>
          <w:rStyle w:val="Znakapoznpodarou"/>
        </w:rPr>
        <w:footnoteRef/>
      </w:r>
      <w:r w:rsidRPr="00DD47DF">
        <w:t xml:space="preserve"> V elektronickém systému SFC2014 je uvedena střední hodnota intervalu, tj. 2,4.</w:t>
      </w:r>
    </w:p>
  </w:footnote>
  <w:footnote w:id="76">
    <w:p w14:paraId="5EA1826A" w14:textId="77777777" w:rsidR="00E46245" w:rsidRPr="00DD47DF" w:rsidRDefault="00E46245" w:rsidP="00DF1013">
      <w:pPr>
        <w:pStyle w:val="Textpoznpodarou"/>
      </w:pPr>
      <w:r w:rsidRPr="00DD47DF">
        <w:rPr>
          <w:rStyle w:val="Znakapoznpodarou"/>
        </w:rPr>
        <w:footnoteRef/>
      </w:r>
      <w:r w:rsidRPr="00DD47DF">
        <w:t xml:space="preserve"> Tato hodnota může být dále upravena na základě vyhodnocení veřejné konzultace k výsledkům průzkumu penetrace infrastruktury pro poskytování služeb vysokorychlostního přístupu k internetu, který v těchto dnech provádí ČTÚ.</w:t>
      </w:r>
    </w:p>
  </w:footnote>
  <w:footnote w:id="77">
    <w:p w14:paraId="7514FCCA" w14:textId="77777777" w:rsidR="00E46245" w:rsidRPr="00DD47DF" w:rsidRDefault="00E46245" w:rsidP="00DE2376">
      <w:pPr>
        <w:pStyle w:val="Poznmkapodarou"/>
        <w:rPr>
          <w:strike/>
        </w:rPr>
      </w:pPr>
      <w:r w:rsidRPr="00DD47DF">
        <w:rPr>
          <w:rStyle w:val="Znakapoznpodarou"/>
        </w:rPr>
        <w:footnoteRef/>
      </w:r>
      <w:r w:rsidRPr="00DD47DF">
        <w:t xml:space="preserve"> Relevantní aktivity velkých podniků budou načítány do odpovídajícího kódu intervencí (004). Tento kód spadá do podmínky účasti velkých podniků v OP PIK uvedené v kapitole 1.1.</w:t>
      </w:r>
    </w:p>
  </w:footnote>
  <w:footnote w:id="78">
    <w:p w14:paraId="4132BAE2" w14:textId="77777777" w:rsidR="00E46245" w:rsidRPr="00DD47DF" w:rsidRDefault="00E46245" w:rsidP="00BA7741">
      <w:pPr>
        <w:pStyle w:val="Textpoznpodarou"/>
      </w:pPr>
      <w:r w:rsidRPr="00DD47DF">
        <w:rPr>
          <w:rStyle w:val="Znakapoznpodarou"/>
        </w:rPr>
        <w:footnoteRef/>
      </w:r>
      <w:r w:rsidRPr="00DD47DF">
        <w:t xml:space="preserve"> Dostupné na http://www.strukturalni-fondy.cz/cs/Fondy-EU/2014-2020/Metodicke-pokyny/Metodika-rozvoje-lidskych-zdroju.</w:t>
      </w:r>
    </w:p>
  </w:footnote>
  <w:footnote w:id="79">
    <w:p w14:paraId="52384059" w14:textId="77777777" w:rsidR="00E46245" w:rsidRPr="00DD47DF" w:rsidRDefault="00E46245" w:rsidP="00157906">
      <w:pPr>
        <w:pStyle w:val="Poznmkapodarou"/>
      </w:pPr>
      <w:r w:rsidRPr="00DD47DF">
        <w:rPr>
          <w:rStyle w:val="Znakapoznpodarou"/>
        </w:rPr>
        <w:footnoteRef/>
      </w:r>
      <w:r w:rsidRPr="00DD47DF">
        <w:t xml:space="preserve"> Údaje vychází z Analýzy administrativní kapacity zpracované Řídícím orgánem OP PIK pro MMR NOK k datu 31. října 2014. Analýza byla vypracována na základě požadavků vyplývajících z usnesení vlády ČR č. 444/2014.</w:t>
      </w:r>
    </w:p>
  </w:footnote>
  <w:footnote w:id="80">
    <w:p w14:paraId="530984C7" w14:textId="77777777" w:rsidR="00E46245" w:rsidRPr="00DD47DF" w:rsidRDefault="00E46245" w:rsidP="002C1372">
      <w:pPr>
        <w:pStyle w:val="Poznmkapodarou"/>
      </w:pPr>
      <w:r w:rsidRPr="00DD47DF">
        <w:rPr>
          <w:rStyle w:val="Znakapoznpodarou"/>
        </w:rPr>
        <w:footnoteRef/>
      </w:r>
      <w:r w:rsidRPr="00DD47DF">
        <w:t xml:space="preserve"> Etický kodex členů MV OP PIK je v souladu s Nařízením Komise v přenesené pravomoci (EU) č. 240/2014 o evropském kodexu chování pro partnerskou spolupráci v rámci evropských strukturálních a investičních fondů.</w:t>
      </w:r>
    </w:p>
  </w:footnote>
  <w:footnote w:id="81">
    <w:p w14:paraId="2F379618" w14:textId="77777777" w:rsidR="00E46245" w:rsidRPr="00DD47DF" w:rsidRDefault="00E46245" w:rsidP="00CE6DD0">
      <w:pPr>
        <w:pStyle w:val="Poznmkapodarou"/>
      </w:pPr>
      <w:r w:rsidRPr="00DD47DF">
        <w:rPr>
          <w:rStyle w:val="Znakapoznpodarou"/>
        </w:rPr>
        <w:footnoteRef/>
      </w:r>
      <w:r w:rsidRPr="00DD47DF">
        <w:rPr>
          <w:vertAlign w:val="superscript"/>
        </w:rPr>
        <w:t xml:space="preserve"> </w:t>
      </w:r>
      <w:r w:rsidRPr="00DD47DF">
        <w:t>Celková alokace (podpora Unie) ponížená o výkonnostní rezervu.</w:t>
      </w:r>
    </w:p>
  </w:footnote>
  <w:footnote w:id="82">
    <w:p w14:paraId="0285DB5B" w14:textId="77777777" w:rsidR="00E46245" w:rsidRPr="00DD47DF" w:rsidRDefault="00E46245" w:rsidP="00720FC6">
      <w:pPr>
        <w:pStyle w:val="Poznmkapodarou"/>
      </w:pPr>
      <w:r w:rsidRPr="00DD47DF">
        <w:rPr>
          <w:rStyle w:val="Znakapoznpodarou"/>
        </w:rPr>
        <w:footnoteRef/>
      </w:r>
      <w:r w:rsidRPr="00DD47DF">
        <w:t xml:space="preserve"> Identifikovaná územní dimenze automaticky neznamená, že všechny projekty realizované v rámci daného specifického cíle budou moci být podpořeny výhradně pouze v daném typu území (s výjimkou specifického cíle 4.1).</w:t>
      </w:r>
    </w:p>
  </w:footnote>
  <w:footnote w:id="83">
    <w:p w14:paraId="643CF438" w14:textId="77777777" w:rsidR="00E46245" w:rsidRDefault="00E46245" w:rsidP="002C6857">
      <w:pPr>
        <w:pStyle w:val="Poznmkapodarou"/>
      </w:pPr>
      <w:r w:rsidRPr="009A2220">
        <w:rPr>
          <w:rStyle w:val="Znakapoznpodarou"/>
        </w:rPr>
        <w:footnoteRef/>
      </w:r>
      <w:r w:rsidRPr="009A2220">
        <w:t xml:space="preserve"> OP PIK předpokládá využití ITI pouze v metropolitních oblastech. </w:t>
      </w:r>
      <w:r w:rsidRPr="00DA313F">
        <w:t>Jádry metropolitních oblastí (území s koncentrací nad 300 tis. obyvatel) jsou největší města v České republice (Praha, Brno, Ostrava, Plzeň), včetně jejich funkčního zázemí. Z hlediska koncentrace obyvatelstva jsou určitou částí společných problémů k těmto centrům přiřazeny i oblasti Ústecko – Chomutovské, Olomoucké a Hradecko – Pardubické aglomerace.</w:t>
      </w:r>
    </w:p>
    <w:p w14:paraId="1171F119" w14:textId="77777777" w:rsidR="00E46245" w:rsidRPr="00B12F9F" w:rsidRDefault="00E46245" w:rsidP="002C6857">
      <w:pPr>
        <w:pStyle w:val="Poznmkapodarou"/>
      </w:pPr>
      <w:r w:rsidRPr="009A2220">
        <w:t>S využitím ITI nad rámec udržitelného rozvoje měst dle oddílu 4.2 (tabulky č. 20) se v OP PIK nepočítá. Z tohoto důvodu je tabulka č. 21 pro OP PIK nerelevantní.</w:t>
      </w:r>
    </w:p>
  </w:footnote>
  <w:footnote w:id="84">
    <w:p w14:paraId="5B3B1403" w14:textId="77777777" w:rsidR="00E46245" w:rsidRPr="009A2220" w:rsidRDefault="00E46245" w:rsidP="002C6857">
      <w:pPr>
        <w:pStyle w:val="Poznmkapodarou"/>
      </w:pPr>
      <w:r w:rsidRPr="009A2220">
        <w:rPr>
          <w:rStyle w:val="Znakapoznpodarou"/>
        </w:rPr>
        <w:footnoteRef/>
      </w:r>
      <w:r w:rsidRPr="009A2220">
        <w:t xml:space="preserve"> Nositelem integrovaného nástroje je odpovědný subjekt, zajišťující ve vymezeném území činnosti za účelem přípravy, schválení, realizace a vyhodnocování integrované strategie. Nositelem ITI bude u monocentrických aglomerací jádrové město, u polycentrických aglomerací bude nositel zvolen na základě dohody mezi partnery.</w:t>
      </w:r>
    </w:p>
  </w:footnote>
  <w:footnote w:id="85">
    <w:p w14:paraId="047B9F52" w14:textId="77777777" w:rsidR="00E46245" w:rsidRPr="00DD47DF" w:rsidRDefault="00E46245" w:rsidP="00EA28B0">
      <w:pPr>
        <w:pStyle w:val="Poznmkapodarou"/>
      </w:pPr>
      <w:r w:rsidRPr="00DD47DF">
        <w:rPr>
          <w:rStyle w:val="Znakapoznpodarou"/>
        </w:rPr>
        <w:footnoteRef/>
      </w:r>
      <w:r w:rsidRPr="00DD47DF">
        <w:t xml:space="preserve"> Hodnota průměrné míry nezaměstnanosti ČR je výrazně překročena také v Olomouckém a Karlovarském kraji.</w:t>
      </w:r>
    </w:p>
  </w:footnote>
  <w:footnote w:id="86">
    <w:p w14:paraId="159BB34E" w14:textId="77777777" w:rsidR="00E46245" w:rsidRPr="00DD47DF" w:rsidRDefault="00E46245" w:rsidP="00F05C0C">
      <w:pPr>
        <w:pStyle w:val="Poznmkapodarou"/>
      </w:pPr>
      <w:r w:rsidRPr="00DD47DF">
        <w:rPr>
          <w:rStyle w:val="Znakapoznpodarou"/>
        </w:rPr>
        <w:footnoteRef/>
      </w:r>
      <w:r w:rsidRPr="00DD47DF">
        <w:t xml:space="preserve"> Usnesením vlády ČR ze dne 28. listopadu 2012 č. 867 k přípravě programů spolufinancovaných z fondů Společného strategického rámce pro programové období let 2014 až 2020 v podmínkách ČR bylo Ministerstvo průmyslu a obchodu pověřeno řízením OP PIK.</w:t>
      </w:r>
    </w:p>
  </w:footnote>
  <w:footnote w:id="87">
    <w:p w14:paraId="113A78C0" w14:textId="77777777" w:rsidR="00E46245" w:rsidRDefault="00E46245">
      <w:pPr>
        <w:pStyle w:val="Textpoznpodarou"/>
      </w:pPr>
      <w:r>
        <w:rPr>
          <w:rStyle w:val="Znakapoznpodarou"/>
        </w:rPr>
        <w:footnoteRef/>
      </w:r>
      <w:r>
        <w:t xml:space="preserve"> Nositelé ITI v roli zprostředkujícího subjektu bez jejich financování z OP PIK.</w:t>
      </w:r>
    </w:p>
  </w:footnote>
  <w:footnote w:id="88">
    <w:p w14:paraId="0B37272F" w14:textId="77777777" w:rsidR="00E46245" w:rsidRPr="00DD47DF" w:rsidRDefault="00E46245" w:rsidP="00F05C0C">
      <w:pPr>
        <w:pStyle w:val="Poznmkapodarou"/>
      </w:pPr>
      <w:r w:rsidRPr="00DD47DF">
        <w:rPr>
          <w:rStyle w:val="Znakapoznpodarou"/>
        </w:rPr>
        <w:footnoteRef/>
      </w:r>
      <w:r w:rsidRPr="00DD47DF">
        <w:t xml:space="preserve"> Usnesením vlády ČR ze dne 12. června 2013 č. 448 k Pravidlům řízení a koordinace Dohody o partnerství v programovém období 2014 – 2020 bylo Ministerstvo financí pověřenou výkonem funkce platebního a certifikačního orgánu.</w:t>
      </w:r>
    </w:p>
  </w:footnote>
  <w:footnote w:id="89">
    <w:p w14:paraId="5DE6E9D9" w14:textId="77777777" w:rsidR="00E46245" w:rsidRPr="00DD47DF" w:rsidRDefault="00E46245" w:rsidP="00F05C0C">
      <w:pPr>
        <w:pStyle w:val="Poznmkapodarou"/>
      </w:pPr>
      <w:r w:rsidRPr="00DD47DF">
        <w:rPr>
          <w:rStyle w:val="Znakapoznpodarou"/>
        </w:rPr>
        <w:footnoteRef/>
      </w:r>
      <w:r w:rsidRPr="00DD47DF">
        <w:t xml:space="preserve"> Usnesením vlády ČR ze dne 12. června 2013 č. 448 k Pravidlům řízení a koordinace Dohody o partnerství v programovém období 2014 – 2020 bylo Ministerstvo financí pověřeno výkonem funkce auditního orgánu.</w:t>
      </w:r>
    </w:p>
  </w:footnote>
  <w:footnote w:id="90">
    <w:p w14:paraId="7EA61760" w14:textId="77777777" w:rsidR="00E46245" w:rsidRPr="00DD47DF" w:rsidRDefault="00E46245" w:rsidP="00F05C0C">
      <w:pPr>
        <w:pStyle w:val="Poznmkapodarou"/>
      </w:pPr>
      <w:r w:rsidRPr="00DD47DF">
        <w:rPr>
          <w:rStyle w:val="Znakapoznpodarou"/>
        </w:rPr>
        <w:footnoteRef/>
      </w:r>
      <w:r w:rsidRPr="00DD47DF">
        <w:t xml:space="preserve"> Usnesením vlády ČR ze dne 12. června 2013 č. 448 k Pravidlům řízení a koordinace Dohody o partnerství v programovém období 2014 – 2020 bylo Ministerstvo financí pověřeno výkonem funkce platebního a certifikačního orgánu.</w:t>
      </w:r>
    </w:p>
  </w:footnote>
  <w:footnote w:id="91">
    <w:p w14:paraId="44DBAD25" w14:textId="77777777" w:rsidR="00E46245" w:rsidRPr="00DD47DF" w:rsidRDefault="00E46245" w:rsidP="002D7AD5">
      <w:pPr>
        <w:pStyle w:val="Poznmkapodarou"/>
      </w:pPr>
      <w:r w:rsidRPr="00DD47DF">
        <w:rPr>
          <w:rStyle w:val="Znakapoznpodarou"/>
        </w:rPr>
        <w:footnoteRef/>
      </w:r>
      <w:r w:rsidRPr="00DD47DF">
        <w:t xml:space="preserve"> Enterprise Europe Network působí v téměř padesáti zemích světa. V České republice je zastoupena konsorciem jedenácti partnerů koordinovaném Technologickým centrem AV ČR a je financována Evropskou unií z Rámcového programu EU pro konkurenceschopnost a inovace a Ministerstvem průmyslu a obchodu.</w:t>
      </w:r>
    </w:p>
  </w:footnote>
  <w:footnote w:id="92">
    <w:p w14:paraId="3A8E343E" w14:textId="77777777" w:rsidR="00E46245" w:rsidRPr="00DD47DF" w:rsidRDefault="00E46245" w:rsidP="005021A2">
      <w:pPr>
        <w:pStyle w:val="Poznmkapodarou"/>
      </w:pPr>
      <w:r w:rsidRPr="00DD47DF">
        <w:rPr>
          <w:rStyle w:val="Znakapoznpodarou"/>
        </w:rPr>
        <w:footnoteRef/>
      </w:r>
      <w:r w:rsidRPr="00DD47DF">
        <w:t xml:space="preserve"> Draft Guidance on Ex Ante Conditionalities for the European Structural and Investment Funds (ESI), 13 February 2014.</w:t>
      </w:r>
    </w:p>
  </w:footnote>
  <w:footnote w:id="93">
    <w:p w14:paraId="7C76F328" w14:textId="77777777" w:rsidR="00E46245" w:rsidRPr="00DD47DF" w:rsidRDefault="00E46245" w:rsidP="005021A2">
      <w:pPr>
        <w:pStyle w:val="Poznmkapodarou"/>
      </w:pPr>
      <w:r w:rsidRPr="00DD47DF">
        <w:rPr>
          <w:rStyle w:val="Znakapoznpodarou"/>
        </w:rPr>
        <w:footnoteRef/>
      </w:r>
      <w:r w:rsidRPr="00DD47DF">
        <w:t xml:space="preserve"> Směrnice EP a Rady 2009/28/ES o podpoře využívání energie z obnovitelných zdrojů energie, Směrnice EP  a Rady </w:t>
      </w:r>
      <w:r w:rsidRPr="00DD47DF">
        <w:rPr>
          <w:bCs/>
        </w:rPr>
        <w:t>2010/31/EU</w:t>
      </w:r>
      <w:r w:rsidRPr="00DD47DF">
        <w:t xml:space="preserve"> o energetické náročnosti budov, Směrnice EP a Rady </w:t>
      </w:r>
      <w:r w:rsidRPr="00DD47DF">
        <w:rPr>
          <w:bCs/>
        </w:rPr>
        <w:t>2006/32/ES</w:t>
      </w:r>
      <w:r w:rsidRPr="00DD47DF">
        <w:t xml:space="preserve"> o energetické účinnosti u konečného uživatele a o energetických službách, Směrnice EP a Rady 2012/27/EU o energetické účinnosti. </w:t>
      </w:r>
    </w:p>
  </w:footnote>
  <w:footnote w:id="94">
    <w:p w14:paraId="7A5B2E0E" w14:textId="77777777" w:rsidR="00E46245" w:rsidRPr="00DD47DF" w:rsidRDefault="00E46245" w:rsidP="00790A0D">
      <w:pPr>
        <w:pStyle w:val="Poznmkapodarou"/>
        <w:rPr>
          <w:rFonts w:ascii="Calibri" w:hAnsi="Calibri"/>
          <w:b/>
          <w:sz w:val="24"/>
          <w:szCs w:val="24"/>
        </w:rPr>
      </w:pPr>
      <w:r w:rsidRPr="00DD47DF">
        <w:rPr>
          <w:rStyle w:val="Znakapoznpodarou"/>
        </w:rPr>
        <w:footnoteRef/>
      </w:r>
      <w:r w:rsidRPr="00DD47DF">
        <w:t xml:space="preserve"> S ohledem na limit počtu znaků daný prováděcím nařízením Komise (EU) č. 288/2014 ze dne 25. února 2014 je vysvětlení k vybraným kritériím obsaženo také v Příloze č. II. Na základě požadavku EK dle připomínky k OP PIK (č. 143) je plné znění naplňování obecných předběžných podmínek v rámci Dohody o partnerství na národní úrovni součástí Přílohy II.</w:t>
      </w:r>
    </w:p>
  </w:footnote>
  <w:footnote w:id="95">
    <w:p w14:paraId="1702B7EA" w14:textId="77777777" w:rsidR="00E46245" w:rsidRPr="00DD47DF" w:rsidRDefault="00E46245" w:rsidP="00790A0D">
      <w:pPr>
        <w:pStyle w:val="Poznmkapodarou"/>
      </w:pPr>
      <w:r w:rsidRPr="00DD47DF">
        <w:rPr>
          <w:rStyle w:val="Znakapoznpodarou"/>
        </w:rPr>
        <w:footnoteRef/>
      </w:r>
      <w:r w:rsidRPr="00DD47DF">
        <w:t xml:space="preserve"> Rozhodnutí Rady 2009/26/ES ze dne 26. listopadu 2009 o uzavření Úmluvy Organizace spojených národů o právech osob se zdravotním postižením Evropským společenstvím, Úř. věst. L 23, 27.1.2010, s. 35. </w:t>
      </w:r>
    </w:p>
    <w:p w14:paraId="5E5643FA" w14:textId="77777777" w:rsidR="00E46245" w:rsidRPr="00DD47DF" w:rsidRDefault="00E46245" w:rsidP="00790A0D">
      <w:pPr>
        <w:pStyle w:val="Textpoznpodarou"/>
      </w:pPr>
    </w:p>
  </w:footnote>
  <w:footnote w:id="96">
    <w:p w14:paraId="2E7AC1F6" w14:textId="77777777" w:rsidR="00E46245" w:rsidRPr="00DD47DF" w:rsidRDefault="00E46245" w:rsidP="00790A0D">
      <w:pPr>
        <w:pStyle w:val="Poznmkapodarou"/>
      </w:pPr>
      <w:r w:rsidRPr="00DD47DF">
        <w:rPr>
          <w:rStyle w:val="Znakapoznpodarou"/>
        </w:rPr>
        <w:footnoteRef/>
      </w:r>
      <w:r w:rsidRPr="00DD47DF">
        <w:t xml:space="preserve"> Směrnice Evropského parlamentu a Rady 2011/92/EU ze dne 13. prosince 2011 o posuzování vlivů některých veřejných a soukromých záměrů na životní prostředí (Úř. věst. L 26, 28.1.2012, s. 1).</w:t>
      </w:r>
    </w:p>
  </w:footnote>
  <w:footnote w:id="97">
    <w:p w14:paraId="366FC2AD" w14:textId="77777777" w:rsidR="00E46245" w:rsidRPr="00DD47DF" w:rsidRDefault="00E46245" w:rsidP="00790A0D">
      <w:pPr>
        <w:pStyle w:val="Poznmkapodarou"/>
      </w:pPr>
      <w:r w:rsidRPr="00DD47DF">
        <w:rPr>
          <w:rStyle w:val="Znakapoznpodarou"/>
        </w:rPr>
        <w:footnoteRef/>
      </w:r>
      <w:r w:rsidRPr="00DD47DF">
        <w:t xml:space="preserve"> Směrnice Evropského parlamentu a Rady 2001/42/ES ze dne 27. června 2001 o posuzování vlivů některých plánů a programů na životní prostředí (Úř. věst. L 197, 21.7.2001, s. 30).</w:t>
      </w:r>
    </w:p>
    <w:p w14:paraId="788C252F" w14:textId="77777777" w:rsidR="00E46245" w:rsidRPr="00DD47DF" w:rsidRDefault="00E46245" w:rsidP="00790A0D">
      <w:pPr>
        <w:pStyle w:val="Textpoznpodarou"/>
      </w:pPr>
    </w:p>
  </w:footnote>
  <w:footnote w:id="98">
    <w:p w14:paraId="337B8113" w14:textId="77777777" w:rsidR="00E46245" w:rsidRPr="00DD47DF" w:rsidRDefault="00E46245" w:rsidP="00790A0D">
      <w:pPr>
        <w:pStyle w:val="Poznmkapodarou"/>
      </w:pPr>
      <w:r w:rsidRPr="00DD47DF">
        <w:rPr>
          <w:rStyle w:val="Znakapoznpodarou"/>
        </w:rPr>
        <w:footnoteRef/>
      </w:r>
      <w:r w:rsidRPr="00DD47DF">
        <w:t xml:space="preserve"> Směrnice Evropského parlamentu a Rady 2010/31/EU ze dne 19. května 2010 o energetické náročnosti budov (Úř. věst. L 153, 18.6.2010, s. 13).</w:t>
      </w:r>
    </w:p>
  </w:footnote>
  <w:footnote w:id="99">
    <w:p w14:paraId="24137944" w14:textId="77777777" w:rsidR="00E46245" w:rsidRPr="00DD47DF" w:rsidRDefault="00E46245" w:rsidP="00790A0D">
      <w:pPr>
        <w:pStyle w:val="Poznmkapodarou"/>
      </w:pPr>
      <w:r w:rsidRPr="00DD47DF">
        <w:rPr>
          <w:rStyle w:val="Znakapoznpodarou"/>
        </w:rPr>
        <w:footnoteRef/>
      </w:r>
      <w:r w:rsidRPr="00DD47DF">
        <w:t xml:space="preserve"> Směrnice Evropského parlamentu a Rady 2012/27/EU ze dne 25. října 2012 o energetické účinnosti, o změně směrnic 2009/125/ES a 2010/30/EU a o zrušení směrnic 2004/8/ES a 2006/32/ES (Úř. věst. L 315, 14.11.2012, s. 1). </w:t>
      </w:r>
    </w:p>
  </w:footnote>
  <w:footnote w:id="100">
    <w:p w14:paraId="1A1FE47F" w14:textId="77777777" w:rsidR="00E46245" w:rsidRPr="00DD47DF" w:rsidRDefault="00E46245" w:rsidP="00790A0D">
      <w:pPr>
        <w:pStyle w:val="Poznmkapodarou"/>
      </w:pPr>
      <w:r w:rsidRPr="00DD47DF">
        <w:rPr>
          <w:rStyle w:val="Znakapoznpodarou"/>
        </w:rPr>
        <w:footnoteRef/>
      </w:r>
      <w:r w:rsidRPr="00DD47DF">
        <w:t xml:space="preserve"> Směrnice Evropského parlamentu a Rady 2006/32/ES ze dne 5. dubna 2006 o energetické účinnosti u konečného uživatele a o energetických službách a o zrušení směrnice Rady 93/76/EHS (Úř. věst. L 114, 27.4.2006, s. 64). </w:t>
      </w:r>
    </w:p>
  </w:footnote>
  <w:footnote w:id="101">
    <w:p w14:paraId="548D97DB" w14:textId="77777777" w:rsidR="00E46245" w:rsidRPr="00DD47DF" w:rsidRDefault="00E46245" w:rsidP="00790A0D">
      <w:pPr>
        <w:pStyle w:val="Poznmkapodarou"/>
      </w:pPr>
      <w:r w:rsidRPr="00DD47DF">
        <w:rPr>
          <w:rStyle w:val="Znakapoznpodarou"/>
        </w:rPr>
        <w:footnoteRef/>
      </w:r>
      <w:r w:rsidRPr="00DD47DF">
        <w:t xml:space="preserve"> Směrnice Evropského parlamentu a Rady 2009/28/ES ze dne 23. dubna 2009 o podpoře využívání energie z obnovitelných zdrojů a o změně a následném zrušení směrnic 2001/77/ES a 2003/30/ES (Úř. věst. L 140, 5.6.2009, s. 16).</w:t>
      </w:r>
    </w:p>
  </w:footnote>
  <w:footnote w:id="102">
    <w:p w14:paraId="57077D7B" w14:textId="77777777" w:rsidR="00E46245" w:rsidRPr="00DD47DF" w:rsidRDefault="00E46245" w:rsidP="00790A0D">
      <w:pPr>
        <w:pStyle w:val="Poznmkapodarou"/>
      </w:pPr>
      <w:r w:rsidRPr="00DD47DF">
        <w:rPr>
          <w:rStyle w:val="Znakapoznpodarou"/>
        </w:rPr>
        <w:footnoteRef/>
      </w:r>
      <w:r w:rsidRPr="00DD47DF">
        <w:t xml:space="preserve"> Nařízení Evropského parlamentu a Rady (ES) č. 714/2009 ze dne 13. července 2009 o podmínkách přístupu do sítě pro přeshraniční obchod s elektřinou a o zrušení nařízení (ES) č. 1228/2003 (Úř. věst. L 211, 14.8.2009, s. 15).</w:t>
      </w:r>
    </w:p>
  </w:footnote>
  <w:footnote w:id="103">
    <w:p w14:paraId="5565B81E" w14:textId="77777777" w:rsidR="00E46245" w:rsidRPr="00DD47DF" w:rsidRDefault="00E46245" w:rsidP="00790A0D">
      <w:pPr>
        <w:pStyle w:val="Poznmkapodarou"/>
      </w:pPr>
      <w:r w:rsidRPr="00DD47DF">
        <w:rPr>
          <w:rStyle w:val="Znakapoznpodarou"/>
        </w:rPr>
        <w:footnoteRef/>
      </w:r>
      <w:r w:rsidRPr="00DD47DF">
        <w:t xml:space="preserve"> Nařízení Evropského parlamentu a Rady (ES) Č. 715/2009 ze dne 13. července 2009 o podmínkách přístupu k plynárenským přepravním soustavám a o zrušení nařízení (ES) č. 1775/2005 (Úř. věst. L 211, 14.8.2009, s. 36). </w:t>
      </w:r>
    </w:p>
  </w:footnote>
  <w:footnote w:id="104">
    <w:p w14:paraId="3A5527F9" w14:textId="77777777" w:rsidR="00E46245" w:rsidRPr="00DD47DF" w:rsidRDefault="00E46245" w:rsidP="00790A0D">
      <w:pPr>
        <w:pStyle w:val="Poznmkapodarou"/>
      </w:pPr>
      <w:r w:rsidRPr="00DD47DF">
        <w:rPr>
          <w:rStyle w:val="Znakapoznpodarou"/>
        </w:rPr>
        <w:footnoteRef/>
      </w:r>
      <w:r w:rsidRPr="00DD47DF">
        <w:t xml:space="preserve"> Nařízení Evropského parlamentu a Rady (EU) č. 347/2013 ze dne 17. dubna 2013, kterým se stanoví hlavní směry pro transevropské energetické sítě a kterým se zrušuje rozhodnutí č. 1364/2006/ES a mění nařízení (ES) č. 713/2009, (ES) č. 714/2009 a (ES) č. 715/2009 (Úř. věst. L 115, 25.4.2013, s. 39).</w:t>
      </w:r>
    </w:p>
  </w:footnote>
  <w:footnote w:id="105">
    <w:p w14:paraId="6FEB4376" w14:textId="77777777" w:rsidR="00E46245" w:rsidRPr="00DD47DF" w:rsidRDefault="00E46245" w:rsidP="00790A0D">
      <w:pPr>
        <w:pStyle w:val="Poznmkapodarou"/>
      </w:pPr>
      <w:r w:rsidRPr="00DD47DF">
        <w:rPr>
          <w:rStyle w:val="Znakapoznpodarou"/>
        </w:rPr>
        <w:footnoteRef/>
      </w:r>
      <w:r w:rsidRPr="00DD47DF">
        <w:t xml:space="preserve"> S ohledem na limit počtu znaků daný prováděcím nařízením Komise (EU) č. 288/2014 ze dne 25. února 2014 je vysvětlení k vybraným kritériím obsaženo také v Příloze č. II.</w:t>
      </w:r>
    </w:p>
  </w:footnote>
  <w:footnote w:id="106">
    <w:p w14:paraId="2F87F510" w14:textId="77777777" w:rsidR="00E46245" w:rsidRPr="00DD47DF" w:rsidRDefault="00E46245" w:rsidP="006D2F5F">
      <w:pPr>
        <w:pStyle w:val="Poznmkapodarou"/>
      </w:pPr>
      <w:r w:rsidRPr="00DD47DF">
        <w:rPr>
          <w:rStyle w:val="Znakapoznpodarou"/>
        </w:rPr>
        <w:footnoteRef/>
      </w:r>
      <w:r w:rsidRPr="00DD47DF">
        <w:t xml:space="preserve"> S ohledem na limit počtu znaků daný prováděcím nařízením Komise (EU) č. 288/2014 ze dne 25. února 2014 je vysvětlení k vybraným kritériím obsaženo také v Příloze č. II.</w:t>
      </w:r>
    </w:p>
  </w:footnote>
  <w:footnote w:id="107">
    <w:p w14:paraId="0DD12F92" w14:textId="77777777" w:rsidR="00E46245" w:rsidRPr="00DD47DF" w:rsidRDefault="00E46245" w:rsidP="006D2F5F">
      <w:pPr>
        <w:pStyle w:val="Poznmkapodarou"/>
      </w:pPr>
      <w:r w:rsidRPr="00DD47DF">
        <w:rPr>
          <w:rStyle w:val="Znakapoznpodarou"/>
        </w:rPr>
        <w:footnoteRef/>
      </w:r>
      <w:r w:rsidRPr="00DD47DF">
        <w:t xml:space="preserve"> Směrnice Evropského parlamentu a Rady 2012/27/EU ze dne 25. října 2012 o energetické účinnosti, o změně směrnic 2009/125/ES a 2010/30/EU a o zrušení směrnic 2004/8/ES a 2006/32/ES (Úř. věst. L 315, 14.11.2012, s. 1). </w:t>
      </w:r>
    </w:p>
  </w:footnote>
  <w:footnote w:id="108">
    <w:p w14:paraId="2D1AB5D4" w14:textId="77777777" w:rsidR="00E46245" w:rsidRPr="00DD47DF" w:rsidRDefault="00E46245" w:rsidP="00223D40">
      <w:pPr>
        <w:pStyle w:val="Poznmkapodarou"/>
      </w:pPr>
      <w:r w:rsidRPr="00DD47DF">
        <w:rPr>
          <w:rStyle w:val="Znakapoznpodarou"/>
        </w:rPr>
        <w:footnoteRef/>
      </w:r>
      <w:r w:rsidRPr="00DD47DF">
        <w:t xml:space="preserve"> Vyhodnocení internetové aplikace eAccount pro komunikaci s žadateli a příjemci Operačního programu Podnikání a inovace 2007 – 2013 (zpracovatel Ipsos Tambor, s. r. o., Praha, 2009).</w:t>
      </w:r>
    </w:p>
  </w:footnote>
  <w:footnote w:id="109">
    <w:p w14:paraId="74BE4BEC" w14:textId="77777777" w:rsidR="00E46245" w:rsidRPr="00DD47DF" w:rsidRDefault="00E46245" w:rsidP="00223D40">
      <w:pPr>
        <w:pStyle w:val="Poznmkapodarou"/>
      </w:pPr>
      <w:r w:rsidRPr="00DD47DF">
        <w:rPr>
          <w:rStyle w:val="Znakapoznpodarou"/>
        </w:rPr>
        <w:footnoteRef/>
      </w:r>
      <w:r w:rsidRPr="00DD47DF">
        <w:t xml:space="preserve"> Například evaluační studie Analýza efektivnosti čerpání, kvality řízení a procesních postupů Operačního programu Podnikání a inovace, včetně návrhu souboru opatření (zpracovatel eNovation s.r.o, Praha, 2011).</w:t>
      </w:r>
    </w:p>
  </w:footnote>
  <w:footnote w:id="110">
    <w:p w14:paraId="437388A2" w14:textId="77777777" w:rsidR="00E46245" w:rsidRPr="00DD47DF" w:rsidRDefault="00E46245" w:rsidP="00223D40">
      <w:pPr>
        <w:pStyle w:val="Poznmkapodarou"/>
      </w:pPr>
      <w:r w:rsidRPr="00DD47DF">
        <w:rPr>
          <w:rStyle w:val="Znakapoznpodarou"/>
        </w:rPr>
        <w:footnoteRef/>
      </w:r>
      <w:r w:rsidRPr="00DD47DF">
        <w:t xml:space="preserve"> Evaluace procesů souvisejících s administrací žádostí o platbu včetně návrhu opatření směřujících ke zvyšování jejich efektivnosti (zpracovatel Deloitte, realizace 2013-2014).</w:t>
      </w:r>
    </w:p>
  </w:footnote>
  <w:footnote w:id="111">
    <w:p w14:paraId="424D77E8" w14:textId="77777777" w:rsidR="00E46245" w:rsidRDefault="00E46245" w:rsidP="00223D40">
      <w:pPr>
        <w:pStyle w:val="Textpoznpodarou"/>
      </w:pPr>
      <w:r w:rsidRPr="00DD47DF">
        <w:rPr>
          <w:rStyle w:val="Znakapoznpodarou"/>
        </w:rPr>
        <w:footnoteRef/>
      </w:r>
      <w:r w:rsidRPr="00DD47DF">
        <w:t xml:space="preserve"> Se snižováním administrativní zátěže podnikatelů souvisí rovněž požadavky monitoringu a to zejména v oblasti indikátorů. Více Nepovinná příloha č. 3: Pojetí indikátorů v OP PIK.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6C079" w14:textId="77777777" w:rsidR="00E46245" w:rsidRDefault="00E46245" w:rsidP="0022503D">
    <w:pPr>
      <w:pStyle w:val="Zhlav"/>
    </w:pPr>
  </w:p>
  <w:p w14:paraId="52B2D353" w14:textId="77777777" w:rsidR="00E46245" w:rsidRDefault="00E46245" w:rsidP="0022503D">
    <w:pPr>
      <w:pStyle w:val="Zhlav"/>
    </w:pPr>
    <w:r>
      <w:rPr>
        <w:noProof/>
      </w:rPr>
      <w:drawing>
        <wp:anchor distT="0" distB="0" distL="114300" distR="114300" simplePos="0" relativeHeight="251602432" behindDoc="0" locked="0" layoutInCell="1" allowOverlap="1" wp14:anchorId="4552EE3D" wp14:editId="66932459">
          <wp:simplePos x="0" y="0"/>
          <wp:positionH relativeFrom="column">
            <wp:posOffset>4554855</wp:posOffset>
          </wp:positionH>
          <wp:positionV relativeFrom="paragraph">
            <wp:posOffset>18415</wp:posOffset>
          </wp:positionV>
          <wp:extent cx="1301115" cy="445770"/>
          <wp:effectExtent l="0" t="0" r="0" b="0"/>
          <wp:wrapNone/>
          <wp:docPr id="71"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3161EA40" w14:textId="77777777" w:rsidR="00E46245" w:rsidRDefault="00E46245" w:rsidP="009B666C">
    <w:pPr>
      <w:pStyle w:val="Zhlav"/>
    </w:pPr>
    <w:r>
      <w:rPr>
        <w:noProof/>
      </w:rPr>
      <w:drawing>
        <wp:anchor distT="0" distB="0" distL="114300" distR="114300" simplePos="0" relativeHeight="251604480" behindDoc="1" locked="0" layoutInCell="1" allowOverlap="1" wp14:anchorId="6F9F5506" wp14:editId="35E64A04">
          <wp:simplePos x="0" y="0"/>
          <wp:positionH relativeFrom="column">
            <wp:posOffset>-37465</wp:posOffset>
          </wp:positionH>
          <wp:positionV relativeFrom="paragraph">
            <wp:posOffset>-309880</wp:posOffset>
          </wp:positionV>
          <wp:extent cx="1383030" cy="739775"/>
          <wp:effectExtent l="0" t="0" r="7620" b="0"/>
          <wp:wrapNone/>
          <wp:docPr id="70"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14645D96" w14:textId="77777777" w:rsidR="00E46245" w:rsidRDefault="00E46245" w:rsidP="0022503D">
    <w:pPr>
      <w:pStyle w:val="Zhlav"/>
    </w:pPr>
  </w:p>
  <w:p w14:paraId="69671024" w14:textId="77777777" w:rsidR="00E46245" w:rsidRDefault="00AF6FE3" w:rsidP="0022503D">
    <w:pPr>
      <w:pStyle w:val="Zhlav"/>
    </w:pPr>
    <w:r>
      <w:rPr>
        <w:noProof/>
      </w:rPr>
      <w:pict w14:anchorId="2CFF10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49.2pt;margin-top:298.85pt;width:541pt;height:98.35pt;rotation:315;z-index:-251627008;mso-position-horizontal-relative:margin;mso-position-vertical-relative:margin" o:allowincell="f" fillcolor="silver" stroked="f">
          <v:fill opacity=".5"/>
          <v:textpath style="font-family:&quot;Times New Roman&quot;;font-size:1pt" string="DRAFT MPO"/>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B150C" w14:textId="77777777" w:rsidR="00E46245" w:rsidRDefault="00E46245" w:rsidP="0022503D">
    <w:pPr>
      <w:pStyle w:val="Zhlav"/>
    </w:pPr>
  </w:p>
  <w:p w14:paraId="72A323E8" w14:textId="77777777" w:rsidR="00E46245" w:rsidRDefault="00E46245" w:rsidP="0022503D">
    <w:pPr>
      <w:pStyle w:val="Zhlav"/>
    </w:pPr>
    <w:r>
      <w:rPr>
        <w:noProof/>
      </w:rPr>
      <w:drawing>
        <wp:anchor distT="0" distB="0" distL="114300" distR="114300" simplePos="0" relativeHeight="251688448" behindDoc="0" locked="0" layoutInCell="1" allowOverlap="1" wp14:anchorId="46D6CE54" wp14:editId="26752852">
          <wp:simplePos x="0" y="0"/>
          <wp:positionH relativeFrom="column">
            <wp:posOffset>7723505</wp:posOffset>
          </wp:positionH>
          <wp:positionV relativeFrom="paragraph">
            <wp:posOffset>18415</wp:posOffset>
          </wp:positionV>
          <wp:extent cx="1301115" cy="445770"/>
          <wp:effectExtent l="0" t="0" r="0" b="0"/>
          <wp:wrapNone/>
          <wp:docPr id="44"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77A55E1C" w14:textId="77777777" w:rsidR="00E46245" w:rsidRDefault="00E46245" w:rsidP="009B666C">
    <w:pPr>
      <w:pStyle w:val="Zhlav"/>
    </w:pPr>
    <w:r>
      <w:rPr>
        <w:noProof/>
      </w:rPr>
      <w:drawing>
        <wp:anchor distT="0" distB="0" distL="114300" distR="114300" simplePos="0" relativeHeight="251690496" behindDoc="1" locked="0" layoutInCell="1" allowOverlap="1" wp14:anchorId="1EA4FA87" wp14:editId="7798A661">
          <wp:simplePos x="0" y="0"/>
          <wp:positionH relativeFrom="column">
            <wp:posOffset>-37465</wp:posOffset>
          </wp:positionH>
          <wp:positionV relativeFrom="paragraph">
            <wp:posOffset>-309880</wp:posOffset>
          </wp:positionV>
          <wp:extent cx="1383030" cy="739775"/>
          <wp:effectExtent l="0" t="0" r="7620" b="0"/>
          <wp:wrapNone/>
          <wp:docPr id="45"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1E18487E" w14:textId="77777777" w:rsidR="00E46245" w:rsidRDefault="00E46245" w:rsidP="0022503D">
    <w:pPr>
      <w:pStyle w:val="Zhlav"/>
    </w:pPr>
  </w:p>
  <w:p w14:paraId="24A1C80A" w14:textId="77777777" w:rsidR="00E46245" w:rsidRDefault="00E46245" w:rsidP="0022503D">
    <w:pPr>
      <w:pStyle w:val="Zhlav"/>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2158C" w14:textId="77777777" w:rsidR="00E46245" w:rsidRDefault="00E46245" w:rsidP="0022503D">
    <w:pPr>
      <w:pStyle w:val="Zhlav"/>
    </w:pPr>
  </w:p>
  <w:p w14:paraId="28E153D5" w14:textId="77777777" w:rsidR="00E46245" w:rsidRDefault="00E46245" w:rsidP="0022503D">
    <w:pPr>
      <w:pStyle w:val="Zhlav"/>
    </w:pPr>
    <w:r>
      <w:rPr>
        <w:noProof/>
      </w:rPr>
      <w:drawing>
        <wp:anchor distT="0" distB="0" distL="114300" distR="114300" simplePos="0" relativeHeight="251682304" behindDoc="0" locked="0" layoutInCell="1" allowOverlap="1" wp14:anchorId="0A1FD478" wp14:editId="7E4736EF">
          <wp:simplePos x="0" y="0"/>
          <wp:positionH relativeFrom="column">
            <wp:posOffset>4554855</wp:posOffset>
          </wp:positionH>
          <wp:positionV relativeFrom="paragraph">
            <wp:posOffset>18415</wp:posOffset>
          </wp:positionV>
          <wp:extent cx="1301115" cy="445770"/>
          <wp:effectExtent l="0" t="0" r="0" b="0"/>
          <wp:wrapNone/>
          <wp:docPr id="10"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6759E027" w14:textId="77777777" w:rsidR="00E46245" w:rsidRDefault="00E46245" w:rsidP="009B666C">
    <w:pPr>
      <w:pStyle w:val="Zhlav"/>
    </w:pPr>
    <w:r>
      <w:rPr>
        <w:noProof/>
      </w:rPr>
      <w:drawing>
        <wp:anchor distT="0" distB="0" distL="114300" distR="114300" simplePos="0" relativeHeight="251684352" behindDoc="1" locked="0" layoutInCell="1" allowOverlap="1" wp14:anchorId="22D5BE06" wp14:editId="0D136F8E">
          <wp:simplePos x="0" y="0"/>
          <wp:positionH relativeFrom="column">
            <wp:posOffset>-37465</wp:posOffset>
          </wp:positionH>
          <wp:positionV relativeFrom="paragraph">
            <wp:posOffset>-309880</wp:posOffset>
          </wp:positionV>
          <wp:extent cx="1383030" cy="739775"/>
          <wp:effectExtent l="0" t="0" r="7620" b="0"/>
          <wp:wrapNone/>
          <wp:docPr id="11"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7DF926D5" w14:textId="77777777" w:rsidR="00E46245" w:rsidRDefault="00E46245" w:rsidP="0022503D">
    <w:pPr>
      <w:pStyle w:val="Zhlav"/>
    </w:pPr>
  </w:p>
  <w:p w14:paraId="5A53C472" w14:textId="77777777" w:rsidR="00E46245" w:rsidRDefault="00E46245" w:rsidP="0022503D">
    <w:pPr>
      <w:pStyle w:val="Zhlav"/>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A1561" w14:textId="77777777" w:rsidR="00E46245" w:rsidRDefault="00E46245" w:rsidP="0022503D">
    <w:pPr>
      <w:pStyle w:val="Zhlav"/>
    </w:pPr>
  </w:p>
  <w:p w14:paraId="61F30E31" w14:textId="77777777" w:rsidR="00E46245" w:rsidRDefault="00E46245" w:rsidP="0022503D">
    <w:pPr>
      <w:pStyle w:val="Zhlav"/>
    </w:pPr>
    <w:r>
      <w:rPr>
        <w:noProof/>
      </w:rPr>
      <w:drawing>
        <wp:anchor distT="0" distB="0" distL="114300" distR="114300" simplePos="0" relativeHeight="251700736" behindDoc="0" locked="0" layoutInCell="1" allowOverlap="1" wp14:anchorId="261F796F" wp14:editId="703A8958">
          <wp:simplePos x="0" y="0"/>
          <wp:positionH relativeFrom="column">
            <wp:posOffset>7680960</wp:posOffset>
          </wp:positionH>
          <wp:positionV relativeFrom="paragraph">
            <wp:posOffset>20320</wp:posOffset>
          </wp:positionV>
          <wp:extent cx="1301115" cy="445770"/>
          <wp:effectExtent l="0" t="0" r="0" b="0"/>
          <wp:wrapNone/>
          <wp:docPr id="13"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447453A1" w14:textId="77777777" w:rsidR="00E46245" w:rsidRDefault="00E46245" w:rsidP="009B666C">
    <w:pPr>
      <w:pStyle w:val="Zhlav"/>
    </w:pPr>
    <w:r>
      <w:rPr>
        <w:noProof/>
      </w:rPr>
      <w:drawing>
        <wp:anchor distT="0" distB="0" distL="114300" distR="114300" simplePos="0" relativeHeight="251702784" behindDoc="1" locked="0" layoutInCell="1" allowOverlap="1" wp14:anchorId="41CCE886" wp14:editId="10B3E3F1">
          <wp:simplePos x="0" y="0"/>
          <wp:positionH relativeFrom="column">
            <wp:posOffset>-37465</wp:posOffset>
          </wp:positionH>
          <wp:positionV relativeFrom="paragraph">
            <wp:posOffset>-309880</wp:posOffset>
          </wp:positionV>
          <wp:extent cx="1383030" cy="739775"/>
          <wp:effectExtent l="0" t="0" r="7620" b="0"/>
          <wp:wrapNone/>
          <wp:docPr id="1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3DB91B8F" w14:textId="77777777" w:rsidR="00E46245" w:rsidRDefault="00E46245" w:rsidP="0022503D">
    <w:pPr>
      <w:pStyle w:val="Zhlav"/>
    </w:pPr>
  </w:p>
  <w:p w14:paraId="01630F26" w14:textId="77777777" w:rsidR="00E46245" w:rsidRDefault="00E46245" w:rsidP="0022503D">
    <w:pPr>
      <w:pStyle w:val="Zhlav"/>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706D4" w14:textId="77777777" w:rsidR="00E46245" w:rsidRDefault="00E46245" w:rsidP="0022503D">
    <w:pPr>
      <w:pStyle w:val="Zhlav"/>
    </w:pPr>
  </w:p>
  <w:p w14:paraId="0E4DC13E" w14:textId="77777777" w:rsidR="00E46245" w:rsidRDefault="00E46245" w:rsidP="0022503D">
    <w:pPr>
      <w:pStyle w:val="Zhlav"/>
    </w:pPr>
    <w:r>
      <w:rPr>
        <w:noProof/>
      </w:rPr>
      <w:drawing>
        <wp:anchor distT="0" distB="0" distL="114300" distR="114300" simplePos="0" relativeHeight="251692544" behindDoc="0" locked="0" layoutInCell="1" allowOverlap="1" wp14:anchorId="746F122B" wp14:editId="03B54571">
          <wp:simplePos x="0" y="0"/>
          <wp:positionH relativeFrom="column">
            <wp:posOffset>4554855</wp:posOffset>
          </wp:positionH>
          <wp:positionV relativeFrom="paragraph">
            <wp:posOffset>18415</wp:posOffset>
          </wp:positionV>
          <wp:extent cx="1301115" cy="445770"/>
          <wp:effectExtent l="0" t="0" r="0" b="0"/>
          <wp:wrapNone/>
          <wp:docPr id="320"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57FB3346" w14:textId="77777777" w:rsidR="00E46245" w:rsidRDefault="00E46245" w:rsidP="009B666C">
    <w:pPr>
      <w:pStyle w:val="Zhlav"/>
    </w:pPr>
    <w:r>
      <w:rPr>
        <w:noProof/>
      </w:rPr>
      <w:drawing>
        <wp:anchor distT="0" distB="0" distL="114300" distR="114300" simplePos="0" relativeHeight="251694592" behindDoc="1" locked="0" layoutInCell="1" allowOverlap="1" wp14:anchorId="2AEC7D25" wp14:editId="5C35C0B6">
          <wp:simplePos x="0" y="0"/>
          <wp:positionH relativeFrom="column">
            <wp:posOffset>-37465</wp:posOffset>
          </wp:positionH>
          <wp:positionV relativeFrom="paragraph">
            <wp:posOffset>-309880</wp:posOffset>
          </wp:positionV>
          <wp:extent cx="1383030" cy="739775"/>
          <wp:effectExtent l="0" t="0" r="7620" b="0"/>
          <wp:wrapNone/>
          <wp:docPr id="321"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5AEAF6C5" w14:textId="77777777" w:rsidR="00E46245" w:rsidRDefault="00E46245" w:rsidP="0022503D">
    <w:pPr>
      <w:pStyle w:val="Zhlav"/>
    </w:pPr>
  </w:p>
  <w:p w14:paraId="0309C474" w14:textId="77777777" w:rsidR="00E46245" w:rsidRDefault="00E46245" w:rsidP="0022503D">
    <w:pPr>
      <w:pStyle w:val="Zhlav"/>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63BED" w14:textId="77777777" w:rsidR="00E46245" w:rsidRDefault="00E46245" w:rsidP="0022503D">
    <w:pPr>
      <w:pStyle w:val="Zhlav"/>
    </w:pPr>
  </w:p>
  <w:p w14:paraId="4ED5C42B" w14:textId="77777777" w:rsidR="00E46245" w:rsidRDefault="00E46245" w:rsidP="0022503D">
    <w:pPr>
      <w:pStyle w:val="Zhlav"/>
    </w:pPr>
    <w:r>
      <w:rPr>
        <w:noProof/>
      </w:rPr>
      <w:drawing>
        <wp:anchor distT="0" distB="0" distL="114300" distR="114300" simplePos="0" relativeHeight="251713024" behindDoc="0" locked="0" layoutInCell="1" allowOverlap="1" wp14:anchorId="1896C63C" wp14:editId="46AAF9A0">
          <wp:simplePos x="0" y="0"/>
          <wp:positionH relativeFrom="column">
            <wp:posOffset>7680960</wp:posOffset>
          </wp:positionH>
          <wp:positionV relativeFrom="paragraph">
            <wp:posOffset>18415</wp:posOffset>
          </wp:positionV>
          <wp:extent cx="1301115" cy="445770"/>
          <wp:effectExtent l="0" t="0" r="0" b="0"/>
          <wp:wrapNone/>
          <wp:docPr id="323"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79D393FD" w14:textId="77777777" w:rsidR="00E46245" w:rsidRDefault="00E46245" w:rsidP="009B666C">
    <w:pPr>
      <w:pStyle w:val="Zhlav"/>
    </w:pPr>
    <w:r>
      <w:rPr>
        <w:noProof/>
      </w:rPr>
      <w:drawing>
        <wp:anchor distT="0" distB="0" distL="114300" distR="114300" simplePos="0" relativeHeight="251715072" behindDoc="1" locked="0" layoutInCell="1" allowOverlap="1" wp14:anchorId="0532568F" wp14:editId="283758ED">
          <wp:simplePos x="0" y="0"/>
          <wp:positionH relativeFrom="column">
            <wp:posOffset>-37465</wp:posOffset>
          </wp:positionH>
          <wp:positionV relativeFrom="paragraph">
            <wp:posOffset>-309880</wp:posOffset>
          </wp:positionV>
          <wp:extent cx="1383030" cy="739775"/>
          <wp:effectExtent l="0" t="0" r="7620" b="0"/>
          <wp:wrapNone/>
          <wp:docPr id="32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44E1401B" w14:textId="77777777" w:rsidR="00E46245" w:rsidRDefault="00E46245" w:rsidP="0022503D">
    <w:pPr>
      <w:pStyle w:val="Zhlav"/>
    </w:pPr>
  </w:p>
  <w:p w14:paraId="10651491" w14:textId="77777777" w:rsidR="00E46245" w:rsidRDefault="00E46245" w:rsidP="0022503D">
    <w:pPr>
      <w:pStyle w:val="Zhlav"/>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62F63" w14:textId="77777777" w:rsidR="00E46245" w:rsidRDefault="00E46245" w:rsidP="0022503D">
    <w:pPr>
      <w:pStyle w:val="Zhlav"/>
    </w:pPr>
  </w:p>
  <w:p w14:paraId="2F34A176" w14:textId="77777777" w:rsidR="00E46245" w:rsidRDefault="00E46245" w:rsidP="0022503D">
    <w:pPr>
      <w:pStyle w:val="Zhlav"/>
    </w:pPr>
    <w:r>
      <w:rPr>
        <w:noProof/>
      </w:rPr>
      <w:drawing>
        <wp:anchor distT="0" distB="0" distL="114300" distR="114300" simplePos="0" relativeHeight="251704832" behindDoc="0" locked="0" layoutInCell="1" allowOverlap="1" wp14:anchorId="28358BE7" wp14:editId="3DFA4C85">
          <wp:simplePos x="0" y="0"/>
          <wp:positionH relativeFrom="column">
            <wp:posOffset>4554855</wp:posOffset>
          </wp:positionH>
          <wp:positionV relativeFrom="paragraph">
            <wp:posOffset>18415</wp:posOffset>
          </wp:positionV>
          <wp:extent cx="1301115" cy="445770"/>
          <wp:effectExtent l="0" t="0" r="0" b="0"/>
          <wp:wrapNone/>
          <wp:docPr id="326"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11230410" w14:textId="77777777" w:rsidR="00E46245" w:rsidRDefault="00E46245" w:rsidP="009B666C">
    <w:pPr>
      <w:pStyle w:val="Zhlav"/>
    </w:pPr>
    <w:r>
      <w:rPr>
        <w:noProof/>
      </w:rPr>
      <w:drawing>
        <wp:anchor distT="0" distB="0" distL="114300" distR="114300" simplePos="0" relativeHeight="251706880" behindDoc="1" locked="0" layoutInCell="1" allowOverlap="1" wp14:anchorId="529F05F9" wp14:editId="46565BC3">
          <wp:simplePos x="0" y="0"/>
          <wp:positionH relativeFrom="column">
            <wp:posOffset>-37465</wp:posOffset>
          </wp:positionH>
          <wp:positionV relativeFrom="paragraph">
            <wp:posOffset>-309880</wp:posOffset>
          </wp:positionV>
          <wp:extent cx="1383030" cy="739775"/>
          <wp:effectExtent l="0" t="0" r="7620" b="0"/>
          <wp:wrapNone/>
          <wp:docPr id="327"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075F8546" w14:textId="77777777" w:rsidR="00E46245" w:rsidRDefault="00E46245" w:rsidP="0022503D">
    <w:pPr>
      <w:pStyle w:val="Zhlav"/>
    </w:pPr>
  </w:p>
  <w:p w14:paraId="76888F64" w14:textId="77777777" w:rsidR="00E46245" w:rsidRDefault="00E46245" w:rsidP="0022503D">
    <w:pPr>
      <w:pStyle w:val="Zhlav"/>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8AE3D" w14:textId="77777777" w:rsidR="00E46245" w:rsidRDefault="00E46245" w:rsidP="0022503D">
    <w:pPr>
      <w:pStyle w:val="Zhlav"/>
    </w:pPr>
  </w:p>
  <w:p w14:paraId="216152A6" w14:textId="77777777" w:rsidR="00E46245" w:rsidRDefault="00E46245" w:rsidP="0022503D">
    <w:pPr>
      <w:pStyle w:val="Zhlav"/>
    </w:pPr>
    <w:r>
      <w:rPr>
        <w:noProof/>
      </w:rPr>
      <w:drawing>
        <wp:anchor distT="0" distB="0" distL="114300" distR="114300" simplePos="0" relativeHeight="251651584" behindDoc="0" locked="0" layoutInCell="1" allowOverlap="1" wp14:anchorId="5AA079AC" wp14:editId="1AA46487">
          <wp:simplePos x="0" y="0"/>
          <wp:positionH relativeFrom="column">
            <wp:posOffset>7724775</wp:posOffset>
          </wp:positionH>
          <wp:positionV relativeFrom="paragraph">
            <wp:posOffset>18415</wp:posOffset>
          </wp:positionV>
          <wp:extent cx="1301115" cy="445770"/>
          <wp:effectExtent l="0" t="0" r="0" b="0"/>
          <wp:wrapNone/>
          <wp:docPr id="329"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2DAC60C7" w14:textId="77777777" w:rsidR="00E46245" w:rsidRDefault="00E46245" w:rsidP="009B666C">
    <w:pPr>
      <w:pStyle w:val="Zhlav"/>
    </w:pPr>
    <w:r>
      <w:rPr>
        <w:noProof/>
      </w:rPr>
      <w:drawing>
        <wp:anchor distT="0" distB="0" distL="114300" distR="114300" simplePos="0" relativeHeight="251653632" behindDoc="1" locked="0" layoutInCell="1" allowOverlap="1" wp14:anchorId="1C550167" wp14:editId="2FB159BF">
          <wp:simplePos x="0" y="0"/>
          <wp:positionH relativeFrom="column">
            <wp:posOffset>-37465</wp:posOffset>
          </wp:positionH>
          <wp:positionV relativeFrom="paragraph">
            <wp:posOffset>-309880</wp:posOffset>
          </wp:positionV>
          <wp:extent cx="1383030" cy="739775"/>
          <wp:effectExtent l="0" t="0" r="7620" b="0"/>
          <wp:wrapNone/>
          <wp:docPr id="330"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49098E28" w14:textId="77777777" w:rsidR="00E46245" w:rsidRDefault="00E46245" w:rsidP="0022503D">
    <w:pPr>
      <w:pStyle w:val="Zhlav"/>
    </w:pPr>
  </w:p>
  <w:p w14:paraId="0E9F6289" w14:textId="77777777" w:rsidR="00E46245" w:rsidRDefault="00E46245" w:rsidP="0022503D">
    <w:pPr>
      <w:pStyle w:val="Zhlav"/>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79BBC" w14:textId="77777777" w:rsidR="00E46245" w:rsidRDefault="00E46245" w:rsidP="00157951">
    <w:pPr>
      <w:pStyle w:val="Zhlav"/>
    </w:pPr>
  </w:p>
  <w:p w14:paraId="379E671F" w14:textId="77777777" w:rsidR="00E46245" w:rsidRDefault="00E46245" w:rsidP="00157951">
    <w:pPr>
      <w:pStyle w:val="Zhlav"/>
    </w:pPr>
    <w:r>
      <w:rPr>
        <w:noProof/>
      </w:rPr>
      <w:drawing>
        <wp:anchor distT="0" distB="0" distL="114300" distR="114300" simplePos="0" relativeHeight="251659776" behindDoc="0" locked="0" layoutInCell="1" allowOverlap="1" wp14:anchorId="1EA606D1" wp14:editId="699D3267">
          <wp:simplePos x="0" y="0"/>
          <wp:positionH relativeFrom="column">
            <wp:posOffset>7724775</wp:posOffset>
          </wp:positionH>
          <wp:positionV relativeFrom="paragraph">
            <wp:posOffset>18415</wp:posOffset>
          </wp:positionV>
          <wp:extent cx="1301115" cy="445770"/>
          <wp:effectExtent l="0" t="0" r="0" b="0"/>
          <wp:wrapNone/>
          <wp:docPr id="332"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52E6E95A" w14:textId="77777777" w:rsidR="00E46245" w:rsidRDefault="00E46245" w:rsidP="00157951">
    <w:pPr>
      <w:pStyle w:val="Zhlav"/>
    </w:pPr>
    <w:r>
      <w:rPr>
        <w:noProof/>
      </w:rPr>
      <w:drawing>
        <wp:anchor distT="0" distB="0" distL="114300" distR="114300" simplePos="0" relativeHeight="251661824" behindDoc="1" locked="0" layoutInCell="1" allowOverlap="1" wp14:anchorId="23C5785F" wp14:editId="4EA38F0E">
          <wp:simplePos x="0" y="0"/>
          <wp:positionH relativeFrom="column">
            <wp:posOffset>-37465</wp:posOffset>
          </wp:positionH>
          <wp:positionV relativeFrom="paragraph">
            <wp:posOffset>-309880</wp:posOffset>
          </wp:positionV>
          <wp:extent cx="1383030" cy="739775"/>
          <wp:effectExtent l="0" t="0" r="7620" b="0"/>
          <wp:wrapNone/>
          <wp:docPr id="33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7F92FA68" w14:textId="77777777" w:rsidR="00E46245" w:rsidRDefault="00E46245" w:rsidP="00157951">
    <w:pPr>
      <w:pStyle w:val="Zhlav"/>
    </w:pPr>
  </w:p>
  <w:p w14:paraId="449D6A62" w14:textId="77777777" w:rsidR="00E46245" w:rsidRPr="009B666C" w:rsidRDefault="00E46245" w:rsidP="009B666C">
    <w:pPr>
      <w:pStyle w:val="Zhlav"/>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37DAE" w14:textId="77777777" w:rsidR="00E46245" w:rsidRDefault="00E46245" w:rsidP="0022503D">
    <w:pPr>
      <w:pStyle w:val="Zhlav"/>
    </w:pPr>
  </w:p>
  <w:p w14:paraId="44994EB5" w14:textId="77777777" w:rsidR="00E46245" w:rsidRDefault="00E46245" w:rsidP="0022503D">
    <w:pPr>
      <w:pStyle w:val="Zhlav"/>
    </w:pPr>
    <w:r>
      <w:rPr>
        <w:noProof/>
      </w:rPr>
      <w:drawing>
        <wp:anchor distT="0" distB="0" distL="114300" distR="114300" simplePos="0" relativeHeight="251647488" behindDoc="0" locked="0" layoutInCell="1" allowOverlap="1" wp14:anchorId="08939FD7" wp14:editId="588B3B21">
          <wp:simplePos x="0" y="0"/>
          <wp:positionH relativeFrom="column">
            <wp:posOffset>4554855</wp:posOffset>
          </wp:positionH>
          <wp:positionV relativeFrom="paragraph">
            <wp:posOffset>18415</wp:posOffset>
          </wp:positionV>
          <wp:extent cx="1301115" cy="445770"/>
          <wp:effectExtent l="0" t="0" r="0" b="0"/>
          <wp:wrapNone/>
          <wp:docPr id="335"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486D4F11" w14:textId="77777777" w:rsidR="00E46245" w:rsidRDefault="00E46245" w:rsidP="009B666C">
    <w:pPr>
      <w:pStyle w:val="Zhlav"/>
    </w:pPr>
    <w:r>
      <w:rPr>
        <w:noProof/>
      </w:rPr>
      <w:drawing>
        <wp:anchor distT="0" distB="0" distL="114300" distR="114300" simplePos="0" relativeHeight="251649536" behindDoc="1" locked="0" layoutInCell="1" allowOverlap="1" wp14:anchorId="7FCC4E59" wp14:editId="7068471D">
          <wp:simplePos x="0" y="0"/>
          <wp:positionH relativeFrom="column">
            <wp:posOffset>-37465</wp:posOffset>
          </wp:positionH>
          <wp:positionV relativeFrom="paragraph">
            <wp:posOffset>-309880</wp:posOffset>
          </wp:positionV>
          <wp:extent cx="1383030" cy="739775"/>
          <wp:effectExtent l="0" t="0" r="7620" b="0"/>
          <wp:wrapNone/>
          <wp:docPr id="336"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247F2CCC" w14:textId="77777777" w:rsidR="00E46245" w:rsidRDefault="00E46245" w:rsidP="0022503D">
    <w:pPr>
      <w:pStyle w:val="Zhlav"/>
    </w:pPr>
  </w:p>
  <w:p w14:paraId="3DE65DFC" w14:textId="77777777" w:rsidR="00E46245" w:rsidRDefault="00E46245" w:rsidP="0022503D">
    <w:pPr>
      <w:pStyle w:val="Zhlav"/>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9E26A" w14:textId="77777777" w:rsidR="00E46245" w:rsidRDefault="00E46245" w:rsidP="0022503D">
    <w:pPr>
      <w:pStyle w:val="Zhlav"/>
    </w:pPr>
  </w:p>
  <w:p w14:paraId="1F3FCA70" w14:textId="77777777" w:rsidR="00E46245" w:rsidRDefault="00E46245" w:rsidP="0022503D">
    <w:pPr>
      <w:pStyle w:val="Zhlav"/>
    </w:pPr>
    <w:r>
      <w:rPr>
        <w:noProof/>
      </w:rPr>
      <w:drawing>
        <wp:anchor distT="0" distB="0" distL="114300" distR="114300" simplePos="0" relativeHeight="251637248" behindDoc="0" locked="0" layoutInCell="1" allowOverlap="1" wp14:anchorId="31A5991C" wp14:editId="3861178C">
          <wp:simplePos x="0" y="0"/>
          <wp:positionH relativeFrom="column">
            <wp:posOffset>4554855</wp:posOffset>
          </wp:positionH>
          <wp:positionV relativeFrom="paragraph">
            <wp:posOffset>18415</wp:posOffset>
          </wp:positionV>
          <wp:extent cx="1301115" cy="445770"/>
          <wp:effectExtent l="0" t="0" r="0" b="0"/>
          <wp:wrapNone/>
          <wp:docPr id="338"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6D45DA90" w14:textId="77777777" w:rsidR="00E46245" w:rsidRDefault="00E46245" w:rsidP="009B666C">
    <w:pPr>
      <w:pStyle w:val="Zhlav"/>
    </w:pPr>
    <w:r>
      <w:rPr>
        <w:noProof/>
      </w:rPr>
      <w:drawing>
        <wp:anchor distT="0" distB="0" distL="114300" distR="114300" simplePos="0" relativeHeight="251639296" behindDoc="1" locked="0" layoutInCell="1" allowOverlap="1" wp14:anchorId="57D09200" wp14:editId="7FD122CF">
          <wp:simplePos x="0" y="0"/>
          <wp:positionH relativeFrom="column">
            <wp:posOffset>-37465</wp:posOffset>
          </wp:positionH>
          <wp:positionV relativeFrom="paragraph">
            <wp:posOffset>-309880</wp:posOffset>
          </wp:positionV>
          <wp:extent cx="1383030" cy="739775"/>
          <wp:effectExtent l="0" t="0" r="7620" b="0"/>
          <wp:wrapNone/>
          <wp:docPr id="33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2BDEC924" w14:textId="77777777" w:rsidR="00E46245" w:rsidRDefault="00E46245" w:rsidP="0022503D">
    <w:pPr>
      <w:pStyle w:val="Zhlav"/>
    </w:pPr>
  </w:p>
  <w:p w14:paraId="1CD72340" w14:textId="77777777" w:rsidR="00E46245" w:rsidRDefault="00E46245" w:rsidP="0022503D">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48929" w14:textId="77777777" w:rsidR="00E46245" w:rsidRDefault="00E46245" w:rsidP="0022503D">
    <w:pPr>
      <w:pStyle w:val="Zhlav"/>
    </w:pPr>
  </w:p>
  <w:p w14:paraId="199EDA5D" w14:textId="77777777" w:rsidR="00E46245" w:rsidRDefault="00E46245" w:rsidP="0022503D">
    <w:pPr>
      <w:pStyle w:val="Zhlav"/>
    </w:pPr>
    <w:r>
      <w:rPr>
        <w:noProof/>
      </w:rPr>
      <w:drawing>
        <wp:anchor distT="0" distB="0" distL="114300" distR="114300" simplePos="0" relativeHeight="251600384" behindDoc="0" locked="0" layoutInCell="1" allowOverlap="1" wp14:anchorId="5A98BD6C" wp14:editId="7A3CD2E4">
          <wp:simplePos x="0" y="0"/>
          <wp:positionH relativeFrom="column">
            <wp:posOffset>4531995</wp:posOffset>
          </wp:positionH>
          <wp:positionV relativeFrom="paragraph">
            <wp:posOffset>94615</wp:posOffset>
          </wp:positionV>
          <wp:extent cx="1301115" cy="445770"/>
          <wp:effectExtent l="0" t="0" r="0" b="0"/>
          <wp:wrapNone/>
          <wp:docPr id="68" name="Obrázek 9"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7E2BEDE9" w14:textId="77777777" w:rsidR="00E46245" w:rsidRDefault="00E46245" w:rsidP="0022503D">
    <w:pPr>
      <w:pStyle w:val="Zhlav"/>
    </w:pPr>
    <w:r>
      <w:rPr>
        <w:noProof/>
      </w:rPr>
      <w:drawing>
        <wp:anchor distT="0" distB="0" distL="114300" distR="114300" simplePos="0" relativeHeight="251601408" behindDoc="1" locked="0" layoutInCell="1" allowOverlap="1" wp14:anchorId="2E9ABB3A" wp14:editId="0A736047">
          <wp:simplePos x="0" y="0"/>
          <wp:positionH relativeFrom="column">
            <wp:posOffset>-37465</wp:posOffset>
          </wp:positionH>
          <wp:positionV relativeFrom="paragraph">
            <wp:posOffset>-309880</wp:posOffset>
          </wp:positionV>
          <wp:extent cx="1383030" cy="739775"/>
          <wp:effectExtent l="0" t="0" r="7620" b="0"/>
          <wp:wrapNone/>
          <wp:docPr id="67"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7652F276" w14:textId="77777777" w:rsidR="00E46245" w:rsidRDefault="00E46245">
    <w:pPr>
      <w:pStyle w:val="Zhlav"/>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6766E" w14:textId="77777777" w:rsidR="00E46245" w:rsidRDefault="00E46245" w:rsidP="0022503D">
    <w:pPr>
      <w:pStyle w:val="Zhlav"/>
    </w:pPr>
  </w:p>
  <w:p w14:paraId="51CA36CC" w14:textId="77777777" w:rsidR="00E46245" w:rsidRDefault="00E46245" w:rsidP="0022503D">
    <w:pPr>
      <w:pStyle w:val="Zhlav"/>
    </w:pPr>
    <w:r>
      <w:rPr>
        <w:noProof/>
      </w:rPr>
      <w:drawing>
        <wp:anchor distT="0" distB="0" distL="114300" distR="114300" simplePos="0" relativeHeight="251631104" behindDoc="0" locked="0" layoutInCell="1" allowOverlap="1" wp14:anchorId="437F9C8D" wp14:editId="1F880260">
          <wp:simplePos x="0" y="0"/>
          <wp:positionH relativeFrom="column">
            <wp:posOffset>7689215</wp:posOffset>
          </wp:positionH>
          <wp:positionV relativeFrom="paragraph">
            <wp:posOffset>18415</wp:posOffset>
          </wp:positionV>
          <wp:extent cx="1301115" cy="445770"/>
          <wp:effectExtent l="0" t="0" r="0" b="0"/>
          <wp:wrapNone/>
          <wp:docPr id="341"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55A50BF8" w14:textId="77777777" w:rsidR="00E46245" w:rsidRDefault="00E46245" w:rsidP="009B666C">
    <w:pPr>
      <w:pStyle w:val="Zhlav"/>
    </w:pPr>
    <w:r>
      <w:rPr>
        <w:noProof/>
      </w:rPr>
      <w:drawing>
        <wp:anchor distT="0" distB="0" distL="114300" distR="114300" simplePos="0" relativeHeight="251633152" behindDoc="1" locked="0" layoutInCell="1" allowOverlap="1" wp14:anchorId="1A3DAB8A" wp14:editId="3FCFDEF6">
          <wp:simplePos x="0" y="0"/>
          <wp:positionH relativeFrom="column">
            <wp:posOffset>-37465</wp:posOffset>
          </wp:positionH>
          <wp:positionV relativeFrom="paragraph">
            <wp:posOffset>-309880</wp:posOffset>
          </wp:positionV>
          <wp:extent cx="1383030" cy="739775"/>
          <wp:effectExtent l="0" t="0" r="7620" b="0"/>
          <wp:wrapNone/>
          <wp:docPr id="342"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37C91D75" w14:textId="77777777" w:rsidR="00E46245" w:rsidRDefault="00E46245" w:rsidP="0022503D">
    <w:pPr>
      <w:pStyle w:val="Zhlav"/>
    </w:pPr>
  </w:p>
  <w:p w14:paraId="397BEEB7" w14:textId="77777777" w:rsidR="00E46245" w:rsidRDefault="00E46245" w:rsidP="0022503D">
    <w:pPr>
      <w:pStyle w:val="Zhlav"/>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33844" w14:textId="77777777" w:rsidR="00E46245" w:rsidRDefault="00E46245" w:rsidP="00A870BF">
    <w:pPr>
      <w:pStyle w:val="Zhlav"/>
    </w:pPr>
  </w:p>
  <w:p w14:paraId="7F824ADC" w14:textId="77777777" w:rsidR="00E46245" w:rsidRDefault="00E46245" w:rsidP="00A870BF">
    <w:pPr>
      <w:pStyle w:val="Zhlav"/>
    </w:pPr>
    <w:r>
      <w:rPr>
        <w:noProof/>
      </w:rPr>
      <w:drawing>
        <wp:anchor distT="0" distB="0" distL="114300" distR="114300" simplePos="0" relativeHeight="251658752" behindDoc="0" locked="0" layoutInCell="1" allowOverlap="1" wp14:anchorId="2B51135E" wp14:editId="119A3E38">
          <wp:simplePos x="0" y="0"/>
          <wp:positionH relativeFrom="column">
            <wp:posOffset>4554855</wp:posOffset>
          </wp:positionH>
          <wp:positionV relativeFrom="paragraph">
            <wp:posOffset>18415</wp:posOffset>
          </wp:positionV>
          <wp:extent cx="1301115" cy="445770"/>
          <wp:effectExtent l="0" t="0" r="0" b="0"/>
          <wp:wrapNone/>
          <wp:docPr id="49" name="Obrázek 203"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3"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447EE909" w14:textId="77777777" w:rsidR="00E46245" w:rsidRDefault="00E46245" w:rsidP="00A870BF">
    <w:pPr>
      <w:pStyle w:val="Zhlav"/>
    </w:pPr>
    <w:r>
      <w:rPr>
        <w:noProof/>
      </w:rPr>
      <w:drawing>
        <wp:anchor distT="0" distB="0" distL="114300" distR="114300" simplePos="0" relativeHeight="251660800" behindDoc="1" locked="0" layoutInCell="1" allowOverlap="1" wp14:anchorId="7CCB8919" wp14:editId="6551B4E5">
          <wp:simplePos x="0" y="0"/>
          <wp:positionH relativeFrom="column">
            <wp:posOffset>-37465</wp:posOffset>
          </wp:positionH>
          <wp:positionV relativeFrom="paragraph">
            <wp:posOffset>-309880</wp:posOffset>
          </wp:positionV>
          <wp:extent cx="1383030" cy="739775"/>
          <wp:effectExtent l="0" t="0" r="7620" b="0"/>
          <wp:wrapNone/>
          <wp:docPr id="50"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53BED5B6" w14:textId="77777777" w:rsidR="00E46245" w:rsidRDefault="00E46245" w:rsidP="00A870BF">
    <w:pPr>
      <w:pStyle w:val="Zhlav"/>
    </w:pPr>
  </w:p>
  <w:p w14:paraId="5B197FFB" w14:textId="77777777" w:rsidR="00E46245" w:rsidRPr="00A870BF" w:rsidRDefault="00E46245" w:rsidP="00A870BF">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64E58" w14:textId="77777777" w:rsidR="00E46245" w:rsidRDefault="00E46245" w:rsidP="0022503D">
    <w:pPr>
      <w:pStyle w:val="Zhlav"/>
    </w:pPr>
  </w:p>
  <w:p w14:paraId="02C8662E" w14:textId="77777777" w:rsidR="00E46245" w:rsidRDefault="00E46245" w:rsidP="0022503D">
    <w:pPr>
      <w:pStyle w:val="Zhlav"/>
    </w:pPr>
    <w:r>
      <w:rPr>
        <w:noProof/>
      </w:rPr>
      <w:drawing>
        <wp:anchor distT="0" distB="0" distL="114300" distR="114300" simplePos="0" relativeHeight="251606528" behindDoc="0" locked="0" layoutInCell="1" allowOverlap="1" wp14:anchorId="7CA8F5B6" wp14:editId="0741498E">
          <wp:simplePos x="0" y="0"/>
          <wp:positionH relativeFrom="column">
            <wp:posOffset>4554855</wp:posOffset>
          </wp:positionH>
          <wp:positionV relativeFrom="paragraph">
            <wp:posOffset>18415</wp:posOffset>
          </wp:positionV>
          <wp:extent cx="1301115" cy="445770"/>
          <wp:effectExtent l="0" t="0" r="0" b="0"/>
          <wp:wrapNone/>
          <wp:docPr id="290"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5D04AEE0" w14:textId="77777777" w:rsidR="00E46245" w:rsidRDefault="00E46245" w:rsidP="009B666C">
    <w:pPr>
      <w:pStyle w:val="Zhlav"/>
    </w:pPr>
    <w:r>
      <w:rPr>
        <w:noProof/>
      </w:rPr>
      <w:drawing>
        <wp:anchor distT="0" distB="0" distL="114300" distR="114300" simplePos="0" relativeHeight="251608576" behindDoc="1" locked="0" layoutInCell="1" allowOverlap="1" wp14:anchorId="599709DF" wp14:editId="6EAF842E">
          <wp:simplePos x="0" y="0"/>
          <wp:positionH relativeFrom="column">
            <wp:posOffset>-37465</wp:posOffset>
          </wp:positionH>
          <wp:positionV relativeFrom="paragraph">
            <wp:posOffset>-309880</wp:posOffset>
          </wp:positionV>
          <wp:extent cx="1383030" cy="739775"/>
          <wp:effectExtent l="0" t="0" r="7620" b="0"/>
          <wp:wrapNone/>
          <wp:docPr id="291"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17B5C21D" w14:textId="77777777" w:rsidR="00E46245" w:rsidRDefault="00E46245" w:rsidP="0022503D">
    <w:pPr>
      <w:pStyle w:val="Zhlav"/>
    </w:pPr>
  </w:p>
  <w:p w14:paraId="32E48AE2" w14:textId="77777777" w:rsidR="00E46245" w:rsidRDefault="00E46245" w:rsidP="0022503D">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736B4" w14:textId="77777777" w:rsidR="00E46245" w:rsidRDefault="00E46245" w:rsidP="0022503D">
    <w:pPr>
      <w:pStyle w:val="Zhlav"/>
    </w:pPr>
  </w:p>
  <w:p w14:paraId="14DA5895" w14:textId="77777777" w:rsidR="00E46245" w:rsidRDefault="00E46245" w:rsidP="0022503D">
    <w:pPr>
      <w:pStyle w:val="Zhlav"/>
    </w:pPr>
    <w:r>
      <w:rPr>
        <w:noProof/>
      </w:rPr>
      <w:drawing>
        <wp:anchor distT="0" distB="0" distL="114300" distR="114300" simplePos="0" relativeHeight="251610624" behindDoc="0" locked="0" layoutInCell="1" allowOverlap="1" wp14:anchorId="6CC3D387" wp14:editId="5C3CA97F">
          <wp:simplePos x="0" y="0"/>
          <wp:positionH relativeFrom="column">
            <wp:posOffset>7755255</wp:posOffset>
          </wp:positionH>
          <wp:positionV relativeFrom="paragraph">
            <wp:posOffset>18415</wp:posOffset>
          </wp:positionV>
          <wp:extent cx="1301115" cy="445770"/>
          <wp:effectExtent l="0" t="0" r="0" b="0"/>
          <wp:wrapNone/>
          <wp:docPr id="293" name="Obrázek 149"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9"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178500A8" w14:textId="77777777" w:rsidR="00E46245" w:rsidRDefault="00E46245" w:rsidP="009B666C">
    <w:pPr>
      <w:pStyle w:val="Zhlav"/>
    </w:pPr>
    <w:r>
      <w:rPr>
        <w:noProof/>
      </w:rPr>
      <w:drawing>
        <wp:anchor distT="0" distB="0" distL="114300" distR="114300" simplePos="0" relativeHeight="251612672" behindDoc="1" locked="0" layoutInCell="1" allowOverlap="1" wp14:anchorId="499DA634" wp14:editId="1E3F56F0">
          <wp:simplePos x="0" y="0"/>
          <wp:positionH relativeFrom="column">
            <wp:posOffset>-37465</wp:posOffset>
          </wp:positionH>
          <wp:positionV relativeFrom="paragraph">
            <wp:posOffset>-309880</wp:posOffset>
          </wp:positionV>
          <wp:extent cx="1383030" cy="739775"/>
          <wp:effectExtent l="0" t="0" r="7620" b="0"/>
          <wp:wrapNone/>
          <wp:docPr id="29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6476ED2B" w14:textId="77777777" w:rsidR="00E46245" w:rsidRDefault="00E46245" w:rsidP="0022503D">
    <w:pPr>
      <w:pStyle w:val="Zhlav"/>
    </w:pPr>
  </w:p>
  <w:p w14:paraId="4175770B" w14:textId="77777777" w:rsidR="00E46245" w:rsidRDefault="00E46245" w:rsidP="0022503D">
    <w:pPr>
      <w:pStyle w:val="Zhlav"/>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56F0C" w14:textId="77777777" w:rsidR="00E46245" w:rsidRDefault="00E46245" w:rsidP="0022503D">
    <w:pPr>
      <w:pStyle w:val="Zhlav"/>
    </w:pPr>
  </w:p>
  <w:p w14:paraId="6751DE13" w14:textId="77777777" w:rsidR="00E46245" w:rsidRDefault="00E46245" w:rsidP="0022503D">
    <w:pPr>
      <w:pStyle w:val="Zhlav"/>
    </w:pPr>
    <w:r>
      <w:rPr>
        <w:noProof/>
      </w:rPr>
      <w:drawing>
        <wp:anchor distT="0" distB="0" distL="114300" distR="114300" simplePos="0" relativeHeight="251614720" behindDoc="0" locked="0" layoutInCell="1" allowOverlap="1" wp14:anchorId="19152DA0" wp14:editId="6405F3DF">
          <wp:simplePos x="0" y="0"/>
          <wp:positionH relativeFrom="column">
            <wp:posOffset>4554855</wp:posOffset>
          </wp:positionH>
          <wp:positionV relativeFrom="paragraph">
            <wp:posOffset>18415</wp:posOffset>
          </wp:positionV>
          <wp:extent cx="1301115" cy="445770"/>
          <wp:effectExtent l="0" t="0" r="0" b="0"/>
          <wp:wrapNone/>
          <wp:docPr id="296"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4AC15A04" w14:textId="77777777" w:rsidR="00E46245" w:rsidRDefault="00E46245" w:rsidP="009B666C">
    <w:pPr>
      <w:pStyle w:val="Zhlav"/>
    </w:pPr>
    <w:r>
      <w:rPr>
        <w:noProof/>
      </w:rPr>
      <w:drawing>
        <wp:anchor distT="0" distB="0" distL="114300" distR="114300" simplePos="0" relativeHeight="251616768" behindDoc="1" locked="0" layoutInCell="1" allowOverlap="1" wp14:anchorId="502EF16B" wp14:editId="5369A9D2">
          <wp:simplePos x="0" y="0"/>
          <wp:positionH relativeFrom="column">
            <wp:posOffset>-37465</wp:posOffset>
          </wp:positionH>
          <wp:positionV relativeFrom="paragraph">
            <wp:posOffset>-309880</wp:posOffset>
          </wp:positionV>
          <wp:extent cx="1383030" cy="739775"/>
          <wp:effectExtent l="0" t="0" r="7620" b="0"/>
          <wp:wrapNone/>
          <wp:docPr id="297"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76A7207E" w14:textId="77777777" w:rsidR="00E46245" w:rsidRDefault="00E46245" w:rsidP="0022503D">
    <w:pPr>
      <w:pStyle w:val="Zhlav"/>
    </w:pPr>
  </w:p>
  <w:p w14:paraId="04968833" w14:textId="77777777" w:rsidR="00E46245" w:rsidRDefault="00E46245" w:rsidP="0022503D">
    <w:pPr>
      <w:pStyle w:val="Zhlav"/>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B416B" w14:textId="77777777" w:rsidR="00E46245" w:rsidRDefault="00E46245" w:rsidP="0022503D">
    <w:pPr>
      <w:pStyle w:val="Zhlav"/>
    </w:pPr>
  </w:p>
  <w:p w14:paraId="1F89AC4B" w14:textId="77777777" w:rsidR="00E46245" w:rsidRDefault="00E46245" w:rsidP="0022503D">
    <w:pPr>
      <w:pStyle w:val="Zhlav"/>
    </w:pPr>
    <w:r>
      <w:rPr>
        <w:noProof/>
      </w:rPr>
      <w:drawing>
        <wp:anchor distT="0" distB="0" distL="114300" distR="114300" simplePos="0" relativeHeight="251624960" behindDoc="0" locked="0" layoutInCell="1" allowOverlap="1" wp14:anchorId="5DE59AFC" wp14:editId="279EC14E">
          <wp:simplePos x="0" y="0"/>
          <wp:positionH relativeFrom="column">
            <wp:posOffset>7698105</wp:posOffset>
          </wp:positionH>
          <wp:positionV relativeFrom="paragraph">
            <wp:posOffset>18415</wp:posOffset>
          </wp:positionV>
          <wp:extent cx="1301115" cy="445770"/>
          <wp:effectExtent l="0" t="0" r="0" b="0"/>
          <wp:wrapNone/>
          <wp:docPr id="25"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7FA38DFD" w14:textId="77777777" w:rsidR="00E46245" w:rsidRDefault="00E46245" w:rsidP="009B666C">
    <w:pPr>
      <w:pStyle w:val="Zhlav"/>
    </w:pPr>
    <w:r>
      <w:rPr>
        <w:noProof/>
      </w:rPr>
      <w:drawing>
        <wp:anchor distT="0" distB="0" distL="114300" distR="114300" simplePos="0" relativeHeight="251627008" behindDoc="1" locked="0" layoutInCell="1" allowOverlap="1" wp14:anchorId="21D8B9BC" wp14:editId="106A97F8">
          <wp:simplePos x="0" y="0"/>
          <wp:positionH relativeFrom="column">
            <wp:posOffset>-37465</wp:posOffset>
          </wp:positionH>
          <wp:positionV relativeFrom="paragraph">
            <wp:posOffset>-309880</wp:posOffset>
          </wp:positionV>
          <wp:extent cx="1383030" cy="739775"/>
          <wp:effectExtent l="0" t="0" r="7620" b="0"/>
          <wp:wrapNone/>
          <wp:docPr id="2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408B0D75" w14:textId="77777777" w:rsidR="00E46245" w:rsidRDefault="00E46245" w:rsidP="0022503D">
    <w:pPr>
      <w:pStyle w:val="Zhlav"/>
    </w:pPr>
  </w:p>
  <w:p w14:paraId="319026BC" w14:textId="77777777" w:rsidR="00E46245" w:rsidRDefault="00E46245" w:rsidP="0022503D">
    <w:pPr>
      <w:pStyle w:val="Zhlav"/>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4178E" w14:textId="77777777" w:rsidR="00E46245" w:rsidRDefault="00E46245" w:rsidP="0022503D">
    <w:pPr>
      <w:pStyle w:val="Zhlav"/>
    </w:pPr>
  </w:p>
  <w:p w14:paraId="40985EC1" w14:textId="77777777" w:rsidR="00E46245" w:rsidRDefault="00E46245" w:rsidP="0022503D">
    <w:pPr>
      <w:pStyle w:val="Zhlav"/>
    </w:pPr>
    <w:r>
      <w:rPr>
        <w:noProof/>
      </w:rPr>
      <w:drawing>
        <wp:anchor distT="0" distB="0" distL="114300" distR="114300" simplePos="0" relativeHeight="251657728" behindDoc="0" locked="0" layoutInCell="1" allowOverlap="1" wp14:anchorId="086E3C01" wp14:editId="20BB1067">
          <wp:simplePos x="0" y="0"/>
          <wp:positionH relativeFrom="column">
            <wp:posOffset>4554855</wp:posOffset>
          </wp:positionH>
          <wp:positionV relativeFrom="paragraph">
            <wp:posOffset>18415</wp:posOffset>
          </wp:positionV>
          <wp:extent cx="1301115" cy="445770"/>
          <wp:effectExtent l="0" t="0" r="0" b="0"/>
          <wp:wrapNone/>
          <wp:docPr id="28"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3077E67C" w14:textId="77777777" w:rsidR="00E46245" w:rsidRDefault="00E46245" w:rsidP="009B666C">
    <w:pPr>
      <w:pStyle w:val="Zhlav"/>
    </w:pPr>
    <w:r>
      <w:rPr>
        <w:noProof/>
      </w:rPr>
      <w:drawing>
        <wp:anchor distT="0" distB="0" distL="114300" distR="114300" simplePos="0" relativeHeight="251663872" behindDoc="1" locked="0" layoutInCell="1" allowOverlap="1" wp14:anchorId="1EEC37FE" wp14:editId="43710E51">
          <wp:simplePos x="0" y="0"/>
          <wp:positionH relativeFrom="column">
            <wp:posOffset>-37465</wp:posOffset>
          </wp:positionH>
          <wp:positionV relativeFrom="paragraph">
            <wp:posOffset>-309880</wp:posOffset>
          </wp:positionV>
          <wp:extent cx="1383030" cy="739775"/>
          <wp:effectExtent l="0" t="0" r="7620" b="0"/>
          <wp:wrapNone/>
          <wp:docPr id="2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02D201C3" w14:textId="77777777" w:rsidR="00E46245" w:rsidRDefault="00E46245" w:rsidP="0022503D">
    <w:pPr>
      <w:pStyle w:val="Zhlav"/>
    </w:pPr>
  </w:p>
  <w:p w14:paraId="4D9A39BB" w14:textId="77777777" w:rsidR="00E46245" w:rsidRDefault="00E46245" w:rsidP="0022503D">
    <w:pPr>
      <w:pStyle w:val="Zhlav"/>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522DB" w14:textId="77777777" w:rsidR="00E46245" w:rsidRDefault="00E46245" w:rsidP="0022503D">
    <w:pPr>
      <w:pStyle w:val="Zhlav"/>
    </w:pPr>
  </w:p>
  <w:p w14:paraId="3096E70E" w14:textId="77777777" w:rsidR="00E46245" w:rsidRDefault="00E46245" w:rsidP="0022503D">
    <w:pPr>
      <w:pStyle w:val="Zhlav"/>
    </w:pPr>
    <w:r>
      <w:rPr>
        <w:noProof/>
      </w:rPr>
      <w:drawing>
        <wp:anchor distT="0" distB="0" distL="114300" distR="114300" simplePos="0" relativeHeight="251672064" behindDoc="0" locked="0" layoutInCell="1" allowOverlap="1" wp14:anchorId="2255AEE2" wp14:editId="075CB7A9">
          <wp:simplePos x="0" y="0"/>
          <wp:positionH relativeFrom="column">
            <wp:posOffset>7712710</wp:posOffset>
          </wp:positionH>
          <wp:positionV relativeFrom="paragraph">
            <wp:posOffset>20320</wp:posOffset>
          </wp:positionV>
          <wp:extent cx="1301115" cy="445770"/>
          <wp:effectExtent l="0" t="0" r="0" b="0"/>
          <wp:wrapNone/>
          <wp:docPr id="31"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282AC01B" w14:textId="77777777" w:rsidR="00E46245" w:rsidRDefault="00E46245" w:rsidP="009B666C">
    <w:pPr>
      <w:pStyle w:val="Zhlav"/>
    </w:pPr>
    <w:r>
      <w:rPr>
        <w:noProof/>
      </w:rPr>
      <w:drawing>
        <wp:anchor distT="0" distB="0" distL="114300" distR="114300" simplePos="0" relativeHeight="251674112" behindDoc="1" locked="0" layoutInCell="1" allowOverlap="1" wp14:anchorId="6F23D55B" wp14:editId="0AFE8C4A">
          <wp:simplePos x="0" y="0"/>
          <wp:positionH relativeFrom="column">
            <wp:posOffset>-37465</wp:posOffset>
          </wp:positionH>
          <wp:positionV relativeFrom="paragraph">
            <wp:posOffset>-309880</wp:posOffset>
          </wp:positionV>
          <wp:extent cx="1383030" cy="739775"/>
          <wp:effectExtent l="0" t="0" r="7620" b="0"/>
          <wp:wrapNone/>
          <wp:docPr id="32"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0B18923F" w14:textId="77777777" w:rsidR="00E46245" w:rsidRDefault="00E46245" w:rsidP="0022503D">
    <w:pPr>
      <w:pStyle w:val="Zhlav"/>
    </w:pPr>
  </w:p>
  <w:p w14:paraId="48AF2479" w14:textId="77777777" w:rsidR="00E46245" w:rsidRDefault="00E46245" w:rsidP="0022503D">
    <w:pPr>
      <w:pStyle w:val="Zhlav"/>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425E7" w14:textId="77777777" w:rsidR="00E46245" w:rsidRDefault="00E46245" w:rsidP="0022503D">
    <w:pPr>
      <w:pStyle w:val="Zhlav"/>
    </w:pPr>
  </w:p>
  <w:p w14:paraId="14AEC71E" w14:textId="77777777" w:rsidR="00E46245" w:rsidRDefault="00E46245" w:rsidP="0022503D">
    <w:pPr>
      <w:pStyle w:val="Zhlav"/>
    </w:pPr>
    <w:r>
      <w:rPr>
        <w:noProof/>
      </w:rPr>
      <w:drawing>
        <wp:anchor distT="0" distB="0" distL="114300" distR="114300" simplePos="0" relativeHeight="251676160" behindDoc="0" locked="0" layoutInCell="1" allowOverlap="1" wp14:anchorId="37D402C5" wp14:editId="7E26A6C3">
          <wp:simplePos x="0" y="0"/>
          <wp:positionH relativeFrom="column">
            <wp:posOffset>4554855</wp:posOffset>
          </wp:positionH>
          <wp:positionV relativeFrom="paragraph">
            <wp:posOffset>18415</wp:posOffset>
          </wp:positionV>
          <wp:extent cx="1301115" cy="445770"/>
          <wp:effectExtent l="0" t="0" r="0" b="0"/>
          <wp:wrapNone/>
          <wp:docPr id="40"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10198638" w14:textId="77777777" w:rsidR="00E46245" w:rsidRDefault="00E46245" w:rsidP="009B666C">
    <w:pPr>
      <w:pStyle w:val="Zhlav"/>
    </w:pPr>
    <w:r>
      <w:rPr>
        <w:noProof/>
      </w:rPr>
      <w:drawing>
        <wp:anchor distT="0" distB="0" distL="114300" distR="114300" simplePos="0" relativeHeight="251678208" behindDoc="1" locked="0" layoutInCell="1" allowOverlap="1" wp14:anchorId="1D5C5304" wp14:editId="2BD88924">
          <wp:simplePos x="0" y="0"/>
          <wp:positionH relativeFrom="column">
            <wp:posOffset>-37465</wp:posOffset>
          </wp:positionH>
          <wp:positionV relativeFrom="paragraph">
            <wp:posOffset>-309880</wp:posOffset>
          </wp:positionV>
          <wp:extent cx="1383030" cy="739775"/>
          <wp:effectExtent l="0" t="0" r="7620" b="0"/>
          <wp:wrapNone/>
          <wp:docPr id="42"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3E3ECE49" w14:textId="77777777" w:rsidR="00E46245" w:rsidRDefault="00E46245" w:rsidP="0022503D">
    <w:pPr>
      <w:pStyle w:val="Zhlav"/>
    </w:pPr>
  </w:p>
  <w:p w14:paraId="0A7CAC5A" w14:textId="77777777" w:rsidR="00E46245" w:rsidRDefault="00E46245" w:rsidP="0022503D">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C0C374E"/>
    <w:lvl w:ilvl="0">
      <w:start w:val="1"/>
      <w:numFmt w:val="bullet"/>
      <w:pStyle w:val="TabNad"/>
      <w:lvlText w:val=""/>
      <w:lvlJc w:val="left"/>
      <w:pPr>
        <w:tabs>
          <w:tab w:val="num" w:pos="360"/>
        </w:tabs>
        <w:ind w:left="360" w:hanging="360"/>
      </w:pPr>
      <w:rPr>
        <w:rFonts w:ascii="Symbol" w:hAnsi="Symbol" w:cs="Symbol" w:hint="default"/>
      </w:rPr>
    </w:lvl>
  </w:abstractNum>
  <w:abstractNum w:abstractNumId="1" w15:restartNumberingAfterBreak="0">
    <w:nsid w:val="008B05E6"/>
    <w:multiLevelType w:val="multilevel"/>
    <w:tmpl w:val="20E0A8D2"/>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0A730E7"/>
    <w:multiLevelType w:val="hybridMultilevel"/>
    <w:tmpl w:val="72E08B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0BF5244"/>
    <w:multiLevelType w:val="hybridMultilevel"/>
    <w:tmpl w:val="6BE6C3B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4253674"/>
    <w:multiLevelType w:val="multilevel"/>
    <w:tmpl w:val="13C4C2C8"/>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EC4B78"/>
    <w:multiLevelType w:val="hybridMultilevel"/>
    <w:tmpl w:val="061263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D681069"/>
    <w:multiLevelType w:val="hybridMultilevel"/>
    <w:tmpl w:val="A80AF7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DD83EE2"/>
    <w:multiLevelType w:val="hybridMultilevel"/>
    <w:tmpl w:val="D6B0E0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4970F9F"/>
    <w:multiLevelType w:val="hybridMultilevel"/>
    <w:tmpl w:val="AE3EECA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4E12502"/>
    <w:multiLevelType w:val="hybridMultilevel"/>
    <w:tmpl w:val="A41EA4F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68B06A0"/>
    <w:multiLevelType w:val="multilevel"/>
    <w:tmpl w:val="9612AFD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6D7601C"/>
    <w:multiLevelType w:val="hybridMultilevel"/>
    <w:tmpl w:val="A0CE9F2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6C352F"/>
    <w:multiLevelType w:val="hybridMultilevel"/>
    <w:tmpl w:val="128ABC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79F67F0"/>
    <w:multiLevelType w:val="hybridMultilevel"/>
    <w:tmpl w:val="76BECBC2"/>
    <w:lvl w:ilvl="0" w:tplc="0405000F">
      <w:start w:val="1"/>
      <w:numFmt w:val="decimal"/>
      <w:lvlText w:val="%1."/>
      <w:lvlJc w:val="left"/>
      <w:pPr>
        <w:ind w:left="786" w:hanging="360"/>
      </w:pPr>
    </w:lvl>
    <w:lvl w:ilvl="1" w:tplc="04050019" w:tentative="1">
      <w:start w:val="1"/>
      <w:numFmt w:val="lowerLetter"/>
      <w:lvlText w:val="%2."/>
      <w:lvlJc w:val="left"/>
      <w:pPr>
        <w:ind w:left="1506" w:hanging="360"/>
      </w:pPr>
    </w:lvl>
    <w:lvl w:ilvl="2" w:tplc="0405001B">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4" w15:restartNumberingAfterBreak="0">
    <w:nsid w:val="18B20F28"/>
    <w:multiLevelType w:val="hybridMultilevel"/>
    <w:tmpl w:val="4C42F7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A137BAC"/>
    <w:multiLevelType w:val="hybridMultilevel"/>
    <w:tmpl w:val="A86EEC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A3E6FD0"/>
    <w:multiLevelType w:val="hybridMultilevel"/>
    <w:tmpl w:val="CBACFCBA"/>
    <w:lvl w:ilvl="0" w:tplc="D152CFBA">
      <w:start w:val="1"/>
      <w:numFmt w:val="lowerLetter"/>
      <w:lvlText w:val="%1)"/>
      <w:lvlJc w:val="left"/>
      <w:pPr>
        <w:ind w:left="1770" w:hanging="360"/>
      </w:pPr>
      <w:rPr>
        <w:rFonts w:hint="default"/>
      </w:rPr>
    </w:lvl>
    <w:lvl w:ilvl="1" w:tplc="04050019" w:tentative="1">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abstractNum w:abstractNumId="17" w15:restartNumberingAfterBreak="0">
    <w:nsid w:val="1B3E5598"/>
    <w:multiLevelType w:val="multilevel"/>
    <w:tmpl w:val="B2CE1168"/>
    <w:lvl w:ilvl="0">
      <w:start w:val="1"/>
      <w:numFmt w:val="upperLetter"/>
      <w:pStyle w:val="kapitola2A"/>
      <w:lvlText w:val="2.%1"/>
      <w:lvlJc w:val="left"/>
      <w:pPr>
        <w:ind w:left="432" w:hanging="432"/>
      </w:pPr>
      <w:rPr>
        <w:rFonts w:ascii="Calibri" w:hAnsi="Calibri" w:hint="default"/>
        <w:sz w:val="24"/>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1BA36D34"/>
    <w:multiLevelType w:val="hybridMultilevel"/>
    <w:tmpl w:val="66E2630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1D9A618A"/>
    <w:multiLevelType w:val="hybridMultilevel"/>
    <w:tmpl w:val="811CB0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ED03BD1"/>
    <w:multiLevelType w:val="multilevel"/>
    <w:tmpl w:val="19D8BE06"/>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1F193060"/>
    <w:multiLevelType w:val="multilevel"/>
    <w:tmpl w:val="00C8317C"/>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1FEA1A9D"/>
    <w:multiLevelType w:val="hybridMultilevel"/>
    <w:tmpl w:val="8162FC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2CB0A85"/>
    <w:multiLevelType w:val="hybridMultilevel"/>
    <w:tmpl w:val="6ABE92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4A928ED"/>
    <w:multiLevelType w:val="multilevel"/>
    <w:tmpl w:val="D1623A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26362730"/>
    <w:multiLevelType w:val="hybridMultilevel"/>
    <w:tmpl w:val="1632E7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7E525BE"/>
    <w:multiLevelType w:val="hybridMultilevel"/>
    <w:tmpl w:val="3258CE82"/>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29D92BBD"/>
    <w:multiLevelType w:val="hybridMultilevel"/>
    <w:tmpl w:val="577202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A3620A8"/>
    <w:multiLevelType w:val="multilevel"/>
    <w:tmpl w:val="7CE25252"/>
    <w:lvl w:ilvl="0">
      <w:start w:val="1"/>
      <w:numFmt w:val="decimal"/>
      <w:lvlText w:val="KAPITOLA %1."/>
      <w:lvlJc w:val="left"/>
      <w:pPr>
        <w:ind w:left="432" w:hanging="432"/>
      </w:pPr>
      <w:rPr>
        <w:rFonts w:hint="default"/>
        <w:sz w:val="28"/>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B.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2CC07699"/>
    <w:multiLevelType w:val="multilevel"/>
    <w:tmpl w:val="621E7B6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2F7545D7"/>
    <w:multiLevelType w:val="multilevel"/>
    <w:tmpl w:val="B0B6CC12"/>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30555BB7"/>
    <w:multiLevelType w:val="multilevel"/>
    <w:tmpl w:val="19D8BE06"/>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30CE199F"/>
    <w:multiLevelType w:val="multilevel"/>
    <w:tmpl w:val="A622FE2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7"/>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312223B1"/>
    <w:multiLevelType w:val="multilevel"/>
    <w:tmpl w:val="DA023246"/>
    <w:lvl w:ilvl="0">
      <w:start w:val="1"/>
      <w:numFmt w:val="decimal"/>
      <w:pStyle w:val="Nadpis1"/>
      <w:lvlText w:val="ODDÍL %1"/>
      <w:lvlJc w:val="left"/>
      <w:pPr>
        <w:ind w:left="716" w:hanging="432"/>
      </w:pPr>
      <w:rPr>
        <w:rFonts w:hint="default"/>
        <w:spacing w:val="20"/>
        <w:sz w:val="28"/>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A.2.%4"/>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34" w15:restartNumberingAfterBreak="0">
    <w:nsid w:val="31874933"/>
    <w:multiLevelType w:val="hybridMultilevel"/>
    <w:tmpl w:val="95E8776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319D0170"/>
    <w:multiLevelType w:val="hybridMultilevel"/>
    <w:tmpl w:val="7E0619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403176C"/>
    <w:multiLevelType w:val="multilevel"/>
    <w:tmpl w:val="1FC41868"/>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34E45574"/>
    <w:multiLevelType w:val="multilevel"/>
    <w:tmpl w:val="60D0A0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357F1338"/>
    <w:multiLevelType w:val="hybridMultilevel"/>
    <w:tmpl w:val="0A42FE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59F4C4D"/>
    <w:multiLevelType w:val="multilevel"/>
    <w:tmpl w:val="9978382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5"/>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38863BE4"/>
    <w:multiLevelType w:val="multilevel"/>
    <w:tmpl w:val="4374449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6"/>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39AE0397"/>
    <w:multiLevelType w:val="hybridMultilevel"/>
    <w:tmpl w:val="8B56C5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39E700EE"/>
    <w:multiLevelType w:val="hybridMultilevel"/>
    <w:tmpl w:val="36AE237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3B142540"/>
    <w:multiLevelType w:val="hybridMultilevel"/>
    <w:tmpl w:val="27CE8772"/>
    <w:lvl w:ilvl="0" w:tplc="DF3A60A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3BA736C9"/>
    <w:multiLevelType w:val="singleLevel"/>
    <w:tmpl w:val="9BD81856"/>
    <w:lvl w:ilvl="0">
      <w:start w:val="1"/>
      <w:numFmt w:val="bullet"/>
      <w:lvlRestart w:val="0"/>
      <w:pStyle w:val="Tiret0"/>
      <w:lvlText w:val="–"/>
      <w:lvlJc w:val="left"/>
      <w:pPr>
        <w:tabs>
          <w:tab w:val="num" w:pos="850"/>
        </w:tabs>
        <w:ind w:left="850" w:hanging="850"/>
      </w:pPr>
    </w:lvl>
  </w:abstractNum>
  <w:abstractNum w:abstractNumId="45" w15:restartNumberingAfterBreak="0">
    <w:nsid w:val="3BB12A95"/>
    <w:multiLevelType w:val="hybridMultilevel"/>
    <w:tmpl w:val="89143154"/>
    <w:lvl w:ilvl="0" w:tplc="04050011">
      <w:start w:val="1"/>
      <w:numFmt w:val="decimal"/>
      <w:lvlText w:val="%1)"/>
      <w:lvlJc w:val="left"/>
      <w:pPr>
        <w:ind w:left="720" w:hanging="360"/>
      </w:pPr>
    </w:lvl>
    <w:lvl w:ilvl="1" w:tplc="DF3A60AE">
      <w:numFmt w:val="bullet"/>
      <w:lvlText w:val="•"/>
      <w:lvlJc w:val="left"/>
      <w:pPr>
        <w:ind w:left="1785" w:hanging="705"/>
      </w:pPr>
      <w:rPr>
        <w:rFonts w:ascii="Times New Roman" w:eastAsia="Times New Roman" w:hAnsi="Times New Roman"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3DB4652B"/>
    <w:multiLevelType w:val="hybridMultilevel"/>
    <w:tmpl w:val="D4D45D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414819B7"/>
    <w:multiLevelType w:val="hybridMultilevel"/>
    <w:tmpl w:val="68C6D9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42265BFB"/>
    <w:multiLevelType w:val="multilevel"/>
    <w:tmpl w:val="CDA239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42770BBC"/>
    <w:multiLevelType w:val="multilevel"/>
    <w:tmpl w:val="65CEFECA"/>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42C12092"/>
    <w:multiLevelType w:val="hybridMultilevel"/>
    <w:tmpl w:val="78C213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446C143B"/>
    <w:multiLevelType w:val="hybridMultilevel"/>
    <w:tmpl w:val="9F10961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44AB1CAF"/>
    <w:multiLevelType w:val="multilevel"/>
    <w:tmpl w:val="60D0A0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463A4FC4"/>
    <w:multiLevelType w:val="hybridMultilevel"/>
    <w:tmpl w:val="C338C91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47165FAE"/>
    <w:multiLevelType w:val="hybridMultilevel"/>
    <w:tmpl w:val="A4E46A6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494931A5"/>
    <w:multiLevelType w:val="multilevel"/>
    <w:tmpl w:val="CEE4812E"/>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6" w15:restartNumberingAfterBreak="0">
    <w:nsid w:val="4A474A5E"/>
    <w:multiLevelType w:val="multilevel"/>
    <w:tmpl w:val="C294203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7" w15:restartNumberingAfterBreak="0">
    <w:nsid w:val="4A5C7CB1"/>
    <w:multiLevelType w:val="multilevel"/>
    <w:tmpl w:val="93C2E0C6"/>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15:restartNumberingAfterBreak="0">
    <w:nsid w:val="4B5F3A7E"/>
    <w:multiLevelType w:val="hybridMultilevel"/>
    <w:tmpl w:val="657A59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4B9D7FB2"/>
    <w:multiLevelType w:val="hybridMultilevel"/>
    <w:tmpl w:val="599291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4CC56787"/>
    <w:multiLevelType w:val="hybridMultilevel"/>
    <w:tmpl w:val="0388DF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4EBE07BD"/>
    <w:multiLevelType w:val="hybridMultilevel"/>
    <w:tmpl w:val="392E0C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4F1E0072"/>
    <w:multiLevelType w:val="hybridMultilevel"/>
    <w:tmpl w:val="617E88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50B16A0D"/>
    <w:multiLevelType w:val="hybridMultilevel"/>
    <w:tmpl w:val="985443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50CE3722"/>
    <w:multiLevelType w:val="hybridMultilevel"/>
    <w:tmpl w:val="A89CDE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510209BC"/>
    <w:multiLevelType w:val="hybridMultilevel"/>
    <w:tmpl w:val="4FF876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53D96E2E"/>
    <w:multiLevelType w:val="hybridMultilevel"/>
    <w:tmpl w:val="051097A2"/>
    <w:lvl w:ilvl="0" w:tplc="4878A128">
      <w:start w:val="2"/>
      <w:numFmt w:val="lowerLetter"/>
      <w:lvlText w:val="%1)"/>
      <w:lvlJc w:val="left"/>
      <w:pPr>
        <w:ind w:left="1636" w:hanging="360"/>
      </w:pPr>
      <w:rPr>
        <w:rFonts w:hint="default"/>
      </w:rPr>
    </w:lvl>
    <w:lvl w:ilvl="1" w:tplc="04050019" w:tentative="1">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abstractNum w:abstractNumId="67" w15:restartNumberingAfterBreak="0">
    <w:nsid w:val="54FC17C7"/>
    <w:multiLevelType w:val="hybridMultilevel"/>
    <w:tmpl w:val="6108CBF2"/>
    <w:lvl w:ilvl="0" w:tplc="04050001">
      <w:start w:val="1"/>
      <w:numFmt w:val="bullet"/>
      <w:lvlText w:val=""/>
      <w:lvlJc w:val="left"/>
      <w:pPr>
        <w:ind w:left="360" w:hanging="360"/>
      </w:pPr>
      <w:rPr>
        <w:rFonts w:ascii="Symbol" w:hAnsi="Symbol" w:hint="default"/>
      </w:rPr>
    </w:lvl>
    <w:lvl w:ilvl="1" w:tplc="DC624C30" w:tentative="1">
      <w:start w:val="1"/>
      <w:numFmt w:val="bullet"/>
      <w:lvlText w:val="o"/>
      <w:lvlJc w:val="left"/>
      <w:pPr>
        <w:ind w:left="1440" w:hanging="360"/>
      </w:pPr>
      <w:rPr>
        <w:rFonts w:ascii="Courier New" w:hAnsi="Courier New" w:hint="default"/>
      </w:rPr>
    </w:lvl>
    <w:lvl w:ilvl="2" w:tplc="49ACE1E6" w:tentative="1">
      <w:start w:val="1"/>
      <w:numFmt w:val="bullet"/>
      <w:lvlText w:val=""/>
      <w:lvlJc w:val="left"/>
      <w:pPr>
        <w:ind w:left="2160" w:hanging="360"/>
      </w:pPr>
      <w:rPr>
        <w:rFonts w:ascii="Wingdings" w:hAnsi="Wingdings" w:hint="default"/>
      </w:rPr>
    </w:lvl>
    <w:lvl w:ilvl="3" w:tplc="EC02C5AA" w:tentative="1">
      <w:start w:val="1"/>
      <w:numFmt w:val="bullet"/>
      <w:lvlText w:val=""/>
      <w:lvlJc w:val="left"/>
      <w:pPr>
        <w:ind w:left="2880" w:hanging="360"/>
      </w:pPr>
      <w:rPr>
        <w:rFonts w:ascii="Symbol" w:hAnsi="Symbol" w:hint="default"/>
      </w:rPr>
    </w:lvl>
    <w:lvl w:ilvl="4" w:tplc="B5E210D8" w:tentative="1">
      <w:start w:val="1"/>
      <w:numFmt w:val="bullet"/>
      <w:lvlText w:val="o"/>
      <w:lvlJc w:val="left"/>
      <w:pPr>
        <w:ind w:left="3600" w:hanging="360"/>
      </w:pPr>
      <w:rPr>
        <w:rFonts w:ascii="Courier New" w:hAnsi="Courier New" w:hint="default"/>
      </w:rPr>
    </w:lvl>
    <w:lvl w:ilvl="5" w:tplc="A4CEE5E4" w:tentative="1">
      <w:start w:val="1"/>
      <w:numFmt w:val="bullet"/>
      <w:lvlText w:val=""/>
      <w:lvlJc w:val="left"/>
      <w:pPr>
        <w:ind w:left="4320" w:hanging="360"/>
      </w:pPr>
      <w:rPr>
        <w:rFonts w:ascii="Wingdings" w:hAnsi="Wingdings" w:hint="default"/>
      </w:rPr>
    </w:lvl>
    <w:lvl w:ilvl="6" w:tplc="E6F01072" w:tentative="1">
      <w:start w:val="1"/>
      <w:numFmt w:val="bullet"/>
      <w:lvlText w:val=""/>
      <w:lvlJc w:val="left"/>
      <w:pPr>
        <w:ind w:left="5040" w:hanging="360"/>
      </w:pPr>
      <w:rPr>
        <w:rFonts w:ascii="Symbol" w:hAnsi="Symbol" w:hint="default"/>
      </w:rPr>
    </w:lvl>
    <w:lvl w:ilvl="7" w:tplc="5FFA7AA6" w:tentative="1">
      <w:start w:val="1"/>
      <w:numFmt w:val="bullet"/>
      <w:lvlText w:val="o"/>
      <w:lvlJc w:val="left"/>
      <w:pPr>
        <w:ind w:left="5760" w:hanging="360"/>
      </w:pPr>
      <w:rPr>
        <w:rFonts w:ascii="Courier New" w:hAnsi="Courier New" w:hint="default"/>
      </w:rPr>
    </w:lvl>
    <w:lvl w:ilvl="8" w:tplc="A49C9CF2" w:tentative="1">
      <w:start w:val="1"/>
      <w:numFmt w:val="bullet"/>
      <w:lvlText w:val=""/>
      <w:lvlJc w:val="left"/>
      <w:pPr>
        <w:ind w:left="6480" w:hanging="360"/>
      </w:pPr>
      <w:rPr>
        <w:rFonts w:ascii="Wingdings" w:hAnsi="Wingdings" w:hint="default"/>
      </w:rPr>
    </w:lvl>
  </w:abstractNum>
  <w:abstractNum w:abstractNumId="68" w15:restartNumberingAfterBreak="0">
    <w:nsid w:val="55532A80"/>
    <w:multiLevelType w:val="hybridMultilevel"/>
    <w:tmpl w:val="5ABAFA7C"/>
    <w:lvl w:ilvl="0" w:tplc="0A863A4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55BB30EB"/>
    <w:multiLevelType w:val="hybridMultilevel"/>
    <w:tmpl w:val="75F47E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564F5AD7"/>
    <w:multiLevelType w:val="hybridMultilevel"/>
    <w:tmpl w:val="6A7813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565B27D3"/>
    <w:multiLevelType w:val="hybridMultilevel"/>
    <w:tmpl w:val="1B10775E"/>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584C25C6"/>
    <w:multiLevelType w:val="hybridMultilevel"/>
    <w:tmpl w:val="0AD4A40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15:restartNumberingAfterBreak="0">
    <w:nsid w:val="58AC1817"/>
    <w:multiLevelType w:val="hybridMultilevel"/>
    <w:tmpl w:val="9D148A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58FA427D"/>
    <w:multiLevelType w:val="multilevel"/>
    <w:tmpl w:val="B9687EC0"/>
    <w:lvl w:ilvl="0">
      <w:start w:val="5"/>
      <w:numFmt w:val="decimal"/>
      <w:lvlText w:val="%1."/>
      <w:lvlJc w:val="left"/>
      <w:pPr>
        <w:ind w:left="540" w:hanging="540"/>
      </w:pPr>
      <w:rPr>
        <w:rFonts w:hint="default"/>
      </w:rPr>
    </w:lvl>
    <w:lvl w:ilvl="1">
      <w:start w:val="1"/>
      <w:numFmt w:val="decimal"/>
      <w:pStyle w:val="NadpisNOK2"/>
      <w:lvlText w:val="%1.%2."/>
      <w:lvlJc w:val="left"/>
      <w:pPr>
        <w:ind w:left="1425" w:hanging="720"/>
      </w:pPr>
      <w:rPr>
        <w:rFonts w:hint="default"/>
      </w:rPr>
    </w:lvl>
    <w:lvl w:ilvl="2">
      <w:start w:val="1"/>
      <w:numFmt w:val="decimal"/>
      <w:lvlText w:val="%1.%2.%3."/>
      <w:lvlJc w:val="left"/>
      <w:pPr>
        <w:ind w:left="2490" w:hanging="1080"/>
      </w:pPr>
      <w:rPr>
        <w:rFonts w:hint="default"/>
      </w:rPr>
    </w:lvl>
    <w:lvl w:ilvl="3">
      <w:start w:val="1"/>
      <w:numFmt w:val="decimal"/>
      <w:lvlText w:val="%1.%2.%3.%4."/>
      <w:lvlJc w:val="left"/>
      <w:pPr>
        <w:ind w:left="3555" w:hanging="1440"/>
      </w:pPr>
      <w:rPr>
        <w:rFonts w:hint="default"/>
      </w:rPr>
    </w:lvl>
    <w:lvl w:ilvl="4">
      <w:start w:val="1"/>
      <w:numFmt w:val="decimal"/>
      <w:lvlText w:val="%1.%2.%3.%4.%5."/>
      <w:lvlJc w:val="left"/>
      <w:pPr>
        <w:ind w:left="4260" w:hanging="1440"/>
      </w:pPr>
      <w:rPr>
        <w:rFonts w:hint="default"/>
      </w:rPr>
    </w:lvl>
    <w:lvl w:ilvl="5">
      <w:start w:val="1"/>
      <w:numFmt w:val="decimal"/>
      <w:lvlText w:val="%1.%2.%3.%4.%5.%6."/>
      <w:lvlJc w:val="left"/>
      <w:pPr>
        <w:ind w:left="5325" w:hanging="1800"/>
      </w:pPr>
      <w:rPr>
        <w:rFonts w:hint="default"/>
      </w:rPr>
    </w:lvl>
    <w:lvl w:ilvl="6">
      <w:start w:val="1"/>
      <w:numFmt w:val="decimal"/>
      <w:lvlText w:val="%1.%2.%3.%4.%5.%6.%7."/>
      <w:lvlJc w:val="left"/>
      <w:pPr>
        <w:ind w:left="6390" w:hanging="2160"/>
      </w:pPr>
      <w:rPr>
        <w:rFonts w:hint="default"/>
      </w:rPr>
    </w:lvl>
    <w:lvl w:ilvl="7">
      <w:start w:val="1"/>
      <w:numFmt w:val="decimal"/>
      <w:lvlText w:val="%1.%2.%3.%4.%5.%6.%7.%8."/>
      <w:lvlJc w:val="left"/>
      <w:pPr>
        <w:ind w:left="7455" w:hanging="2520"/>
      </w:pPr>
      <w:rPr>
        <w:rFonts w:hint="default"/>
      </w:rPr>
    </w:lvl>
    <w:lvl w:ilvl="8">
      <w:start w:val="1"/>
      <w:numFmt w:val="decimal"/>
      <w:lvlText w:val="%1.%2.%3.%4.%5.%6.%7.%8.%9."/>
      <w:lvlJc w:val="left"/>
      <w:pPr>
        <w:ind w:left="8160" w:hanging="2520"/>
      </w:pPr>
      <w:rPr>
        <w:rFonts w:hint="default"/>
      </w:rPr>
    </w:lvl>
  </w:abstractNum>
  <w:abstractNum w:abstractNumId="75" w15:restartNumberingAfterBreak="0">
    <w:nsid w:val="5C4F027F"/>
    <w:multiLevelType w:val="multilevel"/>
    <w:tmpl w:val="60D0A0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6" w15:restartNumberingAfterBreak="0">
    <w:nsid w:val="5CDD5062"/>
    <w:multiLevelType w:val="hybridMultilevel"/>
    <w:tmpl w:val="24A63C50"/>
    <w:lvl w:ilvl="0" w:tplc="4878976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7" w15:restartNumberingAfterBreak="0">
    <w:nsid w:val="5DC05E64"/>
    <w:multiLevelType w:val="multilevel"/>
    <w:tmpl w:val="31A4C696"/>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8" w15:restartNumberingAfterBreak="0">
    <w:nsid w:val="5DFC6137"/>
    <w:multiLevelType w:val="multilevel"/>
    <w:tmpl w:val="13C4C2C8"/>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9" w15:restartNumberingAfterBreak="0">
    <w:nsid w:val="5F8124C6"/>
    <w:multiLevelType w:val="multilevel"/>
    <w:tmpl w:val="CBF88B92"/>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0" w15:restartNumberingAfterBreak="0">
    <w:nsid w:val="615C4D99"/>
    <w:multiLevelType w:val="hybridMultilevel"/>
    <w:tmpl w:val="3DDA53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61D60F3A"/>
    <w:multiLevelType w:val="hybridMultilevel"/>
    <w:tmpl w:val="1520C76C"/>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15:restartNumberingAfterBreak="0">
    <w:nsid w:val="620A6C9B"/>
    <w:multiLevelType w:val="hybridMultilevel"/>
    <w:tmpl w:val="6B2E5A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62884433"/>
    <w:multiLevelType w:val="hybridMultilevel"/>
    <w:tmpl w:val="435454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62EA7A0F"/>
    <w:multiLevelType w:val="multilevel"/>
    <w:tmpl w:val="C4EAE37A"/>
    <w:lvl w:ilvl="0">
      <w:start w:val="1"/>
      <w:numFmt w:val="decimal"/>
      <w:lvlText w:val="KAPITOLA %1."/>
      <w:lvlJc w:val="left"/>
      <w:pPr>
        <w:ind w:left="432" w:hanging="432"/>
      </w:pPr>
      <w:rPr>
        <w:rFonts w:hint="default"/>
        <w:sz w:val="28"/>
      </w:rPr>
    </w:lvl>
    <w:lvl w:ilvl="1">
      <w:start w:val="1"/>
      <w:numFmt w:val="decimal"/>
      <w:lvlText w:val="%1.%2"/>
      <w:lvlJc w:val="left"/>
      <w:pPr>
        <w:ind w:left="576" w:hanging="576"/>
      </w:pPr>
      <w:rPr>
        <w:rFonts w:hint="default"/>
      </w:rPr>
    </w:lvl>
    <w:lvl w:ilvl="2">
      <w:start w:val="1"/>
      <w:numFmt w:val="decimal"/>
      <w:lvlText w:val="2.B.%3"/>
      <w:lvlJc w:val="left"/>
      <w:pPr>
        <w:ind w:left="1146" w:hanging="720"/>
      </w:pPr>
      <w:rPr>
        <w:rFonts w:ascii="Calibri" w:hAnsi="Calibri" w:hint="default"/>
        <w:sz w:val="24"/>
      </w:rPr>
    </w:lvl>
    <w:lvl w:ilvl="3">
      <w:start w:val="1"/>
      <w:numFmt w:val="decimal"/>
      <w:lvlText w:val="%1.%2.%3.%4"/>
      <w:lvlJc w:val="left"/>
      <w:pPr>
        <w:ind w:left="864" w:hanging="864"/>
      </w:pPr>
      <w:rPr>
        <w:rFonts w:hint="default"/>
      </w:rPr>
    </w:lvl>
    <w:lvl w:ilvl="4">
      <w:start w:val="1"/>
      <w:numFmt w:val="decimal"/>
      <w:lvlText w:val="%1.A.2.%4"/>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5" w15:restartNumberingAfterBreak="0">
    <w:nsid w:val="63FE4FF7"/>
    <w:multiLevelType w:val="hybridMultilevel"/>
    <w:tmpl w:val="DE200F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15:restartNumberingAfterBreak="0">
    <w:nsid w:val="646A0FCF"/>
    <w:multiLevelType w:val="hybridMultilevel"/>
    <w:tmpl w:val="2A7668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64875DAB"/>
    <w:multiLevelType w:val="hybridMultilevel"/>
    <w:tmpl w:val="6A8CFC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cs="Times New Roman"/>
      </w:rPr>
    </w:lvl>
  </w:abstractNum>
  <w:abstractNum w:abstractNumId="89" w15:restartNumberingAfterBreak="0">
    <w:nsid w:val="680C5655"/>
    <w:multiLevelType w:val="multilevel"/>
    <w:tmpl w:val="60D0A0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0" w15:restartNumberingAfterBreak="0">
    <w:nsid w:val="680E1DB2"/>
    <w:multiLevelType w:val="hybridMultilevel"/>
    <w:tmpl w:val="DF0668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68794823"/>
    <w:multiLevelType w:val="hybridMultilevel"/>
    <w:tmpl w:val="469EA7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69523396"/>
    <w:multiLevelType w:val="hybridMultilevel"/>
    <w:tmpl w:val="9AB20A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6AD825F8"/>
    <w:multiLevelType w:val="multilevel"/>
    <w:tmpl w:val="A356B81C"/>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4" w15:restartNumberingAfterBreak="0">
    <w:nsid w:val="6C5B2851"/>
    <w:multiLevelType w:val="hybridMultilevel"/>
    <w:tmpl w:val="C3BA35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5" w15:restartNumberingAfterBreak="0">
    <w:nsid w:val="6D1A4167"/>
    <w:multiLevelType w:val="multilevel"/>
    <w:tmpl w:val="E7FC521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6" w15:restartNumberingAfterBreak="0">
    <w:nsid w:val="7003720F"/>
    <w:multiLevelType w:val="hybridMultilevel"/>
    <w:tmpl w:val="0BBA4B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71AE7B29"/>
    <w:multiLevelType w:val="multilevel"/>
    <w:tmpl w:val="6D3E42A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8" w15:restartNumberingAfterBreak="0">
    <w:nsid w:val="729871BF"/>
    <w:multiLevelType w:val="multilevel"/>
    <w:tmpl w:val="4078CD9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9" w15:restartNumberingAfterBreak="0">
    <w:nsid w:val="73833FDB"/>
    <w:multiLevelType w:val="multilevel"/>
    <w:tmpl w:val="DB502ACC"/>
    <w:styleLink w:val="Styl1"/>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B.%5.1"/>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0" w15:restartNumberingAfterBreak="0">
    <w:nsid w:val="744A7944"/>
    <w:multiLevelType w:val="hybridMultilevel"/>
    <w:tmpl w:val="0D6092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750341EB"/>
    <w:multiLevelType w:val="hybridMultilevel"/>
    <w:tmpl w:val="20467D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751C0887"/>
    <w:multiLevelType w:val="hybridMultilevel"/>
    <w:tmpl w:val="71FA22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15:restartNumberingAfterBreak="0">
    <w:nsid w:val="75A351D9"/>
    <w:multiLevelType w:val="multilevel"/>
    <w:tmpl w:val="93EC5F5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6"/>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4" w15:restartNumberingAfterBreak="0">
    <w:nsid w:val="76B015B5"/>
    <w:multiLevelType w:val="hybridMultilevel"/>
    <w:tmpl w:val="D834E31C"/>
    <w:lvl w:ilvl="0" w:tplc="04050011">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15:restartNumberingAfterBreak="0">
    <w:nsid w:val="76EF0867"/>
    <w:multiLevelType w:val="hybridMultilevel"/>
    <w:tmpl w:val="F8F46760"/>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15:restartNumberingAfterBreak="0">
    <w:nsid w:val="78B04E74"/>
    <w:multiLevelType w:val="hybridMultilevel"/>
    <w:tmpl w:val="57B40C9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7" w15:restartNumberingAfterBreak="0">
    <w:nsid w:val="78E11E05"/>
    <w:multiLevelType w:val="multilevel"/>
    <w:tmpl w:val="955692B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5"/>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8" w15:restartNumberingAfterBreak="0">
    <w:nsid w:val="79784929"/>
    <w:multiLevelType w:val="hybridMultilevel"/>
    <w:tmpl w:val="DB0C096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9" w15:restartNumberingAfterBreak="0">
    <w:nsid w:val="79D074D9"/>
    <w:multiLevelType w:val="hybridMultilevel"/>
    <w:tmpl w:val="EACC45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15:restartNumberingAfterBreak="0">
    <w:nsid w:val="7A642EA6"/>
    <w:multiLevelType w:val="hybridMultilevel"/>
    <w:tmpl w:val="F1AAD0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15:restartNumberingAfterBreak="0">
    <w:nsid w:val="7A684AE4"/>
    <w:multiLevelType w:val="hybridMultilevel"/>
    <w:tmpl w:val="8548C322"/>
    <w:lvl w:ilvl="0" w:tplc="9C969FC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2" w15:restartNumberingAfterBreak="0">
    <w:nsid w:val="7A8C0EDB"/>
    <w:multiLevelType w:val="multilevel"/>
    <w:tmpl w:val="63AE8D4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3" w15:restartNumberingAfterBreak="0">
    <w:nsid w:val="7B9C54AB"/>
    <w:multiLevelType w:val="multilevel"/>
    <w:tmpl w:val="9072E0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2"/>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4" w15:restartNumberingAfterBreak="0">
    <w:nsid w:val="7D587767"/>
    <w:multiLevelType w:val="hybridMultilevel"/>
    <w:tmpl w:val="0B505C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15:restartNumberingAfterBreak="0">
    <w:nsid w:val="7FE00DF2"/>
    <w:multiLevelType w:val="hybridMultilevel"/>
    <w:tmpl w:val="6792E65A"/>
    <w:lvl w:ilvl="0" w:tplc="7696D498">
      <w:start w:val="1"/>
      <w:numFmt w:val="upperRoman"/>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3"/>
  </w:num>
  <w:num w:numId="2">
    <w:abstractNumId w:val="74"/>
  </w:num>
  <w:num w:numId="3">
    <w:abstractNumId w:val="0"/>
  </w:num>
  <w:num w:numId="4">
    <w:abstractNumId w:val="110"/>
  </w:num>
  <w:num w:numId="5">
    <w:abstractNumId w:val="88"/>
  </w:num>
  <w:num w:numId="6">
    <w:abstractNumId w:val="53"/>
  </w:num>
  <w:num w:numId="7">
    <w:abstractNumId w:val="38"/>
  </w:num>
  <w:num w:numId="8">
    <w:abstractNumId w:val="6"/>
  </w:num>
  <w:num w:numId="9">
    <w:abstractNumId w:val="17"/>
  </w:num>
  <w:num w:numId="10">
    <w:abstractNumId w:val="75"/>
  </w:num>
  <w:num w:numId="11">
    <w:abstractNumId w:val="21"/>
  </w:num>
  <w:num w:numId="12">
    <w:abstractNumId w:val="84"/>
  </w:num>
  <w:num w:numId="13">
    <w:abstractNumId w:val="28"/>
  </w:num>
  <w:num w:numId="14">
    <w:abstractNumId w:val="99"/>
  </w:num>
  <w:num w:numId="15">
    <w:abstractNumId w:val="89"/>
  </w:num>
  <w:num w:numId="16">
    <w:abstractNumId w:val="93"/>
  </w:num>
  <w:num w:numId="17">
    <w:abstractNumId w:val="52"/>
  </w:num>
  <w:num w:numId="18">
    <w:abstractNumId w:val="79"/>
  </w:num>
  <w:num w:numId="19">
    <w:abstractNumId w:val="36"/>
  </w:num>
  <w:num w:numId="20">
    <w:abstractNumId w:val="20"/>
  </w:num>
  <w:num w:numId="21">
    <w:abstractNumId w:val="49"/>
  </w:num>
  <w:num w:numId="22">
    <w:abstractNumId w:val="77"/>
  </w:num>
  <w:num w:numId="23">
    <w:abstractNumId w:val="57"/>
  </w:num>
  <w:num w:numId="24">
    <w:abstractNumId w:val="4"/>
  </w:num>
  <w:num w:numId="25">
    <w:abstractNumId w:val="37"/>
  </w:num>
  <w:num w:numId="26">
    <w:abstractNumId w:val="30"/>
  </w:num>
  <w:num w:numId="27">
    <w:abstractNumId w:val="55"/>
  </w:num>
  <w:num w:numId="28">
    <w:abstractNumId w:val="91"/>
  </w:num>
  <w:num w:numId="29">
    <w:abstractNumId w:val="7"/>
  </w:num>
  <w:num w:numId="30">
    <w:abstractNumId w:val="76"/>
  </w:num>
  <w:num w:numId="31">
    <w:abstractNumId w:val="34"/>
  </w:num>
  <w:num w:numId="32">
    <w:abstractNumId w:val="106"/>
  </w:num>
  <w:num w:numId="33">
    <w:abstractNumId w:val="45"/>
  </w:num>
  <w:num w:numId="34">
    <w:abstractNumId w:val="108"/>
  </w:num>
  <w:num w:numId="35">
    <w:abstractNumId w:val="104"/>
  </w:num>
  <w:num w:numId="36">
    <w:abstractNumId w:val="81"/>
  </w:num>
  <w:num w:numId="37">
    <w:abstractNumId w:val="73"/>
  </w:num>
  <w:num w:numId="38">
    <w:abstractNumId w:val="2"/>
  </w:num>
  <w:num w:numId="39">
    <w:abstractNumId w:val="25"/>
  </w:num>
  <w:num w:numId="40">
    <w:abstractNumId w:val="83"/>
  </w:num>
  <w:num w:numId="41">
    <w:abstractNumId w:val="64"/>
  </w:num>
  <w:num w:numId="42">
    <w:abstractNumId w:val="3"/>
  </w:num>
  <w:num w:numId="43">
    <w:abstractNumId w:val="102"/>
  </w:num>
  <w:num w:numId="44">
    <w:abstractNumId w:val="54"/>
  </w:num>
  <w:num w:numId="45">
    <w:abstractNumId w:val="23"/>
  </w:num>
  <w:num w:numId="46">
    <w:abstractNumId w:val="109"/>
  </w:num>
  <w:num w:numId="47">
    <w:abstractNumId w:val="50"/>
  </w:num>
  <w:num w:numId="48">
    <w:abstractNumId w:val="15"/>
  </w:num>
  <w:num w:numId="49">
    <w:abstractNumId w:val="61"/>
  </w:num>
  <w:num w:numId="50">
    <w:abstractNumId w:val="63"/>
  </w:num>
  <w:num w:numId="51">
    <w:abstractNumId w:val="101"/>
  </w:num>
  <w:num w:numId="52">
    <w:abstractNumId w:val="46"/>
  </w:num>
  <w:num w:numId="53">
    <w:abstractNumId w:val="35"/>
  </w:num>
  <w:num w:numId="54">
    <w:abstractNumId w:val="41"/>
  </w:num>
  <w:num w:numId="55">
    <w:abstractNumId w:val="90"/>
  </w:num>
  <w:num w:numId="56">
    <w:abstractNumId w:val="5"/>
  </w:num>
  <w:num w:numId="57">
    <w:abstractNumId w:val="87"/>
  </w:num>
  <w:num w:numId="58">
    <w:abstractNumId w:val="44"/>
  </w:num>
  <w:num w:numId="59">
    <w:abstractNumId w:val="60"/>
  </w:num>
  <w:num w:numId="60">
    <w:abstractNumId w:val="62"/>
  </w:num>
  <w:num w:numId="61">
    <w:abstractNumId w:val="51"/>
  </w:num>
  <w:num w:numId="62">
    <w:abstractNumId w:val="113"/>
  </w:num>
  <w:num w:numId="63">
    <w:abstractNumId w:val="97"/>
  </w:num>
  <w:num w:numId="64">
    <w:abstractNumId w:val="29"/>
  </w:num>
  <w:num w:numId="65">
    <w:abstractNumId w:val="24"/>
  </w:num>
  <w:num w:numId="66">
    <w:abstractNumId w:val="95"/>
  </w:num>
  <w:num w:numId="67">
    <w:abstractNumId w:val="56"/>
  </w:num>
  <w:num w:numId="68">
    <w:abstractNumId w:val="112"/>
  </w:num>
  <w:num w:numId="69">
    <w:abstractNumId w:val="10"/>
  </w:num>
  <w:num w:numId="70">
    <w:abstractNumId w:val="98"/>
  </w:num>
  <w:num w:numId="71">
    <w:abstractNumId w:val="78"/>
  </w:num>
  <w:num w:numId="72">
    <w:abstractNumId w:val="11"/>
  </w:num>
  <w:num w:numId="73">
    <w:abstractNumId w:val="85"/>
  </w:num>
  <w:num w:numId="74">
    <w:abstractNumId w:val="13"/>
  </w:num>
  <w:num w:numId="75">
    <w:abstractNumId w:val="115"/>
  </w:num>
  <w:num w:numId="76">
    <w:abstractNumId w:val="100"/>
  </w:num>
  <w:num w:numId="77">
    <w:abstractNumId w:val="69"/>
  </w:num>
  <w:num w:numId="78">
    <w:abstractNumId w:val="71"/>
  </w:num>
  <w:num w:numId="79">
    <w:abstractNumId w:val="94"/>
  </w:num>
  <w:num w:numId="80">
    <w:abstractNumId w:val="43"/>
  </w:num>
  <w:num w:numId="81">
    <w:abstractNumId w:val="22"/>
  </w:num>
  <w:num w:numId="82">
    <w:abstractNumId w:val="14"/>
  </w:num>
  <w:num w:numId="83">
    <w:abstractNumId w:val="58"/>
  </w:num>
  <w:num w:numId="84">
    <w:abstractNumId w:val="114"/>
  </w:num>
  <w:num w:numId="85">
    <w:abstractNumId w:val="86"/>
  </w:num>
  <w:num w:numId="86">
    <w:abstractNumId w:val="12"/>
  </w:num>
  <w:num w:numId="87">
    <w:abstractNumId w:val="70"/>
  </w:num>
  <w:num w:numId="88">
    <w:abstractNumId w:val="59"/>
  </w:num>
  <w:num w:numId="89">
    <w:abstractNumId w:val="82"/>
  </w:num>
  <w:num w:numId="90">
    <w:abstractNumId w:val="47"/>
  </w:num>
  <w:num w:numId="91">
    <w:abstractNumId w:val="65"/>
  </w:num>
  <w:num w:numId="92">
    <w:abstractNumId w:val="67"/>
  </w:num>
  <w:num w:numId="93">
    <w:abstractNumId w:val="80"/>
  </w:num>
  <w:num w:numId="94">
    <w:abstractNumId w:val="9"/>
  </w:num>
  <w:num w:numId="95">
    <w:abstractNumId w:val="105"/>
  </w:num>
  <w:num w:numId="96">
    <w:abstractNumId w:val="27"/>
  </w:num>
  <w:num w:numId="97">
    <w:abstractNumId w:val="96"/>
  </w:num>
  <w:num w:numId="98">
    <w:abstractNumId w:val="19"/>
  </w:num>
  <w:num w:numId="99">
    <w:abstractNumId w:val="92"/>
  </w:num>
  <w:num w:numId="100">
    <w:abstractNumId w:val="68"/>
  </w:num>
  <w:num w:numId="101">
    <w:abstractNumId w:val="42"/>
  </w:num>
  <w:num w:numId="102">
    <w:abstractNumId w:val="8"/>
  </w:num>
  <w:num w:numId="103">
    <w:abstractNumId w:val="48"/>
  </w:num>
  <w:num w:numId="10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
  </w:num>
  <w:num w:numId="123">
    <w:abstractNumId w:val="72"/>
  </w:num>
  <w:num w:numId="124">
    <w:abstractNumId w:val="111"/>
  </w:num>
  <w:num w:numId="125">
    <w:abstractNumId w:val="18"/>
  </w:num>
  <w:num w:numId="126">
    <w:abstractNumId w:val="26"/>
  </w:num>
  <w:num w:numId="127">
    <w:abstractNumId w:val="40"/>
  </w:num>
  <w:num w:numId="128">
    <w:abstractNumId w:val="107"/>
  </w:num>
  <w:num w:numId="129">
    <w:abstractNumId w:val="1"/>
  </w:num>
  <w:num w:numId="130">
    <w:abstractNumId w:val="39"/>
  </w:num>
  <w:num w:numId="131">
    <w:abstractNumId w:val="103"/>
  </w:num>
  <w:num w:numId="132">
    <w:abstractNumId w:val="31"/>
  </w:num>
  <w:num w:numId="133">
    <w:abstractNumId w:val="32"/>
  </w:num>
  <w:num w:numId="134">
    <w:abstractNumId w:val="66"/>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isplayBackgroundShape/>
  <w:hideGrammaticalErrors/>
  <w:trackRevisions/>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D6A"/>
    <w:rsid w:val="0000126A"/>
    <w:rsid w:val="00001B77"/>
    <w:rsid w:val="00001B83"/>
    <w:rsid w:val="00001CCB"/>
    <w:rsid w:val="00002031"/>
    <w:rsid w:val="00002278"/>
    <w:rsid w:val="000022FB"/>
    <w:rsid w:val="000023FB"/>
    <w:rsid w:val="000024F7"/>
    <w:rsid w:val="00002F3E"/>
    <w:rsid w:val="0000319F"/>
    <w:rsid w:val="0000352F"/>
    <w:rsid w:val="00003615"/>
    <w:rsid w:val="00003E04"/>
    <w:rsid w:val="00003F40"/>
    <w:rsid w:val="0000407E"/>
    <w:rsid w:val="000043B4"/>
    <w:rsid w:val="000045C5"/>
    <w:rsid w:val="00004B11"/>
    <w:rsid w:val="00004BD4"/>
    <w:rsid w:val="00004CEF"/>
    <w:rsid w:val="00005B5A"/>
    <w:rsid w:val="00006015"/>
    <w:rsid w:val="000063DD"/>
    <w:rsid w:val="0000679D"/>
    <w:rsid w:val="00006AD5"/>
    <w:rsid w:val="0000733C"/>
    <w:rsid w:val="000075B7"/>
    <w:rsid w:val="00007987"/>
    <w:rsid w:val="00007BC1"/>
    <w:rsid w:val="00007D50"/>
    <w:rsid w:val="00011EE8"/>
    <w:rsid w:val="000123E0"/>
    <w:rsid w:val="000124DB"/>
    <w:rsid w:val="00012F9F"/>
    <w:rsid w:val="00014F0D"/>
    <w:rsid w:val="00014FFD"/>
    <w:rsid w:val="00015039"/>
    <w:rsid w:val="000154E7"/>
    <w:rsid w:val="000155D3"/>
    <w:rsid w:val="000155F5"/>
    <w:rsid w:val="00015717"/>
    <w:rsid w:val="0001583E"/>
    <w:rsid w:val="00015AFA"/>
    <w:rsid w:val="000162CE"/>
    <w:rsid w:val="000163B1"/>
    <w:rsid w:val="00016480"/>
    <w:rsid w:val="0001714A"/>
    <w:rsid w:val="00017522"/>
    <w:rsid w:val="00017692"/>
    <w:rsid w:val="00017891"/>
    <w:rsid w:val="00017D76"/>
    <w:rsid w:val="0002004E"/>
    <w:rsid w:val="00020185"/>
    <w:rsid w:val="000201D0"/>
    <w:rsid w:val="0002026F"/>
    <w:rsid w:val="00020BD2"/>
    <w:rsid w:val="000210E5"/>
    <w:rsid w:val="00021295"/>
    <w:rsid w:val="00021736"/>
    <w:rsid w:val="00021A50"/>
    <w:rsid w:val="000220B9"/>
    <w:rsid w:val="0002217B"/>
    <w:rsid w:val="000221D9"/>
    <w:rsid w:val="00022228"/>
    <w:rsid w:val="0002282F"/>
    <w:rsid w:val="00022856"/>
    <w:rsid w:val="00022D48"/>
    <w:rsid w:val="0002304E"/>
    <w:rsid w:val="00023054"/>
    <w:rsid w:val="000239E7"/>
    <w:rsid w:val="00024687"/>
    <w:rsid w:val="000246E7"/>
    <w:rsid w:val="00024756"/>
    <w:rsid w:val="00024A9F"/>
    <w:rsid w:val="00024C51"/>
    <w:rsid w:val="00024E53"/>
    <w:rsid w:val="00025DD4"/>
    <w:rsid w:val="00025F9C"/>
    <w:rsid w:val="0002617B"/>
    <w:rsid w:val="000265A3"/>
    <w:rsid w:val="00026B1C"/>
    <w:rsid w:val="00026B72"/>
    <w:rsid w:val="00026C63"/>
    <w:rsid w:val="00027768"/>
    <w:rsid w:val="00027C34"/>
    <w:rsid w:val="000305E7"/>
    <w:rsid w:val="000305FB"/>
    <w:rsid w:val="00030CAB"/>
    <w:rsid w:val="00031ABA"/>
    <w:rsid w:val="00032047"/>
    <w:rsid w:val="00032697"/>
    <w:rsid w:val="000343A0"/>
    <w:rsid w:val="00034EA7"/>
    <w:rsid w:val="0003571F"/>
    <w:rsid w:val="00035BDD"/>
    <w:rsid w:val="00036843"/>
    <w:rsid w:val="00036F2B"/>
    <w:rsid w:val="00037221"/>
    <w:rsid w:val="000373F5"/>
    <w:rsid w:val="000374FF"/>
    <w:rsid w:val="00037695"/>
    <w:rsid w:val="000377D7"/>
    <w:rsid w:val="00037A49"/>
    <w:rsid w:val="00037BFE"/>
    <w:rsid w:val="00040122"/>
    <w:rsid w:val="00040910"/>
    <w:rsid w:val="00040D22"/>
    <w:rsid w:val="0004155F"/>
    <w:rsid w:val="0004197D"/>
    <w:rsid w:val="0004199E"/>
    <w:rsid w:val="0004333B"/>
    <w:rsid w:val="00043343"/>
    <w:rsid w:val="000435CB"/>
    <w:rsid w:val="00043818"/>
    <w:rsid w:val="0004418E"/>
    <w:rsid w:val="00044470"/>
    <w:rsid w:val="0004496A"/>
    <w:rsid w:val="00045164"/>
    <w:rsid w:val="0004568E"/>
    <w:rsid w:val="0004681B"/>
    <w:rsid w:val="00046D4B"/>
    <w:rsid w:val="00046F11"/>
    <w:rsid w:val="00047389"/>
    <w:rsid w:val="00047773"/>
    <w:rsid w:val="00047AD7"/>
    <w:rsid w:val="00047CEE"/>
    <w:rsid w:val="00047CFA"/>
    <w:rsid w:val="00047EF5"/>
    <w:rsid w:val="000506D1"/>
    <w:rsid w:val="000508E1"/>
    <w:rsid w:val="00050A91"/>
    <w:rsid w:val="00050E1B"/>
    <w:rsid w:val="000512B5"/>
    <w:rsid w:val="00051B77"/>
    <w:rsid w:val="000521C7"/>
    <w:rsid w:val="0005230A"/>
    <w:rsid w:val="00052713"/>
    <w:rsid w:val="000529F1"/>
    <w:rsid w:val="000534DA"/>
    <w:rsid w:val="0005361C"/>
    <w:rsid w:val="0005408E"/>
    <w:rsid w:val="00054159"/>
    <w:rsid w:val="00054C4A"/>
    <w:rsid w:val="00055143"/>
    <w:rsid w:val="000554D1"/>
    <w:rsid w:val="000558FE"/>
    <w:rsid w:val="00055AD8"/>
    <w:rsid w:val="00055EAE"/>
    <w:rsid w:val="000561F7"/>
    <w:rsid w:val="00056D4E"/>
    <w:rsid w:val="00056DBD"/>
    <w:rsid w:val="00057203"/>
    <w:rsid w:val="0005724B"/>
    <w:rsid w:val="0005731D"/>
    <w:rsid w:val="0005757C"/>
    <w:rsid w:val="00057840"/>
    <w:rsid w:val="00057987"/>
    <w:rsid w:val="000603C7"/>
    <w:rsid w:val="00060CF3"/>
    <w:rsid w:val="0006102D"/>
    <w:rsid w:val="000610C4"/>
    <w:rsid w:val="00061251"/>
    <w:rsid w:val="000620DB"/>
    <w:rsid w:val="00062403"/>
    <w:rsid w:val="00062C8D"/>
    <w:rsid w:val="00062F25"/>
    <w:rsid w:val="00063487"/>
    <w:rsid w:val="000634EB"/>
    <w:rsid w:val="00063F06"/>
    <w:rsid w:val="000646C0"/>
    <w:rsid w:val="000646CF"/>
    <w:rsid w:val="00064717"/>
    <w:rsid w:val="00064816"/>
    <w:rsid w:val="00064C48"/>
    <w:rsid w:val="0006505D"/>
    <w:rsid w:val="00065476"/>
    <w:rsid w:val="000657E8"/>
    <w:rsid w:val="00065A87"/>
    <w:rsid w:val="00066396"/>
    <w:rsid w:val="00066E6B"/>
    <w:rsid w:val="00066FAA"/>
    <w:rsid w:val="000672B4"/>
    <w:rsid w:val="00067702"/>
    <w:rsid w:val="000677D5"/>
    <w:rsid w:val="00067982"/>
    <w:rsid w:val="00067B17"/>
    <w:rsid w:val="00067BAC"/>
    <w:rsid w:val="00067FC5"/>
    <w:rsid w:val="000702FD"/>
    <w:rsid w:val="000704CD"/>
    <w:rsid w:val="000704E9"/>
    <w:rsid w:val="0007086E"/>
    <w:rsid w:val="00070AC6"/>
    <w:rsid w:val="00070ADC"/>
    <w:rsid w:val="00070B86"/>
    <w:rsid w:val="00070EE7"/>
    <w:rsid w:val="0007115B"/>
    <w:rsid w:val="0007268F"/>
    <w:rsid w:val="00072816"/>
    <w:rsid w:val="00072934"/>
    <w:rsid w:val="00072C64"/>
    <w:rsid w:val="000733A8"/>
    <w:rsid w:val="00073A01"/>
    <w:rsid w:val="00073FF7"/>
    <w:rsid w:val="0007453C"/>
    <w:rsid w:val="000749B1"/>
    <w:rsid w:val="00075073"/>
    <w:rsid w:val="0007513C"/>
    <w:rsid w:val="0007562B"/>
    <w:rsid w:val="000757E9"/>
    <w:rsid w:val="000758EC"/>
    <w:rsid w:val="00075D3F"/>
    <w:rsid w:val="00075EFA"/>
    <w:rsid w:val="00076001"/>
    <w:rsid w:val="00076A2E"/>
    <w:rsid w:val="00076B84"/>
    <w:rsid w:val="00076B8A"/>
    <w:rsid w:val="00076DD3"/>
    <w:rsid w:val="00076EC0"/>
    <w:rsid w:val="00077249"/>
    <w:rsid w:val="00080743"/>
    <w:rsid w:val="00080B8E"/>
    <w:rsid w:val="00080C36"/>
    <w:rsid w:val="00080D6C"/>
    <w:rsid w:val="00081051"/>
    <w:rsid w:val="0008119B"/>
    <w:rsid w:val="000816D8"/>
    <w:rsid w:val="000817E2"/>
    <w:rsid w:val="00081A31"/>
    <w:rsid w:val="00081C0D"/>
    <w:rsid w:val="00081C97"/>
    <w:rsid w:val="0008205E"/>
    <w:rsid w:val="000820AA"/>
    <w:rsid w:val="00082BCC"/>
    <w:rsid w:val="0008303A"/>
    <w:rsid w:val="000835C2"/>
    <w:rsid w:val="00083BD0"/>
    <w:rsid w:val="00084401"/>
    <w:rsid w:val="000844DE"/>
    <w:rsid w:val="00084B33"/>
    <w:rsid w:val="00084ED8"/>
    <w:rsid w:val="00085D12"/>
    <w:rsid w:val="00085F13"/>
    <w:rsid w:val="00086437"/>
    <w:rsid w:val="0008678F"/>
    <w:rsid w:val="0008693C"/>
    <w:rsid w:val="00086CE2"/>
    <w:rsid w:val="000876CC"/>
    <w:rsid w:val="00087CE7"/>
    <w:rsid w:val="00090786"/>
    <w:rsid w:val="0009134D"/>
    <w:rsid w:val="000917BA"/>
    <w:rsid w:val="00091860"/>
    <w:rsid w:val="00091C87"/>
    <w:rsid w:val="00092326"/>
    <w:rsid w:val="00093116"/>
    <w:rsid w:val="00093576"/>
    <w:rsid w:val="000946E5"/>
    <w:rsid w:val="00094846"/>
    <w:rsid w:val="000948E6"/>
    <w:rsid w:val="00095133"/>
    <w:rsid w:val="0009521C"/>
    <w:rsid w:val="00095B63"/>
    <w:rsid w:val="000961BF"/>
    <w:rsid w:val="000966EC"/>
    <w:rsid w:val="00096AA0"/>
    <w:rsid w:val="00096C52"/>
    <w:rsid w:val="000978F9"/>
    <w:rsid w:val="000979A5"/>
    <w:rsid w:val="00097C27"/>
    <w:rsid w:val="00097D48"/>
    <w:rsid w:val="00097DAB"/>
    <w:rsid w:val="000A02E8"/>
    <w:rsid w:val="000A073D"/>
    <w:rsid w:val="000A08C6"/>
    <w:rsid w:val="000A09AB"/>
    <w:rsid w:val="000A0ABC"/>
    <w:rsid w:val="000A143B"/>
    <w:rsid w:val="000A1CC0"/>
    <w:rsid w:val="000A2034"/>
    <w:rsid w:val="000A2CE5"/>
    <w:rsid w:val="000A2EB4"/>
    <w:rsid w:val="000A3436"/>
    <w:rsid w:val="000A3524"/>
    <w:rsid w:val="000A375D"/>
    <w:rsid w:val="000A3C70"/>
    <w:rsid w:val="000A3D0F"/>
    <w:rsid w:val="000A405A"/>
    <w:rsid w:val="000A44AF"/>
    <w:rsid w:val="000A54B7"/>
    <w:rsid w:val="000A667D"/>
    <w:rsid w:val="000A67A8"/>
    <w:rsid w:val="000A6AA7"/>
    <w:rsid w:val="000A72AA"/>
    <w:rsid w:val="000A7F81"/>
    <w:rsid w:val="000B0FE7"/>
    <w:rsid w:val="000B104A"/>
    <w:rsid w:val="000B12B7"/>
    <w:rsid w:val="000B1647"/>
    <w:rsid w:val="000B16DC"/>
    <w:rsid w:val="000B1709"/>
    <w:rsid w:val="000B181D"/>
    <w:rsid w:val="000B1CBB"/>
    <w:rsid w:val="000B20CD"/>
    <w:rsid w:val="000B2315"/>
    <w:rsid w:val="000B2527"/>
    <w:rsid w:val="000B2B3F"/>
    <w:rsid w:val="000B2C1F"/>
    <w:rsid w:val="000B2F79"/>
    <w:rsid w:val="000B2FC9"/>
    <w:rsid w:val="000B34E4"/>
    <w:rsid w:val="000B426C"/>
    <w:rsid w:val="000B47C0"/>
    <w:rsid w:val="000B48D3"/>
    <w:rsid w:val="000B4A51"/>
    <w:rsid w:val="000B4ABE"/>
    <w:rsid w:val="000B53DB"/>
    <w:rsid w:val="000B5A68"/>
    <w:rsid w:val="000B5A8D"/>
    <w:rsid w:val="000B5AFD"/>
    <w:rsid w:val="000B6107"/>
    <w:rsid w:val="000B63A4"/>
    <w:rsid w:val="000B73E1"/>
    <w:rsid w:val="000B7605"/>
    <w:rsid w:val="000B7670"/>
    <w:rsid w:val="000C080E"/>
    <w:rsid w:val="000C0C35"/>
    <w:rsid w:val="000C1224"/>
    <w:rsid w:val="000C182F"/>
    <w:rsid w:val="000C1859"/>
    <w:rsid w:val="000C19F4"/>
    <w:rsid w:val="000C1B34"/>
    <w:rsid w:val="000C1DA2"/>
    <w:rsid w:val="000C1E8A"/>
    <w:rsid w:val="000C301C"/>
    <w:rsid w:val="000C3371"/>
    <w:rsid w:val="000C37B9"/>
    <w:rsid w:val="000C3F14"/>
    <w:rsid w:val="000C444D"/>
    <w:rsid w:val="000C44FC"/>
    <w:rsid w:val="000C45D5"/>
    <w:rsid w:val="000C4C8E"/>
    <w:rsid w:val="000C5A23"/>
    <w:rsid w:val="000C5A5B"/>
    <w:rsid w:val="000C5A8D"/>
    <w:rsid w:val="000C5CD5"/>
    <w:rsid w:val="000C6224"/>
    <w:rsid w:val="000C6576"/>
    <w:rsid w:val="000C6BEF"/>
    <w:rsid w:val="000C6C38"/>
    <w:rsid w:val="000C6CF5"/>
    <w:rsid w:val="000C6E9C"/>
    <w:rsid w:val="000C6EF2"/>
    <w:rsid w:val="000C759B"/>
    <w:rsid w:val="000C75DD"/>
    <w:rsid w:val="000C79FC"/>
    <w:rsid w:val="000C7B9A"/>
    <w:rsid w:val="000C7DEA"/>
    <w:rsid w:val="000C7DFC"/>
    <w:rsid w:val="000C7ED1"/>
    <w:rsid w:val="000D07F6"/>
    <w:rsid w:val="000D11AD"/>
    <w:rsid w:val="000D1307"/>
    <w:rsid w:val="000D138F"/>
    <w:rsid w:val="000D1505"/>
    <w:rsid w:val="000D1668"/>
    <w:rsid w:val="000D1F5D"/>
    <w:rsid w:val="000D201D"/>
    <w:rsid w:val="000D28F9"/>
    <w:rsid w:val="000D2E9F"/>
    <w:rsid w:val="000D30CB"/>
    <w:rsid w:val="000D45A3"/>
    <w:rsid w:val="000D4CE0"/>
    <w:rsid w:val="000D4D60"/>
    <w:rsid w:val="000D4E8C"/>
    <w:rsid w:val="000D542C"/>
    <w:rsid w:val="000D5493"/>
    <w:rsid w:val="000D5649"/>
    <w:rsid w:val="000D5686"/>
    <w:rsid w:val="000D5D46"/>
    <w:rsid w:val="000D6113"/>
    <w:rsid w:val="000D6224"/>
    <w:rsid w:val="000D6F78"/>
    <w:rsid w:val="000D70DC"/>
    <w:rsid w:val="000D7209"/>
    <w:rsid w:val="000D738D"/>
    <w:rsid w:val="000D74C5"/>
    <w:rsid w:val="000E015D"/>
    <w:rsid w:val="000E0629"/>
    <w:rsid w:val="000E0E9B"/>
    <w:rsid w:val="000E0F9B"/>
    <w:rsid w:val="000E1211"/>
    <w:rsid w:val="000E1824"/>
    <w:rsid w:val="000E1A9C"/>
    <w:rsid w:val="000E22AD"/>
    <w:rsid w:val="000E27D9"/>
    <w:rsid w:val="000E2818"/>
    <w:rsid w:val="000E2AD0"/>
    <w:rsid w:val="000E346C"/>
    <w:rsid w:val="000E34B1"/>
    <w:rsid w:val="000E35F2"/>
    <w:rsid w:val="000E3FBB"/>
    <w:rsid w:val="000E42C6"/>
    <w:rsid w:val="000E47D9"/>
    <w:rsid w:val="000E4FD0"/>
    <w:rsid w:val="000E5BB7"/>
    <w:rsid w:val="000E5CD5"/>
    <w:rsid w:val="000E5EB4"/>
    <w:rsid w:val="000E634D"/>
    <w:rsid w:val="000E6955"/>
    <w:rsid w:val="000E6B68"/>
    <w:rsid w:val="000E6C1E"/>
    <w:rsid w:val="000E6D8B"/>
    <w:rsid w:val="000E6E04"/>
    <w:rsid w:val="000E6F0A"/>
    <w:rsid w:val="000E72CD"/>
    <w:rsid w:val="000E79E7"/>
    <w:rsid w:val="000E7F90"/>
    <w:rsid w:val="000E7FBB"/>
    <w:rsid w:val="000F04A4"/>
    <w:rsid w:val="000F10C4"/>
    <w:rsid w:val="000F17C5"/>
    <w:rsid w:val="000F1DFD"/>
    <w:rsid w:val="000F239F"/>
    <w:rsid w:val="000F24E4"/>
    <w:rsid w:val="000F25D1"/>
    <w:rsid w:val="000F27C1"/>
    <w:rsid w:val="000F2A5B"/>
    <w:rsid w:val="000F2C45"/>
    <w:rsid w:val="000F32C8"/>
    <w:rsid w:val="000F374B"/>
    <w:rsid w:val="000F38A4"/>
    <w:rsid w:val="000F3A2E"/>
    <w:rsid w:val="000F3ADD"/>
    <w:rsid w:val="000F423E"/>
    <w:rsid w:val="000F4B86"/>
    <w:rsid w:val="000F4D05"/>
    <w:rsid w:val="000F4D69"/>
    <w:rsid w:val="000F4F4C"/>
    <w:rsid w:val="000F5C52"/>
    <w:rsid w:val="000F6567"/>
    <w:rsid w:val="000F66F5"/>
    <w:rsid w:val="000F754C"/>
    <w:rsid w:val="000F7680"/>
    <w:rsid w:val="000F778E"/>
    <w:rsid w:val="000F7A57"/>
    <w:rsid w:val="000F7B0A"/>
    <w:rsid w:val="00100005"/>
    <w:rsid w:val="00100C90"/>
    <w:rsid w:val="00100E48"/>
    <w:rsid w:val="00100E54"/>
    <w:rsid w:val="0010102C"/>
    <w:rsid w:val="001011C8"/>
    <w:rsid w:val="001011D6"/>
    <w:rsid w:val="00101594"/>
    <w:rsid w:val="00101C09"/>
    <w:rsid w:val="00101D0A"/>
    <w:rsid w:val="00101D4E"/>
    <w:rsid w:val="00101DBB"/>
    <w:rsid w:val="0010210A"/>
    <w:rsid w:val="00102336"/>
    <w:rsid w:val="001023BC"/>
    <w:rsid w:val="001028DE"/>
    <w:rsid w:val="0010295B"/>
    <w:rsid w:val="001034C1"/>
    <w:rsid w:val="00104286"/>
    <w:rsid w:val="001049C5"/>
    <w:rsid w:val="00104BB5"/>
    <w:rsid w:val="00104C0C"/>
    <w:rsid w:val="00104D86"/>
    <w:rsid w:val="001059FF"/>
    <w:rsid w:val="00105F19"/>
    <w:rsid w:val="001062D3"/>
    <w:rsid w:val="00106CD2"/>
    <w:rsid w:val="00106DA7"/>
    <w:rsid w:val="00106E12"/>
    <w:rsid w:val="00107255"/>
    <w:rsid w:val="001102B3"/>
    <w:rsid w:val="00110890"/>
    <w:rsid w:val="00110D95"/>
    <w:rsid w:val="00111415"/>
    <w:rsid w:val="001118FB"/>
    <w:rsid w:val="001122AC"/>
    <w:rsid w:val="00112C3A"/>
    <w:rsid w:val="00112D3A"/>
    <w:rsid w:val="00113025"/>
    <w:rsid w:val="00113861"/>
    <w:rsid w:val="00113E40"/>
    <w:rsid w:val="00113F8F"/>
    <w:rsid w:val="00114021"/>
    <w:rsid w:val="00114156"/>
    <w:rsid w:val="00115568"/>
    <w:rsid w:val="0011565A"/>
    <w:rsid w:val="00115A81"/>
    <w:rsid w:val="00116A3E"/>
    <w:rsid w:val="001174FF"/>
    <w:rsid w:val="0011760E"/>
    <w:rsid w:val="00117847"/>
    <w:rsid w:val="0012001C"/>
    <w:rsid w:val="00120476"/>
    <w:rsid w:val="00120489"/>
    <w:rsid w:val="00120744"/>
    <w:rsid w:val="00120AA3"/>
    <w:rsid w:val="00120BBD"/>
    <w:rsid w:val="00120EC2"/>
    <w:rsid w:val="00121309"/>
    <w:rsid w:val="0012167C"/>
    <w:rsid w:val="00121E41"/>
    <w:rsid w:val="00122D80"/>
    <w:rsid w:val="00122F44"/>
    <w:rsid w:val="001231B7"/>
    <w:rsid w:val="001234B6"/>
    <w:rsid w:val="0012396B"/>
    <w:rsid w:val="00123FFA"/>
    <w:rsid w:val="00124401"/>
    <w:rsid w:val="0012443D"/>
    <w:rsid w:val="001245C0"/>
    <w:rsid w:val="001245E3"/>
    <w:rsid w:val="001246F3"/>
    <w:rsid w:val="00124EA5"/>
    <w:rsid w:val="00125ED9"/>
    <w:rsid w:val="00126408"/>
    <w:rsid w:val="001268AD"/>
    <w:rsid w:val="00126942"/>
    <w:rsid w:val="001269C3"/>
    <w:rsid w:val="00127237"/>
    <w:rsid w:val="00127389"/>
    <w:rsid w:val="00127537"/>
    <w:rsid w:val="00127560"/>
    <w:rsid w:val="00130002"/>
    <w:rsid w:val="00130027"/>
    <w:rsid w:val="001305B4"/>
    <w:rsid w:val="00130AA3"/>
    <w:rsid w:val="00130CEA"/>
    <w:rsid w:val="001315A2"/>
    <w:rsid w:val="0013174D"/>
    <w:rsid w:val="00131FD8"/>
    <w:rsid w:val="001328A4"/>
    <w:rsid w:val="00132E15"/>
    <w:rsid w:val="0013369E"/>
    <w:rsid w:val="001337BB"/>
    <w:rsid w:val="00133DC7"/>
    <w:rsid w:val="00134015"/>
    <w:rsid w:val="001341FC"/>
    <w:rsid w:val="0013430E"/>
    <w:rsid w:val="001346EF"/>
    <w:rsid w:val="00134C91"/>
    <w:rsid w:val="00134EEA"/>
    <w:rsid w:val="001366EB"/>
    <w:rsid w:val="00136D1D"/>
    <w:rsid w:val="0013744F"/>
    <w:rsid w:val="00137E93"/>
    <w:rsid w:val="00137ED7"/>
    <w:rsid w:val="00140845"/>
    <w:rsid w:val="001413CE"/>
    <w:rsid w:val="00141410"/>
    <w:rsid w:val="001416DD"/>
    <w:rsid w:val="00141981"/>
    <w:rsid w:val="001419C6"/>
    <w:rsid w:val="00141D6D"/>
    <w:rsid w:val="00142414"/>
    <w:rsid w:val="00142A82"/>
    <w:rsid w:val="00142C11"/>
    <w:rsid w:val="001437DD"/>
    <w:rsid w:val="001440BC"/>
    <w:rsid w:val="00144E13"/>
    <w:rsid w:val="0014564F"/>
    <w:rsid w:val="001461C1"/>
    <w:rsid w:val="001461F3"/>
    <w:rsid w:val="001465DB"/>
    <w:rsid w:val="00146977"/>
    <w:rsid w:val="00146DC1"/>
    <w:rsid w:val="00146E3D"/>
    <w:rsid w:val="00147D28"/>
    <w:rsid w:val="00147EE2"/>
    <w:rsid w:val="00150199"/>
    <w:rsid w:val="00150310"/>
    <w:rsid w:val="00150B70"/>
    <w:rsid w:val="00151666"/>
    <w:rsid w:val="0015170B"/>
    <w:rsid w:val="00151831"/>
    <w:rsid w:val="001518AF"/>
    <w:rsid w:val="00152841"/>
    <w:rsid w:val="0015299B"/>
    <w:rsid w:val="00152A0D"/>
    <w:rsid w:val="00152FBD"/>
    <w:rsid w:val="00153021"/>
    <w:rsid w:val="00153492"/>
    <w:rsid w:val="00153975"/>
    <w:rsid w:val="00153E93"/>
    <w:rsid w:val="00153F2D"/>
    <w:rsid w:val="00153F63"/>
    <w:rsid w:val="0015444C"/>
    <w:rsid w:val="00154A8F"/>
    <w:rsid w:val="0015513D"/>
    <w:rsid w:val="00155505"/>
    <w:rsid w:val="0015560B"/>
    <w:rsid w:val="00155981"/>
    <w:rsid w:val="00155C63"/>
    <w:rsid w:val="00155F36"/>
    <w:rsid w:val="001560D3"/>
    <w:rsid w:val="0015648D"/>
    <w:rsid w:val="0015657B"/>
    <w:rsid w:val="00156EE9"/>
    <w:rsid w:val="001571F0"/>
    <w:rsid w:val="0015733D"/>
    <w:rsid w:val="00157629"/>
    <w:rsid w:val="00157906"/>
    <w:rsid w:val="00157951"/>
    <w:rsid w:val="00157ABA"/>
    <w:rsid w:val="00157DC6"/>
    <w:rsid w:val="001600FB"/>
    <w:rsid w:val="0016073A"/>
    <w:rsid w:val="00160E34"/>
    <w:rsid w:val="00160E8B"/>
    <w:rsid w:val="001610AF"/>
    <w:rsid w:val="00161EFA"/>
    <w:rsid w:val="0016271E"/>
    <w:rsid w:val="001636E5"/>
    <w:rsid w:val="00163F12"/>
    <w:rsid w:val="00164320"/>
    <w:rsid w:val="0016443B"/>
    <w:rsid w:val="001648B3"/>
    <w:rsid w:val="00164AF0"/>
    <w:rsid w:val="00165003"/>
    <w:rsid w:val="001652D9"/>
    <w:rsid w:val="0016532E"/>
    <w:rsid w:val="001653A7"/>
    <w:rsid w:val="00165558"/>
    <w:rsid w:val="00165B3C"/>
    <w:rsid w:val="00165E6D"/>
    <w:rsid w:val="0016601A"/>
    <w:rsid w:val="00166264"/>
    <w:rsid w:val="0016639B"/>
    <w:rsid w:val="00166446"/>
    <w:rsid w:val="0016670E"/>
    <w:rsid w:val="001668E3"/>
    <w:rsid w:val="001669BE"/>
    <w:rsid w:val="00166CC2"/>
    <w:rsid w:val="00167303"/>
    <w:rsid w:val="00170A59"/>
    <w:rsid w:val="00170BBA"/>
    <w:rsid w:val="00170DAF"/>
    <w:rsid w:val="00171578"/>
    <w:rsid w:val="0017188B"/>
    <w:rsid w:val="00171A1D"/>
    <w:rsid w:val="0017225A"/>
    <w:rsid w:val="0017264F"/>
    <w:rsid w:val="001726BD"/>
    <w:rsid w:val="001727A3"/>
    <w:rsid w:val="00173037"/>
    <w:rsid w:val="00173176"/>
    <w:rsid w:val="001731F7"/>
    <w:rsid w:val="0017344D"/>
    <w:rsid w:val="00173523"/>
    <w:rsid w:val="00173BCB"/>
    <w:rsid w:val="00173C0E"/>
    <w:rsid w:val="00173C7A"/>
    <w:rsid w:val="00173FEB"/>
    <w:rsid w:val="00174180"/>
    <w:rsid w:val="00174D53"/>
    <w:rsid w:val="00175029"/>
    <w:rsid w:val="0017524E"/>
    <w:rsid w:val="0017527B"/>
    <w:rsid w:val="00176615"/>
    <w:rsid w:val="001768FD"/>
    <w:rsid w:val="00176C32"/>
    <w:rsid w:val="001770C6"/>
    <w:rsid w:val="00177462"/>
    <w:rsid w:val="001779BC"/>
    <w:rsid w:val="00177CDA"/>
    <w:rsid w:val="00177ED5"/>
    <w:rsid w:val="00180561"/>
    <w:rsid w:val="00180DD6"/>
    <w:rsid w:val="00181442"/>
    <w:rsid w:val="00181683"/>
    <w:rsid w:val="00181F41"/>
    <w:rsid w:val="00182623"/>
    <w:rsid w:val="00182C5E"/>
    <w:rsid w:val="00182F6A"/>
    <w:rsid w:val="0018368F"/>
    <w:rsid w:val="001836A5"/>
    <w:rsid w:val="001839E9"/>
    <w:rsid w:val="00183E7A"/>
    <w:rsid w:val="00184133"/>
    <w:rsid w:val="00184371"/>
    <w:rsid w:val="00184391"/>
    <w:rsid w:val="00184621"/>
    <w:rsid w:val="00184A61"/>
    <w:rsid w:val="0018500E"/>
    <w:rsid w:val="001861DB"/>
    <w:rsid w:val="00186718"/>
    <w:rsid w:val="0018675F"/>
    <w:rsid w:val="00186B37"/>
    <w:rsid w:val="00186D10"/>
    <w:rsid w:val="00187044"/>
    <w:rsid w:val="001871BE"/>
    <w:rsid w:val="00187282"/>
    <w:rsid w:val="00187DDD"/>
    <w:rsid w:val="00187F8D"/>
    <w:rsid w:val="001900F1"/>
    <w:rsid w:val="0019094C"/>
    <w:rsid w:val="0019115B"/>
    <w:rsid w:val="001911D7"/>
    <w:rsid w:val="00191DFF"/>
    <w:rsid w:val="001925CB"/>
    <w:rsid w:val="00192F36"/>
    <w:rsid w:val="00192FBA"/>
    <w:rsid w:val="00193331"/>
    <w:rsid w:val="00193742"/>
    <w:rsid w:val="001937D2"/>
    <w:rsid w:val="00193874"/>
    <w:rsid w:val="00194157"/>
    <w:rsid w:val="00194795"/>
    <w:rsid w:val="00194BA2"/>
    <w:rsid w:val="00194C25"/>
    <w:rsid w:val="0019543E"/>
    <w:rsid w:val="00195DD6"/>
    <w:rsid w:val="00195FEB"/>
    <w:rsid w:val="001963EC"/>
    <w:rsid w:val="00196574"/>
    <w:rsid w:val="001966C8"/>
    <w:rsid w:val="001971A0"/>
    <w:rsid w:val="00197326"/>
    <w:rsid w:val="001978B7"/>
    <w:rsid w:val="00197903"/>
    <w:rsid w:val="001A011A"/>
    <w:rsid w:val="001A0B14"/>
    <w:rsid w:val="001A189B"/>
    <w:rsid w:val="001A199D"/>
    <w:rsid w:val="001A1CDC"/>
    <w:rsid w:val="001A215B"/>
    <w:rsid w:val="001A228C"/>
    <w:rsid w:val="001A27FC"/>
    <w:rsid w:val="001A289D"/>
    <w:rsid w:val="001A30AA"/>
    <w:rsid w:val="001A3181"/>
    <w:rsid w:val="001A32C7"/>
    <w:rsid w:val="001A349C"/>
    <w:rsid w:val="001A3904"/>
    <w:rsid w:val="001A41D0"/>
    <w:rsid w:val="001A4B94"/>
    <w:rsid w:val="001A4C8F"/>
    <w:rsid w:val="001A4D0A"/>
    <w:rsid w:val="001A4D18"/>
    <w:rsid w:val="001A4EFB"/>
    <w:rsid w:val="001A588E"/>
    <w:rsid w:val="001A5C2A"/>
    <w:rsid w:val="001A665D"/>
    <w:rsid w:val="001A6CC0"/>
    <w:rsid w:val="001A6DEF"/>
    <w:rsid w:val="001A72F2"/>
    <w:rsid w:val="001A794C"/>
    <w:rsid w:val="001A79F7"/>
    <w:rsid w:val="001A7A00"/>
    <w:rsid w:val="001A7CB8"/>
    <w:rsid w:val="001B0128"/>
    <w:rsid w:val="001B0574"/>
    <w:rsid w:val="001B092B"/>
    <w:rsid w:val="001B0B94"/>
    <w:rsid w:val="001B0F8C"/>
    <w:rsid w:val="001B1B22"/>
    <w:rsid w:val="001B1C2C"/>
    <w:rsid w:val="001B1FD9"/>
    <w:rsid w:val="001B21B6"/>
    <w:rsid w:val="001B2D77"/>
    <w:rsid w:val="001B2DC3"/>
    <w:rsid w:val="001B2E5C"/>
    <w:rsid w:val="001B2EF1"/>
    <w:rsid w:val="001B36DC"/>
    <w:rsid w:val="001B38DF"/>
    <w:rsid w:val="001B39F3"/>
    <w:rsid w:val="001B40CE"/>
    <w:rsid w:val="001B46B6"/>
    <w:rsid w:val="001B4E71"/>
    <w:rsid w:val="001B557B"/>
    <w:rsid w:val="001B5F7D"/>
    <w:rsid w:val="001B6CE1"/>
    <w:rsid w:val="001B6F7C"/>
    <w:rsid w:val="001B7120"/>
    <w:rsid w:val="001B7590"/>
    <w:rsid w:val="001B7C6F"/>
    <w:rsid w:val="001C0209"/>
    <w:rsid w:val="001C0964"/>
    <w:rsid w:val="001C0A76"/>
    <w:rsid w:val="001C0D32"/>
    <w:rsid w:val="001C0D6A"/>
    <w:rsid w:val="001C1209"/>
    <w:rsid w:val="001C1B2C"/>
    <w:rsid w:val="001C1BC3"/>
    <w:rsid w:val="001C1D41"/>
    <w:rsid w:val="001C1F65"/>
    <w:rsid w:val="001C2A07"/>
    <w:rsid w:val="001C3462"/>
    <w:rsid w:val="001C36DE"/>
    <w:rsid w:val="001C38E4"/>
    <w:rsid w:val="001C3DC6"/>
    <w:rsid w:val="001C4308"/>
    <w:rsid w:val="001C47EE"/>
    <w:rsid w:val="001C4C18"/>
    <w:rsid w:val="001C4D93"/>
    <w:rsid w:val="001C51E1"/>
    <w:rsid w:val="001C5297"/>
    <w:rsid w:val="001C52A9"/>
    <w:rsid w:val="001C5CBF"/>
    <w:rsid w:val="001C66E1"/>
    <w:rsid w:val="001C7069"/>
    <w:rsid w:val="001C7166"/>
    <w:rsid w:val="001C77FE"/>
    <w:rsid w:val="001C79FC"/>
    <w:rsid w:val="001D05BE"/>
    <w:rsid w:val="001D0934"/>
    <w:rsid w:val="001D0CAF"/>
    <w:rsid w:val="001D1607"/>
    <w:rsid w:val="001D16BA"/>
    <w:rsid w:val="001D1D3C"/>
    <w:rsid w:val="001D2299"/>
    <w:rsid w:val="001D27DD"/>
    <w:rsid w:val="001D2CCD"/>
    <w:rsid w:val="001D2D40"/>
    <w:rsid w:val="001D33A3"/>
    <w:rsid w:val="001D35B1"/>
    <w:rsid w:val="001D3A37"/>
    <w:rsid w:val="001D3C18"/>
    <w:rsid w:val="001D3C89"/>
    <w:rsid w:val="001D421B"/>
    <w:rsid w:val="001D4563"/>
    <w:rsid w:val="001D4583"/>
    <w:rsid w:val="001D4923"/>
    <w:rsid w:val="001D58DB"/>
    <w:rsid w:val="001D5D0B"/>
    <w:rsid w:val="001D6C62"/>
    <w:rsid w:val="001D726E"/>
    <w:rsid w:val="001D75BA"/>
    <w:rsid w:val="001D7A35"/>
    <w:rsid w:val="001D7C5F"/>
    <w:rsid w:val="001D7D9F"/>
    <w:rsid w:val="001D7E3C"/>
    <w:rsid w:val="001D7E6E"/>
    <w:rsid w:val="001E054A"/>
    <w:rsid w:val="001E0697"/>
    <w:rsid w:val="001E07AD"/>
    <w:rsid w:val="001E08D2"/>
    <w:rsid w:val="001E0AA2"/>
    <w:rsid w:val="001E0EAC"/>
    <w:rsid w:val="001E1054"/>
    <w:rsid w:val="001E12B2"/>
    <w:rsid w:val="001E1351"/>
    <w:rsid w:val="001E1457"/>
    <w:rsid w:val="001E2583"/>
    <w:rsid w:val="001E2C6F"/>
    <w:rsid w:val="001E312C"/>
    <w:rsid w:val="001E4258"/>
    <w:rsid w:val="001E5658"/>
    <w:rsid w:val="001E5D42"/>
    <w:rsid w:val="001E5FB8"/>
    <w:rsid w:val="001E6D3B"/>
    <w:rsid w:val="001E6E59"/>
    <w:rsid w:val="001E7456"/>
    <w:rsid w:val="001F045D"/>
    <w:rsid w:val="001F0603"/>
    <w:rsid w:val="001F0C50"/>
    <w:rsid w:val="001F0D74"/>
    <w:rsid w:val="001F1EF5"/>
    <w:rsid w:val="001F1F32"/>
    <w:rsid w:val="001F235F"/>
    <w:rsid w:val="001F250D"/>
    <w:rsid w:val="001F2A61"/>
    <w:rsid w:val="001F2ADD"/>
    <w:rsid w:val="001F2BBC"/>
    <w:rsid w:val="001F2DED"/>
    <w:rsid w:val="001F30BF"/>
    <w:rsid w:val="001F3224"/>
    <w:rsid w:val="001F3695"/>
    <w:rsid w:val="001F3B71"/>
    <w:rsid w:val="001F412C"/>
    <w:rsid w:val="001F4416"/>
    <w:rsid w:val="001F446C"/>
    <w:rsid w:val="001F4473"/>
    <w:rsid w:val="001F4588"/>
    <w:rsid w:val="001F45D4"/>
    <w:rsid w:val="001F4842"/>
    <w:rsid w:val="001F4E35"/>
    <w:rsid w:val="001F5742"/>
    <w:rsid w:val="001F59E8"/>
    <w:rsid w:val="001F66E4"/>
    <w:rsid w:val="001F6899"/>
    <w:rsid w:val="001F7140"/>
    <w:rsid w:val="001F7361"/>
    <w:rsid w:val="001F7B00"/>
    <w:rsid w:val="001F7CAF"/>
    <w:rsid w:val="001F7DE9"/>
    <w:rsid w:val="001F7F98"/>
    <w:rsid w:val="002000A9"/>
    <w:rsid w:val="002002C5"/>
    <w:rsid w:val="0020038E"/>
    <w:rsid w:val="0020056B"/>
    <w:rsid w:val="002006FA"/>
    <w:rsid w:val="0020084D"/>
    <w:rsid w:val="00201994"/>
    <w:rsid w:val="00201AEE"/>
    <w:rsid w:val="002027FB"/>
    <w:rsid w:val="0020280D"/>
    <w:rsid w:val="00203552"/>
    <w:rsid w:val="0020357B"/>
    <w:rsid w:val="002038C1"/>
    <w:rsid w:val="002039A5"/>
    <w:rsid w:val="00203D70"/>
    <w:rsid w:val="00203E28"/>
    <w:rsid w:val="00204F5D"/>
    <w:rsid w:val="00205224"/>
    <w:rsid w:val="0020550B"/>
    <w:rsid w:val="00205584"/>
    <w:rsid w:val="00205757"/>
    <w:rsid w:val="00205BB2"/>
    <w:rsid w:val="00206051"/>
    <w:rsid w:val="00206150"/>
    <w:rsid w:val="0020636D"/>
    <w:rsid w:val="00206375"/>
    <w:rsid w:val="00206584"/>
    <w:rsid w:val="00207357"/>
    <w:rsid w:val="00207481"/>
    <w:rsid w:val="0020777C"/>
    <w:rsid w:val="00207B03"/>
    <w:rsid w:val="00210104"/>
    <w:rsid w:val="002102A0"/>
    <w:rsid w:val="00210411"/>
    <w:rsid w:val="002104FB"/>
    <w:rsid w:val="0021052F"/>
    <w:rsid w:val="00210E9A"/>
    <w:rsid w:val="00211207"/>
    <w:rsid w:val="00211678"/>
    <w:rsid w:val="00211E95"/>
    <w:rsid w:val="00211F8E"/>
    <w:rsid w:val="00212457"/>
    <w:rsid w:val="002124D7"/>
    <w:rsid w:val="002125A4"/>
    <w:rsid w:val="0021280B"/>
    <w:rsid w:val="00212B65"/>
    <w:rsid w:val="002135EE"/>
    <w:rsid w:val="002135F1"/>
    <w:rsid w:val="00213A26"/>
    <w:rsid w:val="00213AA3"/>
    <w:rsid w:val="00213B3B"/>
    <w:rsid w:val="002147E6"/>
    <w:rsid w:val="00214CA7"/>
    <w:rsid w:val="002153F2"/>
    <w:rsid w:val="00215C54"/>
    <w:rsid w:val="00215F9A"/>
    <w:rsid w:val="002163C8"/>
    <w:rsid w:val="00216426"/>
    <w:rsid w:val="002165AD"/>
    <w:rsid w:val="002167F1"/>
    <w:rsid w:val="002171D3"/>
    <w:rsid w:val="0021723E"/>
    <w:rsid w:val="00217549"/>
    <w:rsid w:val="00217E0C"/>
    <w:rsid w:val="0022028B"/>
    <w:rsid w:val="0022094D"/>
    <w:rsid w:val="00220C58"/>
    <w:rsid w:val="00220F0B"/>
    <w:rsid w:val="00220F73"/>
    <w:rsid w:val="002212FA"/>
    <w:rsid w:val="002215FC"/>
    <w:rsid w:val="00221632"/>
    <w:rsid w:val="0022180F"/>
    <w:rsid w:val="00221E40"/>
    <w:rsid w:val="00221FD6"/>
    <w:rsid w:val="00223029"/>
    <w:rsid w:val="00223250"/>
    <w:rsid w:val="0022325B"/>
    <w:rsid w:val="0022384B"/>
    <w:rsid w:val="00223884"/>
    <w:rsid w:val="00223936"/>
    <w:rsid w:val="00223A60"/>
    <w:rsid w:val="00223D40"/>
    <w:rsid w:val="00223E2B"/>
    <w:rsid w:val="0022503D"/>
    <w:rsid w:val="00225109"/>
    <w:rsid w:val="002252D2"/>
    <w:rsid w:val="002253C7"/>
    <w:rsid w:val="002256CD"/>
    <w:rsid w:val="00225806"/>
    <w:rsid w:val="002262CF"/>
    <w:rsid w:val="00226516"/>
    <w:rsid w:val="0022698D"/>
    <w:rsid w:val="00226BC2"/>
    <w:rsid w:val="00226CB2"/>
    <w:rsid w:val="002274F1"/>
    <w:rsid w:val="0023153A"/>
    <w:rsid w:val="002316F1"/>
    <w:rsid w:val="00231AE8"/>
    <w:rsid w:val="00231B6C"/>
    <w:rsid w:val="00232534"/>
    <w:rsid w:val="00232DA1"/>
    <w:rsid w:val="0023359B"/>
    <w:rsid w:val="00233AD1"/>
    <w:rsid w:val="00233E65"/>
    <w:rsid w:val="0023454C"/>
    <w:rsid w:val="00234B59"/>
    <w:rsid w:val="0023509E"/>
    <w:rsid w:val="002356D6"/>
    <w:rsid w:val="00235E7F"/>
    <w:rsid w:val="002363E7"/>
    <w:rsid w:val="0023642B"/>
    <w:rsid w:val="002368C8"/>
    <w:rsid w:val="0023733C"/>
    <w:rsid w:val="002379A9"/>
    <w:rsid w:val="002379E9"/>
    <w:rsid w:val="00237BC6"/>
    <w:rsid w:val="00237C89"/>
    <w:rsid w:val="00237E81"/>
    <w:rsid w:val="0024089E"/>
    <w:rsid w:val="00240F89"/>
    <w:rsid w:val="002418E5"/>
    <w:rsid w:val="00241C4A"/>
    <w:rsid w:val="00241CA3"/>
    <w:rsid w:val="00242229"/>
    <w:rsid w:val="00242256"/>
    <w:rsid w:val="00242541"/>
    <w:rsid w:val="00242935"/>
    <w:rsid w:val="002429E5"/>
    <w:rsid w:val="00242B78"/>
    <w:rsid w:val="00242E72"/>
    <w:rsid w:val="00243B68"/>
    <w:rsid w:val="002449A8"/>
    <w:rsid w:val="00244C79"/>
    <w:rsid w:val="00245787"/>
    <w:rsid w:val="00245C0E"/>
    <w:rsid w:val="002464E2"/>
    <w:rsid w:val="00246AA5"/>
    <w:rsid w:val="00246B5E"/>
    <w:rsid w:val="002471EA"/>
    <w:rsid w:val="002474C1"/>
    <w:rsid w:val="00247BAE"/>
    <w:rsid w:val="00247D8E"/>
    <w:rsid w:val="00247F68"/>
    <w:rsid w:val="00250A5D"/>
    <w:rsid w:val="002512AA"/>
    <w:rsid w:val="0025142D"/>
    <w:rsid w:val="002514A8"/>
    <w:rsid w:val="00251525"/>
    <w:rsid w:val="00251879"/>
    <w:rsid w:val="00251F30"/>
    <w:rsid w:val="00252D4F"/>
    <w:rsid w:val="00253374"/>
    <w:rsid w:val="00253CE7"/>
    <w:rsid w:val="0025434D"/>
    <w:rsid w:val="00254765"/>
    <w:rsid w:val="00254C42"/>
    <w:rsid w:val="00254E1C"/>
    <w:rsid w:val="0025513A"/>
    <w:rsid w:val="002556A0"/>
    <w:rsid w:val="00255940"/>
    <w:rsid w:val="00256111"/>
    <w:rsid w:val="00256510"/>
    <w:rsid w:val="0025663C"/>
    <w:rsid w:val="0025697F"/>
    <w:rsid w:val="002572F4"/>
    <w:rsid w:val="0025731A"/>
    <w:rsid w:val="00260981"/>
    <w:rsid w:val="00260D88"/>
    <w:rsid w:val="00260EA3"/>
    <w:rsid w:val="0026132C"/>
    <w:rsid w:val="00261E1D"/>
    <w:rsid w:val="00261F8F"/>
    <w:rsid w:val="00262898"/>
    <w:rsid w:val="00262E26"/>
    <w:rsid w:val="002638C2"/>
    <w:rsid w:val="00263964"/>
    <w:rsid w:val="00263E78"/>
    <w:rsid w:val="002641C7"/>
    <w:rsid w:val="00264514"/>
    <w:rsid w:val="00264662"/>
    <w:rsid w:val="00264672"/>
    <w:rsid w:val="00264A0F"/>
    <w:rsid w:val="00264A34"/>
    <w:rsid w:val="002651EC"/>
    <w:rsid w:val="002656B0"/>
    <w:rsid w:val="00266FE4"/>
    <w:rsid w:val="00267430"/>
    <w:rsid w:val="002676EF"/>
    <w:rsid w:val="0027012B"/>
    <w:rsid w:val="002702C1"/>
    <w:rsid w:val="0027070C"/>
    <w:rsid w:val="00270924"/>
    <w:rsid w:val="002709C9"/>
    <w:rsid w:val="00270C11"/>
    <w:rsid w:val="00270C7E"/>
    <w:rsid w:val="00270F5F"/>
    <w:rsid w:val="00271197"/>
    <w:rsid w:val="002716D1"/>
    <w:rsid w:val="00271748"/>
    <w:rsid w:val="0027176B"/>
    <w:rsid w:val="00271B83"/>
    <w:rsid w:val="0027274C"/>
    <w:rsid w:val="00272AE4"/>
    <w:rsid w:val="00272B7D"/>
    <w:rsid w:val="00272F74"/>
    <w:rsid w:val="002730C3"/>
    <w:rsid w:val="00273228"/>
    <w:rsid w:val="002736EF"/>
    <w:rsid w:val="002737A7"/>
    <w:rsid w:val="00273B02"/>
    <w:rsid w:val="00273CF8"/>
    <w:rsid w:val="00274100"/>
    <w:rsid w:val="002743DB"/>
    <w:rsid w:val="002748C8"/>
    <w:rsid w:val="00275058"/>
    <w:rsid w:val="002756E7"/>
    <w:rsid w:val="0027577E"/>
    <w:rsid w:val="00276B99"/>
    <w:rsid w:val="00276BAE"/>
    <w:rsid w:val="00276C6E"/>
    <w:rsid w:val="00276C89"/>
    <w:rsid w:val="00277182"/>
    <w:rsid w:val="002771D5"/>
    <w:rsid w:val="00280384"/>
    <w:rsid w:val="002803F9"/>
    <w:rsid w:val="00280786"/>
    <w:rsid w:val="002809C4"/>
    <w:rsid w:val="00280B5E"/>
    <w:rsid w:val="0028147E"/>
    <w:rsid w:val="00281F90"/>
    <w:rsid w:val="00282822"/>
    <w:rsid w:val="00282974"/>
    <w:rsid w:val="00282A6A"/>
    <w:rsid w:val="00282C68"/>
    <w:rsid w:val="00282CC6"/>
    <w:rsid w:val="00282CE4"/>
    <w:rsid w:val="00282D54"/>
    <w:rsid w:val="002832C1"/>
    <w:rsid w:val="002840F9"/>
    <w:rsid w:val="0028449B"/>
    <w:rsid w:val="00284818"/>
    <w:rsid w:val="00284975"/>
    <w:rsid w:val="00284F9E"/>
    <w:rsid w:val="002855B1"/>
    <w:rsid w:val="00285BA0"/>
    <w:rsid w:val="00285DCF"/>
    <w:rsid w:val="002862A9"/>
    <w:rsid w:val="0028650B"/>
    <w:rsid w:val="0028670D"/>
    <w:rsid w:val="00287658"/>
    <w:rsid w:val="00287B23"/>
    <w:rsid w:val="00287CB4"/>
    <w:rsid w:val="00290041"/>
    <w:rsid w:val="002900B4"/>
    <w:rsid w:val="00290359"/>
    <w:rsid w:val="002908E2"/>
    <w:rsid w:val="0029120E"/>
    <w:rsid w:val="002917F8"/>
    <w:rsid w:val="00291940"/>
    <w:rsid w:val="00291E79"/>
    <w:rsid w:val="002921B0"/>
    <w:rsid w:val="00292374"/>
    <w:rsid w:val="0029278B"/>
    <w:rsid w:val="002929CF"/>
    <w:rsid w:val="00292B8D"/>
    <w:rsid w:val="002930EA"/>
    <w:rsid w:val="002933AA"/>
    <w:rsid w:val="00293671"/>
    <w:rsid w:val="00293715"/>
    <w:rsid w:val="002942F5"/>
    <w:rsid w:val="00294529"/>
    <w:rsid w:val="00294766"/>
    <w:rsid w:val="00294BD5"/>
    <w:rsid w:val="00294C9C"/>
    <w:rsid w:val="00295517"/>
    <w:rsid w:val="00295566"/>
    <w:rsid w:val="00295899"/>
    <w:rsid w:val="00295FCA"/>
    <w:rsid w:val="00296837"/>
    <w:rsid w:val="00296C69"/>
    <w:rsid w:val="0029795B"/>
    <w:rsid w:val="00297A5A"/>
    <w:rsid w:val="002A004F"/>
    <w:rsid w:val="002A0841"/>
    <w:rsid w:val="002A0A52"/>
    <w:rsid w:val="002A0FA2"/>
    <w:rsid w:val="002A1059"/>
    <w:rsid w:val="002A10E0"/>
    <w:rsid w:val="002A142C"/>
    <w:rsid w:val="002A1792"/>
    <w:rsid w:val="002A1E7C"/>
    <w:rsid w:val="002A222E"/>
    <w:rsid w:val="002A3493"/>
    <w:rsid w:val="002A38E2"/>
    <w:rsid w:val="002A3BA8"/>
    <w:rsid w:val="002A3D51"/>
    <w:rsid w:val="002A3D6F"/>
    <w:rsid w:val="002A46AD"/>
    <w:rsid w:val="002A4D1D"/>
    <w:rsid w:val="002A5159"/>
    <w:rsid w:val="002A5257"/>
    <w:rsid w:val="002A530F"/>
    <w:rsid w:val="002A55DA"/>
    <w:rsid w:val="002A573B"/>
    <w:rsid w:val="002A5D41"/>
    <w:rsid w:val="002A5DE8"/>
    <w:rsid w:val="002A6C87"/>
    <w:rsid w:val="002A71BE"/>
    <w:rsid w:val="002A7237"/>
    <w:rsid w:val="002A72A0"/>
    <w:rsid w:val="002A76F2"/>
    <w:rsid w:val="002A7774"/>
    <w:rsid w:val="002A7D79"/>
    <w:rsid w:val="002B0AB0"/>
    <w:rsid w:val="002B0AB9"/>
    <w:rsid w:val="002B0D4F"/>
    <w:rsid w:val="002B15A3"/>
    <w:rsid w:val="002B1BEA"/>
    <w:rsid w:val="002B1E49"/>
    <w:rsid w:val="002B2836"/>
    <w:rsid w:val="002B32E7"/>
    <w:rsid w:val="002B35EE"/>
    <w:rsid w:val="002B3D4A"/>
    <w:rsid w:val="002B3F69"/>
    <w:rsid w:val="002B4288"/>
    <w:rsid w:val="002B47EA"/>
    <w:rsid w:val="002B4A3A"/>
    <w:rsid w:val="002B5024"/>
    <w:rsid w:val="002B5411"/>
    <w:rsid w:val="002B62DD"/>
    <w:rsid w:val="002B6D7C"/>
    <w:rsid w:val="002B7391"/>
    <w:rsid w:val="002B7C06"/>
    <w:rsid w:val="002C07FB"/>
    <w:rsid w:val="002C0B9C"/>
    <w:rsid w:val="002C0D5A"/>
    <w:rsid w:val="002C1023"/>
    <w:rsid w:val="002C1372"/>
    <w:rsid w:val="002C15B3"/>
    <w:rsid w:val="002C2DDC"/>
    <w:rsid w:val="002C3404"/>
    <w:rsid w:val="002C3C3B"/>
    <w:rsid w:val="002C42B5"/>
    <w:rsid w:val="002C4358"/>
    <w:rsid w:val="002C4477"/>
    <w:rsid w:val="002C4AD1"/>
    <w:rsid w:val="002C4DA9"/>
    <w:rsid w:val="002C4F7B"/>
    <w:rsid w:val="002C4FCB"/>
    <w:rsid w:val="002C5541"/>
    <w:rsid w:val="002C57BA"/>
    <w:rsid w:val="002C5F35"/>
    <w:rsid w:val="002C5F83"/>
    <w:rsid w:val="002C6227"/>
    <w:rsid w:val="002C63ED"/>
    <w:rsid w:val="002C6857"/>
    <w:rsid w:val="002C72B3"/>
    <w:rsid w:val="002C7C18"/>
    <w:rsid w:val="002C7FDD"/>
    <w:rsid w:val="002D013D"/>
    <w:rsid w:val="002D0157"/>
    <w:rsid w:val="002D0399"/>
    <w:rsid w:val="002D125C"/>
    <w:rsid w:val="002D1A9A"/>
    <w:rsid w:val="002D1B8D"/>
    <w:rsid w:val="002D2F2D"/>
    <w:rsid w:val="002D312B"/>
    <w:rsid w:val="002D340B"/>
    <w:rsid w:val="002D35BA"/>
    <w:rsid w:val="002D36E9"/>
    <w:rsid w:val="002D42D7"/>
    <w:rsid w:val="002D4CC1"/>
    <w:rsid w:val="002D4D69"/>
    <w:rsid w:val="002D5206"/>
    <w:rsid w:val="002D6088"/>
    <w:rsid w:val="002D60A4"/>
    <w:rsid w:val="002D66D6"/>
    <w:rsid w:val="002D6A05"/>
    <w:rsid w:val="002D6BE5"/>
    <w:rsid w:val="002D6D64"/>
    <w:rsid w:val="002D7AC6"/>
    <w:rsid w:val="002D7AD5"/>
    <w:rsid w:val="002E0473"/>
    <w:rsid w:val="002E05B7"/>
    <w:rsid w:val="002E0DA0"/>
    <w:rsid w:val="002E0DC8"/>
    <w:rsid w:val="002E0E7A"/>
    <w:rsid w:val="002E0EA9"/>
    <w:rsid w:val="002E176F"/>
    <w:rsid w:val="002E1C78"/>
    <w:rsid w:val="002E1CB2"/>
    <w:rsid w:val="002E1FCF"/>
    <w:rsid w:val="002E24EB"/>
    <w:rsid w:val="002E27F7"/>
    <w:rsid w:val="002E2DCD"/>
    <w:rsid w:val="002E2FA8"/>
    <w:rsid w:val="002E36B7"/>
    <w:rsid w:val="002E3DBF"/>
    <w:rsid w:val="002E3E02"/>
    <w:rsid w:val="002E4100"/>
    <w:rsid w:val="002E41FF"/>
    <w:rsid w:val="002E46E2"/>
    <w:rsid w:val="002E4794"/>
    <w:rsid w:val="002E4CA7"/>
    <w:rsid w:val="002E4E3F"/>
    <w:rsid w:val="002E523E"/>
    <w:rsid w:val="002E55F9"/>
    <w:rsid w:val="002E5AC8"/>
    <w:rsid w:val="002E5B8A"/>
    <w:rsid w:val="002E6737"/>
    <w:rsid w:val="002E6DE5"/>
    <w:rsid w:val="002E75FF"/>
    <w:rsid w:val="002E77D4"/>
    <w:rsid w:val="002F092C"/>
    <w:rsid w:val="002F1844"/>
    <w:rsid w:val="002F1C31"/>
    <w:rsid w:val="002F2192"/>
    <w:rsid w:val="002F23E5"/>
    <w:rsid w:val="002F2718"/>
    <w:rsid w:val="002F282B"/>
    <w:rsid w:val="002F2D15"/>
    <w:rsid w:val="002F4154"/>
    <w:rsid w:val="002F47BD"/>
    <w:rsid w:val="002F562B"/>
    <w:rsid w:val="002F5A67"/>
    <w:rsid w:val="002F5DB8"/>
    <w:rsid w:val="002F5FB0"/>
    <w:rsid w:val="002F63A9"/>
    <w:rsid w:val="002F673D"/>
    <w:rsid w:val="002F6873"/>
    <w:rsid w:val="002F6CB3"/>
    <w:rsid w:val="002F70BB"/>
    <w:rsid w:val="002F7F4F"/>
    <w:rsid w:val="00300004"/>
    <w:rsid w:val="00300283"/>
    <w:rsid w:val="00300C77"/>
    <w:rsid w:val="00300D64"/>
    <w:rsid w:val="0030164D"/>
    <w:rsid w:val="003018F9"/>
    <w:rsid w:val="00301B17"/>
    <w:rsid w:val="00302333"/>
    <w:rsid w:val="003027A0"/>
    <w:rsid w:val="00303A7E"/>
    <w:rsid w:val="0030405B"/>
    <w:rsid w:val="0030421A"/>
    <w:rsid w:val="0030490E"/>
    <w:rsid w:val="00304A4E"/>
    <w:rsid w:val="00304B5E"/>
    <w:rsid w:val="00305A9C"/>
    <w:rsid w:val="00305ABE"/>
    <w:rsid w:val="00305C77"/>
    <w:rsid w:val="00305CD5"/>
    <w:rsid w:val="00307448"/>
    <w:rsid w:val="00307C8A"/>
    <w:rsid w:val="00310096"/>
    <w:rsid w:val="00310A87"/>
    <w:rsid w:val="00310D5D"/>
    <w:rsid w:val="00310E00"/>
    <w:rsid w:val="00310E56"/>
    <w:rsid w:val="0031231B"/>
    <w:rsid w:val="003127F5"/>
    <w:rsid w:val="003128E1"/>
    <w:rsid w:val="00312A51"/>
    <w:rsid w:val="00313601"/>
    <w:rsid w:val="00313D7F"/>
    <w:rsid w:val="00314D81"/>
    <w:rsid w:val="00314F05"/>
    <w:rsid w:val="00315376"/>
    <w:rsid w:val="00315690"/>
    <w:rsid w:val="00316F4F"/>
    <w:rsid w:val="0031762F"/>
    <w:rsid w:val="0031799A"/>
    <w:rsid w:val="0032023E"/>
    <w:rsid w:val="00320279"/>
    <w:rsid w:val="0032030E"/>
    <w:rsid w:val="00320472"/>
    <w:rsid w:val="00320B4B"/>
    <w:rsid w:val="00320CEA"/>
    <w:rsid w:val="00320FE6"/>
    <w:rsid w:val="003210B0"/>
    <w:rsid w:val="00321454"/>
    <w:rsid w:val="003215B7"/>
    <w:rsid w:val="003218B1"/>
    <w:rsid w:val="00321D92"/>
    <w:rsid w:val="00321EB3"/>
    <w:rsid w:val="00322C22"/>
    <w:rsid w:val="00322DED"/>
    <w:rsid w:val="0032362B"/>
    <w:rsid w:val="003237BA"/>
    <w:rsid w:val="00323B67"/>
    <w:rsid w:val="00323D1C"/>
    <w:rsid w:val="00323F9E"/>
    <w:rsid w:val="00324171"/>
    <w:rsid w:val="003252E1"/>
    <w:rsid w:val="00325B55"/>
    <w:rsid w:val="003261C8"/>
    <w:rsid w:val="0032622C"/>
    <w:rsid w:val="0032680C"/>
    <w:rsid w:val="00326986"/>
    <w:rsid w:val="00330E3C"/>
    <w:rsid w:val="00331099"/>
    <w:rsid w:val="0033186D"/>
    <w:rsid w:val="00332048"/>
    <w:rsid w:val="00332A3E"/>
    <w:rsid w:val="00332CC5"/>
    <w:rsid w:val="0033301D"/>
    <w:rsid w:val="00333BB8"/>
    <w:rsid w:val="00333EB2"/>
    <w:rsid w:val="00334342"/>
    <w:rsid w:val="003343DA"/>
    <w:rsid w:val="0033467C"/>
    <w:rsid w:val="00334B68"/>
    <w:rsid w:val="00334B73"/>
    <w:rsid w:val="00334BD2"/>
    <w:rsid w:val="00334C3B"/>
    <w:rsid w:val="00334D91"/>
    <w:rsid w:val="00335024"/>
    <w:rsid w:val="00335A15"/>
    <w:rsid w:val="00336829"/>
    <w:rsid w:val="00336F76"/>
    <w:rsid w:val="00337030"/>
    <w:rsid w:val="003375F5"/>
    <w:rsid w:val="00337F2C"/>
    <w:rsid w:val="00337F43"/>
    <w:rsid w:val="003400B2"/>
    <w:rsid w:val="003401A9"/>
    <w:rsid w:val="00340828"/>
    <w:rsid w:val="00340B8B"/>
    <w:rsid w:val="00340EC4"/>
    <w:rsid w:val="003412FC"/>
    <w:rsid w:val="00341678"/>
    <w:rsid w:val="00341717"/>
    <w:rsid w:val="003418FF"/>
    <w:rsid w:val="00341E86"/>
    <w:rsid w:val="003427EC"/>
    <w:rsid w:val="00342AA5"/>
    <w:rsid w:val="00342C2D"/>
    <w:rsid w:val="00342C68"/>
    <w:rsid w:val="00343256"/>
    <w:rsid w:val="00343596"/>
    <w:rsid w:val="003435B9"/>
    <w:rsid w:val="003435F1"/>
    <w:rsid w:val="0034365E"/>
    <w:rsid w:val="00343822"/>
    <w:rsid w:val="00343AD6"/>
    <w:rsid w:val="0034429B"/>
    <w:rsid w:val="00344427"/>
    <w:rsid w:val="00344AEB"/>
    <w:rsid w:val="00344F90"/>
    <w:rsid w:val="0034513C"/>
    <w:rsid w:val="00345717"/>
    <w:rsid w:val="003461EE"/>
    <w:rsid w:val="0034657F"/>
    <w:rsid w:val="00346C12"/>
    <w:rsid w:val="00346E3A"/>
    <w:rsid w:val="00346EF4"/>
    <w:rsid w:val="00346FC8"/>
    <w:rsid w:val="0034716C"/>
    <w:rsid w:val="00347454"/>
    <w:rsid w:val="00347984"/>
    <w:rsid w:val="003479A6"/>
    <w:rsid w:val="0035052F"/>
    <w:rsid w:val="00350755"/>
    <w:rsid w:val="0035086B"/>
    <w:rsid w:val="003508A9"/>
    <w:rsid w:val="0035095A"/>
    <w:rsid w:val="00350F5A"/>
    <w:rsid w:val="0035189B"/>
    <w:rsid w:val="00351AB8"/>
    <w:rsid w:val="00351C2F"/>
    <w:rsid w:val="00351DE5"/>
    <w:rsid w:val="00351DF7"/>
    <w:rsid w:val="00351EAC"/>
    <w:rsid w:val="00351F2F"/>
    <w:rsid w:val="003520F2"/>
    <w:rsid w:val="00352703"/>
    <w:rsid w:val="0035272A"/>
    <w:rsid w:val="003536D2"/>
    <w:rsid w:val="00353E50"/>
    <w:rsid w:val="00353FEE"/>
    <w:rsid w:val="00354027"/>
    <w:rsid w:val="00354B17"/>
    <w:rsid w:val="00354BE1"/>
    <w:rsid w:val="00354EE8"/>
    <w:rsid w:val="00355A47"/>
    <w:rsid w:val="00355C62"/>
    <w:rsid w:val="00355CBB"/>
    <w:rsid w:val="00356127"/>
    <w:rsid w:val="003568A9"/>
    <w:rsid w:val="003569E6"/>
    <w:rsid w:val="00356BE6"/>
    <w:rsid w:val="00357531"/>
    <w:rsid w:val="00357B33"/>
    <w:rsid w:val="0036010B"/>
    <w:rsid w:val="003605A8"/>
    <w:rsid w:val="00360BED"/>
    <w:rsid w:val="00360DFE"/>
    <w:rsid w:val="00360F4A"/>
    <w:rsid w:val="00361345"/>
    <w:rsid w:val="00361807"/>
    <w:rsid w:val="00361B89"/>
    <w:rsid w:val="0036276B"/>
    <w:rsid w:val="00362781"/>
    <w:rsid w:val="003633E4"/>
    <w:rsid w:val="00363809"/>
    <w:rsid w:val="00364290"/>
    <w:rsid w:val="003642FC"/>
    <w:rsid w:val="0036460A"/>
    <w:rsid w:val="00364700"/>
    <w:rsid w:val="0036474D"/>
    <w:rsid w:val="00364A62"/>
    <w:rsid w:val="00364A97"/>
    <w:rsid w:val="00364CAA"/>
    <w:rsid w:val="00365885"/>
    <w:rsid w:val="00365DE1"/>
    <w:rsid w:val="00365E60"/>
    <w:rsid w:val="0036610F"/>
    <w:rsid w:val="003669F4"/>
    <w:rsid w:val="00366E8D"/>
    <w:rsid w:val="00366EEE"/>
    <w:rsid w:val="00367218"/>
    <w:rsid w:val="00370384"/>
    <w:rsid w:val="00370461"/>
    <w:rsid w:val="0037051E"/>
    <w:rsid w:val="00370AC0"/>
    <w:rsid w:val="0037131F"/>
    <w:rsid w:val="0037165E"/>
    <w:rsid w:val="0037245E"/>
    <w:rsid w:val="003729D1"/>
    <w:rsid w:val="00372E27"/>
    <w:rsid w:val="00373206"/>
    <w:rsid w:val="003736F7"/>
    <w:rsid w:val="00373F94"/>
    <w:rsid w:val="00374449"/>
    <w:rsid w:val="00374B2F"/>
    <w:rsid w:val="00374E75"/>
    <w:rsid w:val="0037504E"/>
    <w:rsid w:val="003752F8"/>
    <w:rsid w:val="00376385"/>
    <w:rsid w:val="003767D9"/>
    <w:rsid w:val="0037684D"/>
    <w:rsid w:val="00376A25"/>
    <w:rsid w:val="00377988"/>
    <w:rsid w:val="00377E31"/>
    <w:rsid w:val="00380EC9"/>
    <w:rsid w:val="00380F31"/>
    <w:rsid w:val="00380FE9"/>
    <w:rsid w:val="00381155"/>
    <w:rsid w:val="003815F6"/>
    <w:rsid w:val="00381B75"/>
    <w:rsid w:val="00381DA0"/>
    <w:rsid w:val="0038204C"/>
    <w:rsid w:val="0038231E"/>
    <w:rsid w:val="00382E89"/>
    <w:rsid w:val="00383382"/>
    <w:rsid w:val="0038384A"/>
    <w:rsid w:val="0038435E"/>
    <w:rsid w:val="00384B1E"/>
    <w:rsid w:val="003858C4"/>
    <w:rsid w:val="00385D89"/>
    <w:rsid w:val="00385E18"/>
    <w:rsid w:val="0038738E"/>
    <w:rsid w:val="00387A88"/>
    <w:rsid w:val="00390313"/>
    <w:rsid w:val="00390877"/>
    <w:rsid w:val="00390A8C"/>
    <w:rsid w:val="00390B56"/>
    <w:rsid w:val="00390E21"/>
    <w:rsid w:val="00391928"/>
    <w:rsid w:val="00391B39"/>
    <w:rsid w:val="00391E4B"/>
    <w:rsid w:val="003929E7"/>
    <w:rsid w:val="00392BCA"/>
    <w:rsid w:val="00392D2A"/>
    <w:rsid w:val="00392DB7"/>
    <w:rsid w:val="0039342A"/>
    <w:rsid w:val="003937C9"/>
    <w:rsid w:val="00394685"/>
    <w:rsid w:val="003951CA"/>
    <w:rsid w:val="003952AE"/>
    <w:rsid w:val="003957A5"/>
    <w:rsid w:val="003959C5"/>
    <w:rsid w:val="00395B50"/>
    <w:rsid w:val="003960CD"/>
    <w:rsid w:val="00396141"/>
    <w:rsid w:val="00396DB9"/>
    <w:rsid w:val="00397070"/>
    <w:rsid w:val="003974AE"/>
    <w:rsid w:val="00397992"/>
    <w:rsid w:val="00397A01"/>
    <w:rsid w:val="00397CF4"/>
    <w:rsid w:val="00397D72"/>
    <w:rsid w:val="00397DE0"/>
    <w:rsid w:val="003A01C6"/>
    <w:rsid w:val="003A03E8"/>
    <w:rsid w:val="003A0CCD"/>
    <w:rsid w:val="003A0DEC"/>
    <w:rsid w:val="003A169B"/>
    <w:rsid w:val="003A1914"/>
    <w:rsid w:val="003A1A84"/>
    <w:rsid w:val="003A1E28"/>
    <w:rsid w:val="003A20B6"/>
    <w:rsid w:val="003A21FC"/>
    <w:rsid w:val="003A22CC"/>
    <w:rsid w:val="003A239A"/>
    <w:rsid w:val="003A26FE"/>
    <w:rsid w:val="003A37B4"/>
    <w:rsid w:val="003A3E8E"/>
    <w:rsid w:val="003A51E0"/>
    <w:rsid w:val="003A58B4"/>
    <w:rsid w:val="003A5BAE"/>
    <w:rsid w:val="003A60FC"/>
    <w:rsid w:val="003A6D9C"/>
    <w:rsid w:val="003A6FFF"/>
    <w:rsid w:val="003A7558"/>
    <w:rsid w:val="003A76F0"/>
    <w:rsid w:val="003B0448"/>
    <w:rsid w:val="003B050D"/>
    <w:rsid w:val="003B05CA"/>
    <w:rsid w:val="003B096F"/>
    <w:rsid w:val="003B1989"/>
    <w:rsid w:val="003B1CB5"/>
    <w:rsid w:val="003B1E54"/>
    <w:rsid w:val="003B277C"/>
    <w:rsid w:val="003B2A3E"/>
    <w:rsid w:val="003B2A7B"/>
    <w:rsid w:val="003B2E44"/>
    <w:rsid w:val="003B3BC3"/>
    <w:rsid w:val="003B3F84"/>
    <w:rsid w:val="003B4048"/>
    <w:rsid w:val="003B47AF"/>
    <w:rsid w:val="003B497B"/>
    <w:rsid w:val="003B4AD3"/>
    <w:rsid w:val="003B4B86"/>
    <w:rsid w:val="003B508B"/>
    <w:rsid w:val="003B55CB"/>
    <w:rsid w:val="003B60A0"/>
    <w:rsid w:val="003B639C"/>
    <w:rsid w:val="003B6570"/>
    <w:rsid w:val="003B6929"/>
    <w:rsid w:val="003B795C"/>
    <w:rsid w:val="003B7DC0"/>
    <w:rsid w:val="003C0399"/>
    <w:rsid w:val="003C071F"/>
    <w:rsid w:val="003C12DD"/>
    <w:rsid w:val="003C13C7"/>
    <w:rsid w:val="003C28C9"/>
    <w:rsid w:val="003C2AF9"/>
    <w:rsid w:val="003C2D69"/>
    <w:rsid w:val="003C318B"/>
    <w:rsid w:val="003C32E3"/>
    <w:rsid w:val="003C34BF"/>
    <w:rsid w:val="003C433A"/>
    <w:rsid w:val="003C4CDB"/>
    <w:rsid w:val="003C5B5D"/>
    <w:rsid w:val="003C5F88"/>
    <w:rsid w:val="003C7897"/>
    <w:rsid w:val="003C796E"/>
    <w:rsid w:val="003C7B93"/>
    <w:rsid w:val="003D0221"/>
    <w:rsid w:val="003D0A72"/>
    <w:rsid w:val="003D0DB9"/>
    <w:rsid w:val="003D138D"/>
    <w:rsid w:val="003D1519"/>
    <w:rsid w:val="003D1937"/>
    <w:rsid w:val="003D1B35"/>
    <w:rsid w:val="003D1BB3"/>
    <w:rsid w:val="003D2182"/>
    <w:rsid w:val="003D2733"/>
    <w:rsid w:val="003D28C7"/>
    <w:rsid w:val="003D2AA6"/>
    <w:rsid w:val="003D2CBE"/>
    <w:rsid w:val="003D2CDE"/>
    <w:rsid w:val="003D3341"/>
    <w:rsid w:val="003D33BE"/>
    <w:rsid w:val="003D3A17"/>
    <w:rsid w:val="003D4179"/>
    <w:rsid w:val="003D4480"/>
    <w:rsid w:val="003D44F0"/>
    <w:rsid w:val="003D48FC"/>
    <w:rsid w:val="003D49D0"/>
    <w:rsid w:val="003D4AEC"/>
    <w:rsid w:val="003D4D3F"/>
    <w:rsid w:val="003D545A"/>
    <w:rsid w:val="003D5681"/>
    <w:rsid w:val="003D5CED"/>
    <w:rsid w:val="003D5F61"/>
    <w:rsid w:val="003D640D"/>
    <w:rsid w:val="003D6566"/>
    <w:rsid w:val="003D6734"/>
    <w:rsid w:val="003D6763"/>
    <w:rsid w:val="003D6A85"/>
    <w:rsid w:val="003D7163"/>
    <w:rsid w:val="003D7853"/>
    <w:rsid w:val="003D7BAA"/>
    <w:rsid w:val="003E0063"/>
    <w:rsid w:val="003E0A86"/>
    <w:rsid w:val="003E0F8E"/>
    <w:rsid w:val="003E0FC9"/>
    <w:rsid w:val="003E1029"/>
    <w:rsid w:val="003E10D3"/>
    <w:rsid w:val="003E1311"/>
    <w:rsid w:val="003E14D5"/>
    <w:rsid w:val="003E187B"/>
    <w:rsid w:val="003E189B"/>
    <w:rsid w:val="003E1F87"/>
    <w:rsid w:val="003E2285"/>
    <w:rsid w:val="003E2410"/>
    <w:rsid w:val="003E294F"/>
    <w:rsid w:val="003E2E14"/>
    <w:rsid w:val="003E2EB0"/>
    <w:rsid w:val="003E2F37"/>
    <w:rsid w:val="003E3110"/>
    <w:rsid w:val="003E3234"/>
    <w:rsid w:val="003E384D"/>
    <w:rsid w:val="003E3C99"/>
    <w:rsid w:val="003E3D99"/>
    <w:rsid w:val="003E3F4C"/>
    <w:rsid w:val="003E401D"/>
    <w:rsid w:val="003E4153"/>
    <w:rsid w:val="003E4416"/>
    <w:rsid w:val="003E4701"/>
    <w:rsid w:val="003E4B85"/>
    <w:rsid w:val="003E56BD"/>
    <w:rsid w:val="003E5CF9"/>
    <w:rsid w:val="003E6376"/>
    <w:rsid w:val="003E654D"/>
    <w:rsid w:val="003E6744"/>
    <w:rsid w:val="003E6766"/>
    <w:rsid w:val="003E6BDD"/>
    <w:rsid w:val="003E6C79"/>
    <w:rsid w:val="003E7575"/>
    <w:rsid w:val="003E773C"/>
    <w:rsid w:val="003E7776"/>
    <w:rsid w:val="003E7A5B"/>
    <w:rsid w:val="003E7AE6"/>
    <w:rsid w:val="003F0354"/>
    <w:rsid w:val="003F0442"/>
    <w:rsid w:val="003F0D38"/>
    <w:rsid w:val="003F0D5C"/>
    <w:rsid w:val="003F1172"/>
    <w:rsid w:val="003F1378"/>
    <w:rsid w:val="003F155C"/>
    <w:rsid w:val="003F1589"/>
    <w:rsid w:val="003F16D3"/>
    <w:rsid w:val="003F181C"/>
    <w:rsid w:val="003F1E47"/>
    <w:rsid w:val="003F2186"/>
    <w:rsid w:val="003F2CA2"/>
    <w:rsid w:val="003F2E99"/>
    <w:rsid w:val="003F2F6A"/>
    <w:rsid w:val="003F4488"/>
    <w:rsid w:val="003F489F"/>
    <w:rsid w:val="003F5232"/>
    <w:rsid w:val="003F52E6"/>
    <w:rsid w:val="003F5933"/>
    <w:rsid w:val="003F5937"/>
    <w:rsid w:val="003F59D2"/>
    <w:rsid w:val="003F61B1"/>
    <w:rsid w:val="003F6ABF"/>
    <w:rsid w:val="003F6EA6"/>
    <w:rsid w:val="003F73E7"/>
    <w:rsid w:val="003F7559"/>
    <w:rsid w:val="004002EE"/>
    <w:rsid w:val="00400319"/>
    <w:rsid w:val="00400435"/>
    <w:rsid w:val="00400C11"/>
    <w:rsid w:val="00400DD1"/>
    <w:rsid w:val="00401064"/>
    <w:rsid w:val="004012BC"/>
    <w:rsid w:val="004014B2"/>
    <w:rsid w:val="004015EF"/>
    <w:rsid w:val="00401EC9"/>
    <w:rsid w:val="004032A6"/>
    <w:rsid w:val="0040363A"/>
    <w:rsid w:val="004038F0"/>
    <w:rsid w:val="004038FF"/>
    <w:rsid w:val="004039A2"/>
    <w:rsid w:val="00403BC4"/>
    <w:rsid w:val="004044A1"/>
    <w:rsid w:val="004047C8"/>
    <w:rsid w:val="0040489E"/>
    <w:rsid w:val="0040523A"/>
    <w:rsid w:val="004052CF"/>
    <w:rsid w:val="00405487"/>
    <w:rsid w:val="00406206"/>
    <w:rsid w:val="00407489"/>
    <w:rsid w:val="00407815"/>
    <w:rsid w:val="00407D0C"/>
    <w:rsid w:val="004104AA"/>
    <w:rsid w:val="00410CCF"/>
    <w:rsid w:val="00411440"/>
    <w:rsid w:val="0041144F"/>
    <w:rsid w:val="00411C31"/>
    <w:rsid w:val="00411CCA"/>
    <w:rsid w:val="00411D73"/>
    <w:rsid w:val="0041207F"/>
    <w:rsid w:val="004120E1"/>
    <w:rsid w:val="004126CC"/>
    <w:rsid w:val="00413F69"/>
    <w:rsid w:val="0041411E"/>
    <w:rsid w:val="00414568"/>
    <w:rsid w:val="00414DB4"/>
    <w:rsid w:val="00415712"/>
    <w:rsid w:val="00415776"/>
    <w:rsid w:val="00415811"/>
    <w:rsid w:val="00415837"/>
    <w:rsid w:val="0041588A"/>
    <w:rsid w:val="004159A8"/>
    <w:rsid w:val="00416445"/>
    <w:rsid w:val="0041657E"/>
    <w:rsid w:val="004166BF"/>
    <w:rsid w:val="0041692A"/>
    <w:rsid w:val="00416952"/>
    <w:rsid w:val="004170ED"/>
    <w:rsid w:val="00417D92"/>
    <w:rsid w:val="00417D94"/>
    <w:rsid w:val="004200AA"/>
    <w:rsid w:val="00420132"/>
    <w:rsid w:val="0042083D"/>
    <w:rsid w:val="00420F28"/>
    <w:rsid w:val="004229B0"/>
    <w:rsid w:val="00423A56"/>
    <w:rsid w:val="00423F80"/>
    <w:rsid w:val="00424089"/>
    <w:rsid w:val="00424382"/>
    <w:rsid w:val="004247FC"/>
    <w:rsid w:val="0042487A"/>
    <w:rsid w:val="004251CE"/>
    <w:rsid w:val="0042545A"/>
    <w:rsid w:val="004256EE"/>
    <w:rsid w:val="00425A9D"/>
    <w:rsid w:val="00426119"/>
    <w:rsid w:val="00426AC6"/>
    <w:rsid w:val="00427723"/>
    <w:rsid w:val="00427993"/>
    <w:rsid w:val="00427C5D"/>
    <w:rsid w:val="00427FAF"/>
    <w:rsid w:val="0043010F"/>
    <w:rsid w:val="004301ED"/>
    <w:rsid w:val="004302D1"/>
    <w:rsid w:val="004304A0"/>
    <w:rsid w:val="004307E4"/>
    <w:rsid w:val="00430ED6"/>
    <w:rsid w:val="00431068"/>
    <w:rsid w:val="004311B6"/>
    <w:rsid w:val="004316EB"/>
    <w:rsid w:val="004316FF"/>
    <w:rsid w:val="004329A3"/>
    <w:rsid w:val="00432F1F"/>
    <w:rsid w:val="0043362E"/>
    <w:rsid w:val="00433A6C"/>
    <w:rsid w:val="00433BD4"/>
    <w:rsid w:val="00433F40"/>
    <w:rsid w:val="00434475"/>
    <w:rsid w:val="0043450D"/>
    <w:rsid w:val="004346A9"/>
    <w:rsid w:val="004350CB"/>
    <w:rsid w:val="00435275"/>
    <w:rsid w:val="004354F2"/>
    <w:rsid w:val="00435528"/>
    <w:rsid w:val="004357EB"/>
    <w:rsid w:val="004358FC"/>
    <w:rsid w:val="00435AB7"/>
    <w:rsid w:val="00436095"/>
    <w:rsid w:val="004360D5"/>
    <w:rsid w:val="004366E3"/>
    <w:rsid w:val="00436849"/>
    <w:rsid w:val="00436868"/>
    <w:rsid w:val="00436AB1"/>
    <w:rsid w:val="00436FDF"/>
    <w:rsid w:val="00437534"/>
    <w:rsid w:val="00437632"/>
    <w:rsid w:val="00437671"/>
    <w:rsid w:val="00437751"/>
    <w:rsid w:val="004378C5"/>
    <w:rsid w:val="0044014F"/>
    <w:rsid w:val="00440257"/>
    <w:rsid w:val="00441488"/>
    <w:rsid w:val="00441D67"/>
    <w:rsid w:val="0044213E"/>
    <w:rsid w:val="0044254C"/>
    <w:rsid w:val="00442BFC"/>
    <w:rsid w:val="00443385"/>
    <w:rsid w:val="004433ED"/>
    <w:rsid w:val="004436DA"/>
    <w:rsid w:val="00443ACA"/>
    <w:rsid w:val="00444063"/>
    <w:rsid w:val="004443C7"/>
    <w:rsid w:val="004445C2"/>
    <w:rsid w:val="00444A32"/>
    <w:rsid w:val="00444BED"/>
    <w:rsid w:val="00445A35"/>
    <w:rsid w:val="00445C95"/>
    <w:rsid w:val="00445D4B"/>
    <w:rsid w:val="004460E9"/>
    <w:rsid w:val="0044640B"/>
    <w:rsid w:val="00446466"/>
    <w:rsid w:val="00446534"/>
    <w:rsid w:val="004472EF"/>
    <w:rsid w:val="0045030C"/>
    <w:rsid w:val="00450475"/>
    <w:rsid w:val="00450588"/>
    <w:rsid w:val="0045099F"/>
    <w:rsid w:val="00450C8F"/>
    <w:rsid w:val="00450E29"/>
    <w:rsid w:val="00452083"/>
    <w:rsid w:val="00453006"/>
    <w:rsid w:val="00453052"/>
    <w:rsid w:val="004534E1"/>
    <w:rsid w:val="004561EC"/>
    <w:rsid w:val="004564C3"/>
    <w:rsid w:val="00456806"/>
    <w:rsid w:val="00456A2D"/>
    <w:rsid w:val="00456ABD"/>
    <w:rsid w:val="00457706"/>
    <w:rsid w:val="004578DA"/>
    <w:rsid w:val="00457AB8"/>
    <w:rsid w:val="00457BD9"/>
    <w:rsid w:val="00457EF9"/>
    <w:rsid w:val="004611C2"/>
    <w:rsid w:val="0046167E"/>
    <w:rsid w:val="004617F2"/>
    <w:rsid w:val="00461B6C"/>
    <w:rsid w:val="004621F2"/>
    <w:rsid w:val="00462A6A"/>
    <w:rsid w:val="00462BFA"/>
    <w:rsid w:val="00463683"/>
    <w:rsid w:val="004636E2"/>
    <w:rsid w:val="00463F47"/>
    <w:rsid w:val="0046425C"/>
    <w:rsid w:val="00464941"/>
    <w:rsid w:val="00464B2C"/>
    <w:rsid w:val="00464D09"/>
    <w:rsid w:val="004651CE"/>
    <w:rsid w:val="0046575C"/>
    <w:rsid w:val="0046592C"/>
    <w:rsid w:val="00465A3B"/>
    <w:rsid w:val="00465C6C"/>
    <w:rsid w:val="00465E51"/>
    <w:rsid w:val="00466CFC"/>
    <w:rsid w:val="00467118"/>
    <w:rsid w:val="00467562"/>
    <w:rsid w:val="00467BD2"/>
    <w:rsid w:val="00467D73"/>
    <w:rsid w:val="00470974"/>
    <w:rsid w:val="00470A54"/>
    <w:rsid w:val="00471031"/>
    <w:rsid w:val="00471055"/>
    <w:rsid w:val="0047160E"/>
    <w:rsid w:val="0047168F"/>
    <w:rsid w:val="004723D4"/>
    <w:rsid w:val="00472C60"/>
    <w:rsid w:val="00472E04"/>
    <w:rsid w:val="004731D0"/>
    <w:rsid w:val="00473446"/>
    <w:rsid w:val="004738B8"/>
    <w:rsid w:val="00473AE1"/>
    <w:rsid w:val="0047406C"/>
    <w:rsid w:val="0047425B"/>
    <w:rsid w:val="00474A37"/>
    <w:rsid w:val="00474A73"/>
    <w:rsid w:val="00475C28"/>
    <w:rsid w:val="00475D39"/>
    <w:rsid w:val="00476967"/>
    <w:rsid w:val="00476F18"/>
    <w:rsid w:val="0047764E"/>
    <w:rsid w:val="00480383"/>
    <w:rsid w:val="0048212D"/>
    <w:rsid w:val="004826FD"/>
    <w:rsid w:val="00482990"/>
    <w:rsid w:val="00482A26"/>
    <w:rsid w:val="00483234"/>
    <w:rsid w:val="0048329A"/>
    <w:rsid w:val="00483D70"/>
    <w:rsid w:val="00484DBF"/>
    <w:rsid w:val="00485D01"/>
    <w:rsid w:val="00485DA3"/>
    <w:rsid w:val="0048615E"/>
    <w:rsid w:val="004862A0"/>
    <w:rsid w:val="004865AC"/>
    <w:rsid w:val="00487365"/>
    <w:rsid w:val="00487897"/>
    <w:rsid w:val="00487A2D"/>
    <w:rsid w:val="0049001E"/>
    <w:rsid w:val="00490178"/>
    <w:rsid w:val="004905C4"/>
    <w:rsid w:val="004909F6"/>
    <w:rsid w:val="00490FAF"/>
    <w:rsid w:val="004917E9"/>
    <w:rsid w:val="00491A90"/>
    <w:rsid w:val="00491AA4"/>
    <w:rsid w:val="00491B66"/>
    <w:rsid w:val="00492022"/>
    <w:rsid w:val="0049211A"/>
    <w:rsid w:val="0049216C"/>
    <w:rsid w:val="0049251C"/>
    <w:rsid w:val="0049262D"/>
    <w:rsid w:val="00492FDB"/>
    <w:rsid w:val="0049315C"/>
    <w:rsid w:val="004934FF"/>
    <w:rsid w:val="0049370C"/>
    <w:rsid w:val="00493710"/>
    <w:rsid w:val="004940AD"/>
    <w:rsid w:val="0049432A"/>
    <w:rsid w:val="0049441C"/>
    <w:rsid w:val="00494C00"/>
    <w:rsid w:val="00495275"/>
    <w:rsid w:val="0049529E"/>
    <w:rsid w:val="00495B3E"/>
    <w:rsid w:val="00495D74"/>
    <w:rsid w:val="004963B9"/>
    <w:rsid w:val="00496E86"/>
    <w:rsid w:val="004970A7"/>
    <w:rsid w:val="004977E8"/>
    <w:rsid w:val="00497BFE"/>
    <w:rsid w:val="00497C7C"/>
    <w:rsid w:val="004A002A"/>
    <w:rsid w:val="004A17B3"/>
    <w:rsid w:val="004A18A3"/>
    <w:rsid w:val="004A1CD5"/>
    <w:rsid w:val="004A1E6D"/>
    <w:rsid w:val="004A27CA"/>
    <w:rsid w:val="004A282B"/>
    <w:rsid w:val="004A3257"/>
    <w:rsid w:val="004A326E"/>
    <w:rsid w:val="004A3ABC"/>
    <w:rsid w:val="004A3B8E"/>
    <w:rsid w:val="004A3D52"/>
    <w:rsid w:val="004A432E"/>
    <w:rsid w:val="004A4923"/>
    <w:rsid w:val="004A4F9F"/>
    <w:rsid w:val="004A4FE5"/>
    <w:rsid w:val="004A515E"/>
    <w:rsid w:val="004A5635"/>
    <w:rsid w:val="004A6DD1"/>
    <w:rsid w:val="004A7124"/>
    <w:rsid w:val="004A73A4"/>
    <w:rsid w:val="004A756B"/>
    <w:rsid w:val="004B0854"/>
    <w:rsid w:val="004B0D2A"/>
    <w:rsid w:val="004B0D33"/>
    <w:rsid w:val="004B1419"/>
    <w:rsid w:val="004B1504"/>
    <w:rsid w:val="004B1F9C"/>
    <w:rsid w:val="004B2602"/>
    <w:rsid w:val="004B29DA"/>
    <w:rsid w:val="004B2B4D"/>
    <w:rsid w:val="004B2D7D"/>
    <w:rsid w:val="004B2E22"/>
    <w:rsid w:val="004B2EFF"/>
    <w:rsid w:val="004B321F"/>
    <w:rsid w:val="004B32F6"/>
    <w:rsid w:val="004B33B9"/>
    <w:rsid w:val="004B3A91"/>
    <w:rsid w:val="004B3C30"/>
    <w:rsid w:val="004B428B"/>
    <w:rsid w:val="004B4505"/>
    <w:rsid w:val="004B4B82"/>
    <w:rsid w:val="004B5246"/>
    <w:rsid w:val="004B5317"/>
    <w:rsid w:val="004B5801"/>
    <w:rsid w:val="004B58FE"/>
    <w:rsid w:val="004B5A6C"/>
    <w:rsid w:val="004B5A97"/>
    <w:rsid w:val="004B6319"/>
    <w:rsid w:val="004B6609"/>
    <w:rsid w:val="004B69A2"/>
    <w:rsid w:val="004B7028"/>
    <w:rsid w:val="004B70A9"/>
    <w:rsid w:val="004B7860"/>
    <w:rsid w:val="004B787D"/>
    <w:rsid w:val="004B7DB1"/>
    <w:rsid w:val="004B7F38"/>
    <w:rsid w:val="004C042F"/>
    <w:rsid w:val="004C08A9"/>
    <w:rsid w:val="004C09A9"/>
    <w:rsid w:val="004C1307"/>
    <w:rsid w:val="004C1932"/>
    <w:rsid w:val="004C1B90"/>
    <w:rsid w:val="004C2491"/>
    <w:rsid w:val="004C2A8C"/>
    <w:rsid w:val="004C2EE3"/>
    <w:rsid w:val="004C345F"/>
    <w:rsid w:val="004C3774"/>
    <w:rsid w:val="004C4C46"/>
    <w:rsid w:val="004C520B"/>
    <w:rsid w:val="004C53C6"/>
    <w:rsid w:val="004C54D5"/>
    <w:rsid w:val="004C5E78"/>
    <w:rsid w:val="004C6151"/>
    <w:rsid w:val="004C6162"/>
    <w:rsid w:val="004C6C8E"/>
    <w:rsid w:val="004C7346"/>
    <w:rsid w:val="004C7793"/>
    <w:rsid w:val="004C7E7D"/>
    <w:rsid w:val="004D0CBC"/>
    <w:rsid w:val="004D0D1E"/>
    <w:rsid w:val="004D11CA"/>
    <w:rsid w:val="004D174B"/>
    <w:rsid w:val="004D17BF"/>
    <w:rsid w:val="004D1A04"/>
    <w:rsid w:val="004D1CA1"/>
    <w:rsid w:val="004D1FD6"/>
    <w:rsid w:val="004D2579"/>
    <w:rsid w:val="004D277D"/>
    <w:rsid w:val="004D34CD"/>
    <w:rsid w:val="004D3935"/>
    <w:rsid w:val="004D39C5"/>
    <w:rsid w:val="004D3D6E"/>
    <w:rsid w:val="004D3EA2"/>
    <w:rsid w:val="004D4373"/>
    <w:rsid w:val="004D45D3"/>
    <w:rsid w:val="004D4838"/>
    <w:rsid w:val="004D488E"/>
    <w:rsid w:val="004D5050"/>
    <w:rsid w:val="004D5120"/>
    <w:rsid w:val="004D52A1"/>
    <w:rsid w:val="004D5AB4"/>
    <w:rsid w:val="004D6238"/>
    <w:rsid w:val="004D6272"/>
    <w:rsid w:val="004D6C83"/>
    <w:rsid w:val="004D6E40"/>
    <w:rsid w:val="004D733F"/>
    <w:rsid w:val="004D74A2"/>
    <w:rsid w:val="004D7D09"/>
    <w:rsid w:val="004D7EA4"/>
    <w:rsid w:val="004E0100"/>
    <w:rsid w:val="004E0C3C"/>
    <w:rsid w:val="004E0F70"/>
    <w:rsid w:val="004E17AA"/>
    <w:rsid w:val="004E1AED"/>
    <w:rsid w:val="004E1B49"/>
    <w:rsid w:val="004E1D61"/>
    <w:rsid w:val="004E218D"/>
    <w:rsid w:val="004E2679"/>
    <w:rsid w:val="004E30E2"/>
    <w:rsid w:val="004E3102"/>
    <w:rsid w:val="004E409B"/>
    <w:rsid w:val="004E4383"/>
    <w:rsid w:val="004E43E2"/>
    <w:rsid w:val="004E4870"/>
    <w:rsid w:val="004E4E46"/>
    <w:rsid w:val="004E4E99"/>
    <w:rsid w:val="004E589F"/>
    <w:rsid w:val="004E5B78"/>
    <w:rsid w:val="004E62F2"/>
    <w:rsid w:val="004E6583"/>
    <w:rsid w:val="004E658D"/>
    <w:rsid w:val="004E680E"/>
    <w:rsid w:val="004E68E5"/>
    <w:rsid w:val="004E6AF6"/>
    <w:rsid w:val="004E6DD3"/>
    <w:rsid w:val="004E7005"/>
    <w:rsid w:val="004F07E6"/>
    <w:rsid w:val="004F0927"/>
    <w:rsid w:val="004F0CCA"/>
    <w:rsid w:val="004F1254"/>
    <w:rsid w:val="004F17FE"/>
    <w:rsid w:val="004F1820"/>
    <w:rsid w:val="004F18BF"/>
    <w:rsid w:val="004F2013"/>
    <w:rsid w:val="004F250E"/>
    <w:rsid w:val="004F27E6"/>
    <w:rsid w:val="004F28B3"/>
    <w:rsid w:val="004F2C68"/>
    <w:rsid w:val="004F2E78"/>
    <w:rsid w:val="004F2EB2"/>
    <w:rsid w:val="004F3191"/>
    <w:rsid w:val="004F368A"/>
    <w:rsid w:val="004F385C"/>
    <w:rsid w:val="004F385E"/>
    <w:rsid w:val="004F4097"/>
    <w:rsid w:val="004F438F"/>
    <w:rsid w:val="004F4533"/>
    <w:rsid w:val="004F45C9"/>
    <w:rsid w:val="004F4735"/>
    <w:rsid w:val="004F4A29"/>
    <w:rsid w:val="004F5267"/>
    <w:rsid w:val="004F5C3D"/>
    <w:rsid w:val="004F5ECB"/>
    <w:rsid w:val="004F6C73"/>
    <w:rsid w:val="004F6E04"/>
    <w:rsid w:val="004F7FFA"/>
    <w:rsid w:val="00500850"/>
    <w:rsid w:val="00500D0E"/>
    <w:rsid w:val="005017B4"/>
    <w:rsid w:val="0050189A"/>
    <w:rsid w:val="00501978"/>
    <w:rsid w:val="00501D54"/>
    <w:rsid w:val="00501DC8"/>
    <w:rsid w:val="00502079"/>
    <w:rsid w:val="005021A2"/>
    <w:rsid w:val="005025A1"/>
    <w:rsid w:val="00502BCE"/>
    <w:rsid w:val="00502C2B"/>
    <w:rsid w:val="0050318D"/>
    <w:rsid w:val="0050426F"/>
    <w:rsid w:val="0050432A"/>
    <w:rsid w:val="005047B6"/>
    <w:rsid w:val="00504C3F"/>
    <w:rsid w:val="00504D07"/>
    <w:rsid w:val="00504EB8"/>
    <w:rsid w:val="00505570"/>
    <w:rsid w:val="0050596D"/>
    <w:rsid w:val="005059CC"/>
    <w:rsid w:val="00505C00"/>
    <w:rsid w:val="00505C81"/>
    <w:rsid w:val="00505E76"/>
    <w:rsid w:val="00505F15"/>
    <w:rsid w:val="00506285"/>
    <w:rsid w:val="005062AC"/>
    <w:rsid w:val="00506650"/>
    <w:rsid w:val="005066D6"/>
    <w:rsid w:val="00506734"/>
    <w:rsid w:val="00506B31"/>
    <w:rsid w:val="00507A3D"/>
    <w:rsid w:val="005101F4"/>
    <w:rsid w:val="005102BB"/>
    <w:rsid w:val="00510368"/>
    <w:rsid w:val="005106AB"/>
    <w:rsid w:val="00510783"/>
    <w:rsid w:val="00510F3B"/>
    <w:rsid w:val="00511660"/>
    <w:rsid w:val="00512316"/>
    <w:rsid w:val="00512747"/>
    <w:rsid w:val="00512B9C"/>
    <w:rsid w:val="005137F3"/>
    <w:rsid w:val="00514066"/>
    <w:rsid w:val="00514AFF"/>
    <w:rsid w:val="00514FEC"/>
    <w:rsid w:val="005154A8"/>
    <w:rsid w:val="00515F19"/>
    <w:rsid w:val="0051614E"/>
    <w:rsid w:val="00516566"/>
    <w:rsid w:val="00516928"/>
    <w:rsid w:val="00516E97"/>
    <w:rsid w:val="005172DD"/>
    <w:rsid w:val="0051756E"/>
    <w:rsid w:val="00517CAB"/>
    <w:rsid w:val="00520343"/>
    <w:rsid w:val="005206C3"/>
    <w:rsid w:val="00520841"/>
    <w:rsid w:val="0052128C"/>
    <w:rsid w:val="005218DA"/>
    <w:rsid w:val="00521C2B"/>
    <w:rsid w:val="00521DCF"/>
    <w:rsid w:val="0052262E"/>
    <w:rsid w:val="00522651"/>
    <w:rsid w:val="00522F02"/>
    <w:rsid w:val="005231E2"/>
    <w:rsid w:val="005234FA"/>
    <w:rsid w:val="0052377B"/>
    <w:rsid w:val="005237DD"/>
    <w:rsid w:val="00523FA3"/>
    <w:rsid w:val="00524396"/>
    <w:rsid w:val="00524406"/>
    <w:rsid w:val="00524E40"/>
    <w:rsid w:val="00525113"/>
    <w:rsid w:val="00525611"/>
    <w:rsid w:val="00525F07"/>
    <w:rsid w:val="005265AF"/>
    <w:rsid w:val="005266FD"/>
    <w:rsid w:val="00526991"/>
    <w:rsid w:val="00526C60"/>
    <w:rsid w:val="00526D4C"/>
    <w:rsid w:val="00526F51"/>
    <w:rsid w:val="00527055"/>
    <w:rsid w:val="0052716E"/>
    <w:rsid w:val="00527292"/>
    <w:rsid w:val="005272B2"/>
    <w:rsid w:val="005272BB"/>
    <w:rsid w:val="005275B9"/>
    <w:rsid w:val="005275CF"/>
    <w:rsid w:val="0052766E"/>
    <w:rsid w:val="00527A16"/>
    <w:rsid w:val="00527A4C"/>
    <w:rsid w:val="00527C0A"/>
    <w:rsid w:val="00527C1A"/>
    <w:rsid w:val="00527C4C"/>
    <w:rsid w:val="00530623"/>
    <w:rsid w:val="00530742"/>
    <w:rsid w:val="0053148E"/>
    <w:rsid w:val="00531694"/>
    <w:rsid w:val="00531D61"/>
    <w:rsid w:val="0053261C"/>
    <w:rsid w:val="00532945"/>
    <w:rsid w:val="00532A12"/>
    <w:rsid w:val="0053372F"/>
    <w:rsid w:val="00533F45"/>
    <w:rsid w:val="005340DB"/>
    <w:rsid w:val="00534189"/>
    <w:rsid w:val="0053488F"/>
    <w:rsid w:val="00534AAC"/>
    <w:rsid w:val="005351D5"/>
    <w:rsid w:val="005355DA"/>
    <w:rsid w:val="005357FB"/>
    <w:rsid w:val="0053585B"/>
    <w:rsid w:val="005359A1"/>
    <w:rsid w:val="00535A78"/>
    <w:rsid w:val="00535AB5"/>
    <w:rsid w:val="00535C97"/>
    <w:rsid w:val="00535FC5"/>
    <w:rsid w:val="00536034"/>
    <w:rsid w:val="005362CD"/>
    <w:rsid w:val="005365DF"/>
    <w:rsid w:val="00536678"/>
    <w:rsid w:val="00536688"/>
    <w:rsid w:val="005367C0"/>
    <w:rsid w:val="005367FE"/>
    <w:rsid w:val="005368EE"/>
    <w:rsid w:val="00536909"/>
    <w:rsid w:val="0053703C"/>
    <w:rsid w:val="005378FD"/>
    <w:rsid w:val="00537A98"/>
    <w:rsid w:val="00537B82"/>
    <w:rsid w:val="00537D8D"/>
    <w:rsid w:val="005407AC"/>
    <w:rsid w:val="00541240"/>
    <w:rsid w:val="0054178C"/>
    <w:rsid w:val="00541B33"/>
    <w:rsid w:val="00541E85"/>
    <w:rsid w:val="0054260A"/>
    <w:rsid w:val="005429E8"/>
    <w:rsid w:val="00542E17"/>
    <w:rsid w:val="00543559"/>
    <w:rsid w:val="0054394C"/>
    <w:rsid w:val="005441D5"/>
    <w:rsid w:val="0054421D"/>
    <w:rsid w:val="005443BA"/>
    <w:rsid w:val="005444BD"/>
    <w:rsid w:val="00544683"/>
    <w:rsid w:val="005447D8"/>
    <w:rsid w:val="00544985"/>
    <w:rsid w:val="00544CBA"/>
    <w:rsid w:val="00544D78"/>
    <w:rsid w:val="00545498"/>
    <w:rsid w:val="00545BCC"/>
    <w:rsid w:val="00546318"/>
    <w:rsid w:val="0054632C"/>
    <w:rsid w:val="00546AE4"/>
    <w:rsid w:val="00546C66"/>
    <w:rsid w:val="00546E46"/>
    <w:rsid w:val="00547205"/>
    <w:rsid w:val="005473E3"/>
    <w:rsid w:val="005474B5"/>
    <w:rsid w:val="005475F2"/>
    <w:rsid w:val="005479FC"/>
    <w:rsid w:val="00547B2C"/>
    <w:rsid w:val="00547E02"/>
    <w:rsid w:val="0055104A"/>
    <w:rsid w:val="005516F5"/>
    <w:rsid w:val="005516F9"/>
    <w:rsid w:val="00552023"/>
    <w:rsid w:val="005520E5"/>
    <w:rsid w:val="005522AA"/>
    <w:rsid w:val="005530D1"/>
    <w:rsid w:val="005531AA"/>
    <w:rsid w:val="00553D88"/>
    <w:rsid w:val="00553F65"/>
    <w:rsid w:val="005548CC"/>
    <w:rsid w:val="005549FF"/>
    <w:rsid w:val="00554C27"/>
    <w:rsid w:val="00554ED3"/>
    <w:rsid w:val="005553E9"/>
    <w:rsid w:val="00555BA7"/>
    <w:rsid w:val="00555FDF"/>
    <w:rsid w:val="00556342"/>
    <w:rsid w:val="00556501"/>
    <w:rsid w:val="005566D0"/>
    <w:rsid w:val="005566D2"/>
    <w:rsid w:val="005567F7"/>
    <w:rsid w:val="00556AA0"/>
    <w:rsid w:val="005572A3"/>
    <w:rsid w:val="00557339"/>
    <w:rsid w:val="00557467"/>
    <w:rsid w:val="00560655"/>
    <w:rsid w:val="00560710"/>
    <w:rsid w:val="0056085D"/>
    <w:rsid w:val="00560904"/>
    <w:rsid w:val="00561EAA"/>
    <w:rsid w:val="0056242B"/>
    <w:rsid w:val="00562643"/>
    <w:rsid w:val="00562EFE"/>
    <w:rsid w:val="00563D07"/>
    <w:rsid w:val="005644D4"/>
    <w:rsid w:val="00564523"/>
    <w:rsid w:val="005646AC"/>
    <w:rsid w:val="005646B0"/>
    <w:rsid w:val="00564750"/>
    <w:rsid w:val="005653CC"/>
    <w:rsid w:val="005656C2"/>
    <w:rsid w:val="0056661C"/>
    <w:rsid w:val="00566935"/>
    <w:rsid w:val="00566C41"/>
    <w:rsid w:val="00566D94"/>
    <w:rsid w:val="00567CB4"/>
    <w:rsid w:val="00570220"/>
    <w:rsid w:val="005702C4"/>
    <w:rsid w:val="005702C5"/>
    <w:rsid w:val="005704F8"/>
    <w:rsid w:val="00570773"/>
    <w:rsid w:val="00570E7E"/>
    <w:rsid w:val="005710EE"/>
    <w:rsid w:val="00571956"/>
    <w:rsid w:val="005721AA"/>
    <w:rsid w:val="00572870"/>
    <w:rsid w:val="00572B69"/>
    <w:rsid w:val="0057331F"/>
    <w:rsid w:val="00573942"/>
    <w:rsid w:val="005739BE"/>
    <w:rsid w:val="00573C9E"/>
    <w:rsid w:val="005742CF"/>
    <w:rsid w:val="005746C1"/>
    <w:rsid w:val="00574821"/>
    <w:rsid w:val="00574840"/>
    <w:rsid w:val="005748E0"/>
    <w:rsid w:val="00574DB1"/>
    <w:rsid w:val="00574E65"/>
    <w:rsid w:val="005756B7"/>
    <w:rsid w:val="005759C2"/>
    <w:rsid w:val="00575FB3"/>
    <w:rsid w:val="005765D6"/>
    <w:rsid w:val="005765F1"/>
    <w:rsid w:val="00577026"/>
    <w:rsid w:val="005775DA"/>
    <w:rsid w:val="00577711"/>
    <w:rsid w:val="00577869"/>
    <w:rsid w:val="00580034"/>
    <w:rsid w:val="005802ED"/>
    <w:rsid w:val="0058033A"/>
    <w:rsid w:val="00580655"/>
    <w:rsid w:val="00580FCF"/>
    <w:rsid w:val="00581110"/>
    <w:rsid w:val="00581332"/>
    <w:rsid w:val="005820D7"/>
    <w:rsid w:val="005821F5"/>
    <w:rsid w:val="005823A6"/>
    <w:rsid w:val="00582535"/>
    <w:rsid w:val="00582D48"/>
    <w:rsid w:val="0058304C"/>
    <w:rsid w:val="00583219"/>
    <w:rsid w:val="00583865"/>
    <w:rsid w:val="00583C10"/>
    <w:rsid w:val="00583E19"/>
    <w:rsid w:val="0058402E"/>
    <w:rsid w:val="00584311"/>
    <w:rsid w:val="00584363"/>
    <w:rsid w:val="0058445F"/>
    <w:rsid w:val="0058467B"/>
    <w:rsid w:val="005856E9"/>
    <w:rsid w:val="00585918"/>
    <w:rsid w:val="0058598F"/>
    <w:rsid w:val="00586901"/>
    <w:rsid w:val="00586B85"/>
    <w:rsid w:val="00586CEE"/>
    <w:rsid w:val="005873D6"/>
    <w:rsid w:val="00587A0C"/>
    <w:rsid w:val="00587C0E"/>
    <w:rsid w:val="00587C2D"/>
    <w:rsid w:val="00587D1D"/>
    <w:rsid w:val="00587DF3"/>
    <w:rsid w:val="00587FB1"/>
    <w:rsid w:val="00590139"/>
    <w:rsid w:val="00590B07"/>
    <w:rsid w:val="00590B3B"/>
    <w:rsid w:val="00590CE4"/>
    <w:rsid w:val="00591ED4"/>
    <w:rsid w:val="0059287E"/>
    <w:rsid w:val="00592BFC"/>
    <w:rsid w:val="00592DAB"/>
    <w:rsid w:val="00592ED7"/>
    <w:rsid w:val="00593154"/>
    <w:rsid w:val="00593157"/>
    <w:rsid w:val="0059377A"/>
    <w:rsid w:val="00593839"/>
    <w:rsid w:val="00593B21"/>
    <w:rsid w:val="00594AC7"/>
    <w:rsid w:val="00594BD9"/>
    <w:rsid w:val="00594FC4"/>
    <w:rsid w:val="00595011"/>
    <w:rsid w:val="005952B2"/>
    <w:rsid w:val="005955E0"/>
    <w:rsid w:val="005956B1"/>
    <w:rsid w:val="00595887"/>
    <w:rsid w:val="00595CF3"/>
    <w:rsid w:val="00596062"/>
    <w:rsid w:val="005970E5"/>
    <w:rsid w:val="005978E6"/>
    <w:rsid w:val="00597E55"/>
    <w:rsid w:val="005A0240"/>
    <w:rsid w:val="005A082C"/>
    <w:rsid w:val="005A09CF"/>
    <w:rsid w:val="005A0B97"/>
    <w:rsid w:val="005A1BCF"/>
    <w:rsid w:val="005A1D8D"/>
    <w:rsid w:val="005A20B4"/>
    <w:rsid w:val="005A27CF"/>
    <w:rsid w:val="005A2D48"/>
    <w:rsid w:val="005A31AC"/>
    <w:rsid w:val="005A383F"/>
    <w:rsid w:val="005A3907"/>
    <w:rsid w:val="005A3C1C"/>
    <w:rsid w:val="005A3DC9"/>
    <w:rsid w:val="005A40EE"/>
    <w:rsid w:val="005A41AA"/>
    <w:rsid w:val="005A474B"/>
    <w:rsid w:val="005A4C4F"/>
    <w:rsid w:val="005A4C8E"/>
    <w:rsid w:val="005A5CFF"/>
    <w:rsid w:val="005A5DEE"/>
    <w:rsid w:val="005A5E1A"/>
    <w:rsid w:val="005A64A9"/>
    <w:rsid w:val="005A6B88"/>
    <w:rsid w:val="005A765B"/>
    <w:rsid w:val="005B01DB"/>
    <w:rsid w:val="005B07DB"/>
    <w:rsid w:val="005B0F57"/>
    <w:rsid w:val="005B0FF9"/>
    <w:rsid w:val="005B16BC"/>
    <w:rsid w:val="005B16F0"/>
    <w:rsid w:val="005B1A3E"/>
    <w:rsid w:val="005B2284"/>
    <w:rsid w:val="005B37F7"/>
    <w:rsid w:val="005B4115"/>
    <w:rsid w:val="005B457C"/>
    <w:rsid w:val="005B4863"/>
    <w:rsid w:val="005B495A"/>
    <w:rsid w:val="005B550A"/>
    <w:rsid w:val="005B5EB6"/>
    <w:rsid w:val="005B5EFF"/>
    <w:rsid w:val="005B60F1"/>
    <w:rsid w:val="005B65A9"/>
    <w:rsid w:val="005B6E3E"/>
    <w:rsid w:val="005B730F"/>
    <w:rsid w:val="005B7415"/>
    <w:rsid w:val="005B7AE8"/>
    <w:rsid w:val="005B7E25"/>
    <w:rsid w:val="005C0606"/>
    <w:rsid w:val="005C07FA"/>
    <w:rsid w:val="005C13C8"/>
    <w:rsid w:val="005C17DA"/>
    <w:rsid w:val="005C1834"/>
    <w:rsid w:val="005C1BA7"/>
    <w:rsid w:val="005C2034"/>
    <w:rsid w:val="005C31CB"/>
    <w:rsid w:val="005C3574"/>
    <w:rsid w:val="005C372A"/>
    <w:rsid w:val="005C4BA0"/>
    <w:rsid w:val="005C4F88"/>
    <w:rsid w:val="005C553D"/>
    <w:rsid w:val="005C561C"/>
    <w:rsid w:val="005C57E3"/>
    <w:rsid w:val="005C6502"/>
    <w:rsid w:val="005C6726"/>
    <w:rsid w:val="005C689F"/>
    <w:rsid w:val="005C6946"/>
    <w:rsid w:val="005C6C53"/>
    <w:rsid w:val="005C702E"/>
    <w:rsid w:val="005C7153"/>
    <w:rsid w:val="005C71BD"/>
    <w:rsid w:val="005C7313"/>
    <w:rsid w:val="005C7949"/>
    <w:rsid w:val="005C7984"/>
    <w:rsid w:val="005D026E"/>
    <w:rsid w:val="005D0EAA"/>
    <w:rsid w:val="005D0ED6"/>
    <w:rsid w:val="005D178C"/>
    <w:rsid w:val="005D1DCA"/>
    <w:rsid w:val="005D2396"/>
    <w:rsid w:val="005D2AC3"/>
    <w:rsid w:val="005D2B0E"/>
    <w:rsid w:val="005D2C44"/>
    <w:rsid w:val="005D2CB2"/>
    <w:rsid w:val="005D3071"/>
    <w:rsid w:val="005D3A36"/>
    <w:rsid w:val="005D3E2A"/>
    <w:rsid w:val="005D4217"/>
    <w:rsid w:val="005D43A4"/>
    <w:rsid w:val="005D5BAC"/>
    <w:rsid w:val="005D5EB8"/>
    <w:rsid w:val="005D61CE"/>
    <w:rsid w:val="005D67DD"/>
    <w:rsid w:val="005D6A0A"/>
    <w:rsid w:val="005D7031"/>
    <w:rsid w:val="005D718B"/>
    <w:rsid w:val="005D726E"/>
    <w:rsid w:val="005D7A81"/>
    <w:rsid w:val="005E0361"/>
    <w:rsid w:val="005E041E"/>
    <w:rsid w:val="005E0458"/>
    <w:rsid w:val="005E09C3"/>
    <w:rsid w:val="005E0C42"/>
    <w:rsid w:val="005E0DCA"/>
    <w:rsid w:val="005E12AF"/>
    <w:rsid w:val="005E130E"/>
    <w:rsid w:val="005E250B"/>
    <w:rsid w:val="005E2721"/>
    <w:rsid w:val="005E2BA9"/>
    <w:rsid w:val="005E33BD"/>
    <w:rsid w:val="005E3597"/>
    <w:rsid w:val="005E370A"/>
    <w:rsid w:val="005E45B6"/>
    <w:rsid w:val="005E5720"/>
    <w:rsid w:val="005E5C02"/>
    <w:rsid w:val="005E6F75"/>
    <w:rsid w:val="005E720F"/>
    <w:rsid w:val="005E78ED"/>
    <w:rsid w:val="005E7A41"/>
    <w:rsid w:val="005E7DC1"/>
    <w:rsid w:val="005F09E4"/>
    <w:rsid w:val="005F12F3"/>
    <w:rsid w:val="005F1729"/>
    <w:rsid w:val="005F1A5A"/>
    <w:rsid w:val="005F2634"/>
    <w:rsid w:val="005F2E5E"/>
    <w:rsid w:val="005F3733"/>
    <w:rsid w:val="005F3782"/>
    <w:rsid w:val="005F43D3"/>
    <w:rsid w:val="005F43DF"/>
    <w:rsid w:val="005F4735"/>
    <w:rsid w:val="005F4781"/>
    <w:rsid w:val="005F4918"/>
    <w:rsid w:val="005F49F6"/>
    <w:rsid w:val="005F4AE9"/>
    <w:rsid w:val="005F5593"/>
    <w:rsid w:val="005F561C"/>
    <w:rsid w:val="005F5D7B"/>
    <w:rsid w:val="005F5F0A"/>
    <w:rsid w:val="005F6001"/>
    <w:rsid w:val="005F61B3"/>
    <w:rsid w:val="005F65A2"/>
    <w:rsid w:val="005F66E5"/>
    <w:rsid w:val="005F688B"/>
    <w:rsid w:val="005F6D63"/>
    <w:rsid w:val="005F73F8"/>
    <w:rsid w:val="005F7472"/>
    <w:rsid w:val="005F74B6"/>
    <w:rsid w:val="005F769E"/>
    <w:rsid w:val="005F78B9"/>
    <w:rsid w:val="005F7B8D"/>
    <w:rsid w:val="005F7F3F"/>
    <w:rsid w:val="00600274"/>
    <w:rsid w:val="00600B37"/>
    <w:rsid w:val="00600E4E"/>
    <w:rsid w:val="0060140E"/>
    <w:rsid w:val="00601CB4"/>
    <w:rsid w:val="0060277F"/>
    <w:rsid w:val="006035B0"/>
    <w:rsid w:val="0060388A"/>
    <w:rsid w:val="006038B8"/>
    <w:rsid w:val="00603A36"/>
    <w:rsid w:val="00603C1E"/>
    <w:rsid w:val="00604263"/>
    <w:rsid w:val="0060450B"/>
    <w:rsid w:val="00606523"/>
    <w:rsid w:val="00606577"/>
    <w:rsid w:val="006065A2"/>
    <w:rsid w:val="006067ED"/>
    <w:rsid w:val="00606989"/>
    <w:rsid w:val="00607254"/>
    <w:rsid w:val="006073B8"/>
    <w:rsid w:val="00607521"/>
    <w:rsid w:val="00607A06"/>
    <w:rsid w:val="006101CE"/>
    <w:rsid w:val="006103E6"/>
    <w:rsid w:val="00610693"/>
    <w:rsid w:val="00610E01"/>
    <w:rsid w:val="0061119C"/>
    <w:rsid w:val="00611498"/>
    <w:rsid w:val="00611C97"/>
    <w:rsid w:val="006121DE"/>
    <w:rsid w:val="0061298E"/>
    <w:rsid w:val="00612FBE"/>
    <w:rsid w:val="00613184"/>
    <w:rsid w:val="00613AB8"/>
    <w:rsid w:val="00613F43"/>
    <w:rsid w:val="00614F6E"/>
    <w:rsid w:val="006155A8"/>
    <w:rsid w:val="006155F9"/>
    <w:rsid w:val="00615C34"/>
    <w:rsid w:val="00616148"/>
    <w:rsid w:val="0061630C"/>
    <w:rsid w:val="006169F9"/>
    <w:rsid w:val="00616A34"/>
    <w:rsid w:val="00616ED9"/>
    <w:rsid w:val="00617790"/>
    <w:rsid w:val="00617B7C"/>
    <w:rsid w:val="00620030"/>
    <w:rsid w:val="0062043C"/>
    <w:rsid w:val="006205C5"/>
    <w:rsid w:val="00620C3A"/>
    <w:rsid w:val="00621109"/>
    <w:rsid w:val="0062150E"/>
    <w:rsid w:val="00621AB1"/>
    <w:rsid w:val="006222F9"/>
    <w:rsid w:val="00622430"/>
    <w:rsid w:val="00622C4A"/>
    <w:rsid w:val="00623013"/>
    <w:rsid w:val="00623AD4"/>
    <w:rsid w:val="00623F64"/>
    <w:rsid w:val="00624179"/>
    <w:rsid w:val="00624855"/>
    <w:rsid w:val="006248E8"/>
    <w:rsid w:val="00624911"/>
    <w:rsid w:val="00624F1F"/>
    <w:rsid w:val="0062540E"/>
    <w:rsid w:val="00625632"/>
    <w:rsid w:val="00625E0C"/>
    <w:rsid w:val="00626192"/>
    <w:rsid w:val="00626574"/>
    <w:rsid w:val="00626646"/>
    <w:rsid w:val="00626DF9"/>
    <w:rsid w:val="006271CC"/>
    <w:rsid w:val="00627385"/>
    <w:rsid w:val="0062777F"/>
    <w:rsid w:val="00627958"/>
    <w:rsid w:val="00627EE8"/>
    <w:rsid w:val="00627F71"/>
    <w:rsid w:val="00631387"/>
    <w:rsid w:val="00631A48"/>
    <w:rsid w:val="00631F6C"/>
    <w:rsid w:val="0063236A"/>
    <w:rsid w:val="0063253C"/>
    <w:rsid w:val="0063295F"/>
    <w:rsid w:val="006329E9"/>
    <w:rsid w:val="00632A07"/>
    <w:rsid w:val="00632C00"/>
    <w:rsid w:val="006334E4"/>
    <w:rsid w:val="0063418D"/>
    <w:rsid w:val="00634541"/>
    <w:rsid w:val="00634B2D"/>
    <w:rsid w:val="00634DCF"/>
    <w:rsid w:val="00634F4E"/>
    <w:rsid w:val="00635695"/>
    <w:rsid w:val="0063579F"/>
    <w:rsid w:val="00635954"/>
    <w:rsid w:val="00635CCF"/>
    <w:rsid w:val="00635DFA"/>
    <w:rsid w:val="00636AE4"/>
    <w:rsid w:val="00636BAA"/>
    <w:rsid w:val="00637642"/>
    <w:rsid w:val="006378DA"/>
    <w:rsid w:val="00637CF8"/>
    <w:rsid w:val="00637F69"/>
    <w:rsid w:val="0064012D"/>
    <w:rsid w:val="00640467"/>
    <w:rsid w:val="00640A3F"/>
    <w:rsid w:val="00640AF5"/>
    <w:rsid w:val="00640C61"/>
    <w:rsid w:val="006419EF"/>
    <w:rsid w:val="00641EA3"/>
    <w:rsid w:val="00641F65"/>
    <w:rsid w:val="00641FA4"/>
    <w:rsid w:val="006420D6"/>
    <w:rsid w:val="00642180"/>
    <w:rsid w:val="006429CD"/>
    <w:rsid w:val="00642A20"/>
    <w:rsid w:val="00642E01"/>
    <w:rsid w:val="00643205"/>
    <w:rsid w:val="00643331"/>
    <w:rsid w:val="00643C23"/>
    <w:rsid w:val="00644BC8"/>
    <w:rsid w:val="006453D4"/>
    <w:rsid w:val="006458AF"/>
    <w:rsid w:val="00645B90"/>
    <w:rsid w:val="00645DFE"/>
    <w:rsid w:val="00645E52"/>
    <w:rsid w:val="00645F77"/>
    <w:rsid w:val="00646297"/>
    <w:rsid w:val="006466F4"/>
    <w:rsid w:val="00646DF8"/>
    <w:rsid w:val="006478D2"/>
    <w:rsid w:val="00647C1D"/>
    <w:rsid w:val="00647F3A"/>
    <w:rsid w:val="006504B0"/>
    <w:rsid w:val="00650A04"/>
    <w:rsid w:val="00650A99"/>
    <w:rsid w:val="00650DC1"/>
    <w:rsid w:val="00651018"/>
    <w:rsid w:val="0065179B"/>
    <w:rsid w:val="00651ED4"/>
    <w:rsid w:val="00652335"/>
    <w:rsid w:val="006525D0"/>
    <w:rsid w:val="0065292F"/>
    <w:rsid w:val="00652AA4"/>
    <w:rsid w:val="00652AAB"/>
    <w:rsid w:val="0065318C"/>
    <w:rsid w:val="006531AE"/>
    <w:rsid w:val="006531D2"/>
    <w:rsid w:val="00653654"/>
    <w:rsid w:val="00653A6A"/>
    <w:rsid w:val="00653DEE"/>
    <w:rsid w:val="00654113"/>
    <w:rsid w:val="00654375"/>
    <w:rsid w:val="006545F1"/>
    <w:rsid w:val="0065467A"/>
    <w:rsid w:val="0065476E"/>
    <w:rsid w:val="00654B13"/>
    <w:rsid w:val="00654C5F"/>
    <w:rsid w:val="006552AD"/>
    <w:rsid w:val="006553AB"/>
    <w:rsid w:val="006554C4"/>
    <w:rsid w:val="00655537"/>
    <w:rsid w:val="006559FF"/>
    <w:rsid w:val="00655DC1"/>
    <w:rsid w:val="00656249"/>
    <w:rsid w:val="00656592"/>
    <w:rsid w:val="006568FC"/>
    <w:rsid w:val="006572AF"/>
    <w:rsid w:val="00657F1B"/>
    <w:rsid w:val="0066024C"/>
    <w:rsid w:val="006615DA"/>
    <w:rsid w:val="006620F4"/>
    <w:rsid w:val="006633A5"/>
    <w:rsid w:val="0066347A"/>
    <w:rsid w:val="006634D2"/>
    <w:rsid w:val="0066370C"/>
    <w:rsid w:val="00664719"/>
    <w:rsid w:val="00664D06"/>
    <w:rsid w:val="00664FC5"/>
    <w:rsid w:val="00665BF2"/>
    <w:rsid w:val="00665D52"/>
    <w:rsid w:val="006661F8"/>
    <w:rsid w:val="00666B5D"/>
    <w:rsid w:val="00666B70"/>
    <w:rsid w:val="00666C11"/>
    <w:rsid w:val="00666C81"/>
    <w:rsid w:val="00667493"/>
    <w:rsid w:val="0066758D"/>
    <w:rsid w:val="00667EDC"/>
    <w:rsid w:val="0067008A"/>
    <w:rsid w:val="0067013A"/>
    <w:rsid w:val="006707E9"/>
    <w:rsid w:val="0067095D"/>
    <w:rsid w:val="00670A1C"/>
    <w:rsid w:val="00670C97"/>
    <w:rsid w:val="00671261"/>
    <w:rsid w:val="00671B9B"/>
    <w:rsid w:val="00671F0E"/>
    <w:rsid w:val="006724B2"/>
    <w:rsid w:val="0067250B"/>
    <w:rsid w:val="00672F46"/>
    <w:rsid w:val="00672F5A"/>
    <w:rsid w:val="006731F2"/>
    <w:rsid w:val="00673465"/>
    <w:rsid w:val="006739EE"/>
    <w:rsid w:val="006749C0"/>
    <w:rsid w:val="00674E89"/>
    <w:rsid w:val="0067546B"/>
    <w:rsid w:val="00675BC0"/>
    <w:rsid w:val="00675C00"/>
    <w:rsid w:val="0067650F"/>
    <w:rsid w:val="00676955"/>
    <w:rsid w:val="00676A10"/>
    <w:rsid w:val="00676B15"/>
    <w:rsid w:val="00676B8B"/>
    <w:rsid w:val="00676C59"/>
    <w:rsid w:val="00676C68"/>
    <w:rsid w:val="00677215"/>
    <w:rsid w:val="00677BC0"/>
    <w:rsid w:val="00677C81"/>
    <w:rsid w:val="00677F53"/>
    <w:rsid w:val="0068016C"/>
    <w:rsid w:val="0068032B"/>
    <w:rsid w:val="006812AA"/>
    <w:rsid w:val="00681577"/>
    <w:rsid w:val="0068173F"/>
    <w:rsid w:val="0068226F"/>
    <w:rsid w:val="006825FF"/>
    <w:rsid w:val="00682A1E"/>
    <w:rsid w:val="00682DD9"/>
    <w:rsid w:val="00683730"/>
    <w:rsid w:val="00683E91"/>
    <w:rsid w:val="006840A6"/>
    <w:rsid w:val="00684289"/>
    <w:rsid w:val="00684DB9"/>
    <w:rsid w:val="00684DC4"/>
    <w:rsid w:val="00684FC1"/>
    <w:rsid w:val="006850F6"/>
    <w:rsid w:val="006851A8"/>
    <w:rsid w:val="006851AA"/>
    <w:rsid w:val="006853C5"/>
    <w:rsid w:val="0068570A"/>
    <w:rsid w:val="00685DCD"/>
    <w:rsid w:val="00686099"/>
    <w:rsid w:val="00686589"/>
    <w:rsid w:val="0068667C"/>
    <w:rsid w:val="00686722"/>
    <w:rsid w:val="00686830"/>
    <w:rsid w:val="00686E64"/>
    <w:rsid w:val="00686E8A"/>
    <w:rsid w:val="00686FF6"/>
    <w:rsid w:val="00687183"/>
    <w:rsid w:val="006900CD"/>
    <w:rsid w:val="00693151"/>
    <w:rsid w:val="00693229"/>
    <w:rsid w:val="00693B57"/>
    <w:rsid w:val="00693CA0"/>
    <w:rsid w:val="00693FA8"/>
    <w:rsid w:val="00694248"/>
    <w:rsid w:val="0069482B"/>
    <w:rsid w:val="006955F0"/>
    <w:rsid w:val="006A0400"/>
    <w:rsid w:val="006A0677"/>
    <w:rsid w:val="006A09AD"/>
    <w:rsid w:val="006A127B"/>
    <w:rsid w:val="006A14BF"/>
    <w:rsid w:val="006A17B4"/>
    <w:rsid w:val="006A2A56"/>
    <w:rsid w:val="006A2D8F"/>
    <w:rsid w:val="006A2DAC"/>
    <w:rsid w:val="006A2F20"/>
    <w:rsid w:val="006A3907"/>
    <w:rsid w:val="006A474A"/>
    <w:rsid w:val="006A4943"/>
    <w:rsid w:val="006A4BC7"/>
    <w:rsid w:val="006A5B6E"/>
    <w:rsid w:val="006A5D3E"/>
    <w:rsid w:val="006A5E19"/>
    <w:rsid w:val="006A5E3C"/>
    <w:rsid w:val="006A5FCC"/>
    <w:rsid w:val="006A6414"/>
    <w:rsid w:val="006A7068"/>
    <w:rsid w:val="006A7841"/>
    <w:rsid w:val="006B007C"/>
    <w:rsid w:val="006B0099"/>
    <w:rsid w:val="006B0187"/>
    <w:rsid w:val="006B0B77"/>
    <w:rsid w:val="006B0BF0"/>
    <w:rsid w:val="006B0C46"/>
    <w:rsid w:val="006B1039"/>
    <w:rsid w:val="006B12A1"/>
    <w:rsid w:val="006B1324"/>
    <w:rsid w:val="006B1736"/>
    <w:rsid w:val="006B198F"/>
    <w:rsid w:val="006B1B3E"/>
    <w:rsid w:val="006B284B"/>
    <w:rsid w:val="006B30B6"/>
    <w:rsid w:val="006B31B5"/>
    <w:rsid w:val="006B3259"/>
    <w:rsid w:val="006B36F6"/>
    <w:rsid w:val="006B3A43"/>
    <w:rsid w:val="006B3B6A"/>
    <w:rsid w:val="006B41A8"/>
    <w:rsid w:val="006B45EE"/>
    <w:rsid w:val="006B4793"/>
    <w:rsid w:val="006B4B30"/>
    <w:rsid w:val="006B4E74"/>
    <w:rsid w:val="006B529E"/>
    <w:rsid w:val="006B55DC"/>
    <w:rsid w:val="006B5ABC"/>
    <w:rsid w:val="006B5CEA"/>
    <w:rsid w:val="006B5F01"/>
    <w:rsid w:val="006B6307"/>
    <w:rsid w:val="006B6624"/>
    <w:rsid w:val="006B67E0"/>
    <w:rsid w:val="006B691E"/>
    <w:rsid w:val="006B70C1"/>
    <w:rsid w:val="006B7402"/>
    <w:rsid w:val="006B7890"/>
    <w:rsid w:val="006B7AB3"/>
    <w:rsid w:val="006C00B8"/>
    <w:rsid w:val="006C05E1"/>
    <w:rsid w:val="006C0BF1"/>
    <w:rsid w:val="006C10CF"/>
    <w:rsid w:val="006C1350"/>
    <w:rsid w:val="006C17A1"/>
    <w:rsid w:val="006C18DB"/>
    <w:rsid w:val="006C1F43"/>
    <w:rsid w:val="006C2049"/>
    <w:rsid w:val="006C2096"/>
    <w:rsid w:val="006C2361"/>
    <w:rsid w:val="006C2664"/>
    <w:rsid w:val="006C26E7"/>
    <w:rsid w:val="006C272E"/>
    <w:rsid w:val="006C27F1"/>
    <w:rsid w:val="006C2E7C"/>
    <w:rsid w:val="006C3009"/>
    <w:rsid w:val="006C33E6"/>
    <w:rsid w:val="006C37FE"/>
    <w:rsid w:val="006C3903"/>
    <w:rsid w:val="006C3B3D"/>
    <w:rsid w:val="006C3D90"/>
    <w:rsid w:val="006C3F12"/>
    <w:rsid w:val="006C3F85"/>
    <w:rsid w:val="006C401B"/>
    <w:rsid w:val="006C4199"/>
    <w:rsid w:val="006C4E34"/>
    <w:rsid w:val="006C50F5"/>
    <w:rsid w:val="006C5178"/>
    <w:rsid w:val="006C59FF"/>
    <w:rsid w:val="006C5E3B"/>
    <w:rsid w:val="006C5FA0"/>
    <w:rsid w:val="006C634D"/>
    <w:rsid w:val="006C64E3"/>
    <w:rsid w:val="006C6EC1"/>
    <w:rsid w:val="006C7113"/>
    <w:rsid w:val="006C7221"/>
    <w:rsid w:val="006C73DF"/>
    <w:rsid w:val="006C7592"/>
    <w:rsid w:val="006D000D"/>
    <w:rsid w:val="006D08D8"/>
    <w:rsid w:val="006D0B6D"/>
    <w:rsid w:val="006D0B8B"/>
    <w:rsid w:val="006D0DEC"/>
    <w:rsid w:val="006D13A1"/>
    <w:rsid w:val="006D140C"/>
    <w:rsid w:val="006D148E"/>
    <w:rsid w:val="006D168E"/>
    <w:rsid w:val="006D1774"/>
    <w:rsid w:val="006D1839"/>
    <w:rsid w:val="006D193A"/>
    <w:rsid w:val="006D1D4D"/>
    <w:rsid w:val="006D1D59"/>
    <w:rsid w:val="006D2630"/>
    <w:rsid w:val="006D2940"/>
    <w:rsid w:val="006D2C35"/>
    <w:rsid w:val="006D2F5F"/>
    <w:rsid w:val="006D3187"/>
    <w:rsid w:val="006D376C"/>
    <w:rsid w:val="006D3D67"/>
    <w:rsid w:val="006D44D3"/>
    <w:rsid w:val="006D55D4"/>
    <w:rsid w:val="006D5926"/>
    <w:rsid w:val="006D65F1"/>
    <w:rsid w:val="006D68F6"/>
    <w:rsid w:val="006D7824"/>
    <w:rsid w:val="006D7DBE"/>
    <w:rsid w:val="006D7F75"/>
    <w:rsid w:val="006E0058"/>
    <w:rsid w:val="006E086A"/>
    <w:rsid w:val="006E0874"/>
    <w:rsid w:val="006E0C32"/>
    <w:rsid w:val="006E14F6"/>
    <w:rsid w:val="006E18B4"/>
    <w:rsid w:val="006E18BD"/>
    <w:rsid w:val="006E19EB"/>
    <w:rsid w:val="006E1D20"/>
    <w:rsid w:val="006E2389"/>
    <w:rsid w:val="006E28F5"/>
    <w:rsid w:val="006E2961"/>
    <w:rsid w:val="006E2C53"/>
    <w:rsid w:val="006E3542"/>
    <w:rsid w:val="006E35FB"/>
    <w:rsid w:val="006E3639"/>
    <w:rsid w:val="006E4304"/>
    <w:rsid w:val="006E4DCE"/>
    <w:rsid w:val="006E4E18"/>
    <w:rsid w:val="006E556D"/>
    <w:rsid w:val="006E55DA"/>
    <w:rsid w:val="006E5A0A"/>
    <w:rsid w:val="006E5A85"/>
    <w:rsid w:val="006E5AB3"/>
    <w:rsid w:val="006E5BDD"/>
    <w:rsid w:val="006E6323"/>
    <w:rsid w:val="006E6581"/>
    <w:rsid w:val="006E695D"/>
    <w:rsid w:val="006E7921"/>
    <w:rsid w:val="006E7D09"/>
    <w:rsid w:val="006F0492"/>
    <w:rsid w:val="006F0A84"/>
    <w:rsid w:val="006F0D33"/>
    <w:rsid w:val="006F0E4D"/>
    <w:rsid w:val="006F0E58"/>
    <w:rsid w:val="006F1161"/>
    <w:rsid w:val="006F1FD6"/>
    <w:rsid w:val="006F258E"/>
    <w:rsid w:val="006F29B1"/>
    <w:rsid w:val="006F2F2A"/>
    <w:rsid w:val="006F31E3"/>
    <w:rsid w:val="006F359A"/>
    <w:rsid w:val="006F3601"/>
    <w:rsid w:val="006F3DF3"/>
    <w:rsid w:val="006F4590"/>
    <w:rsid w:val="006F58B4"/>
    <w:rsid w:val="006F5CA2"/>
    <w:rsid w:val="006F5F29"/>
    <w:rsid w:val="006F6560"/>
    <w:rsid w:val="006F6BE8"/>
    <w:rsid w:val="006F7785"/>
    <w:rsid w:val="006F7966"/>
    <w:rsid w:val="007001C9"/>
    <w:rsid w:val="007003FD"/>
    <w:rsid w:val="007005A2"/>
    <w:rsid w:val="00700AC9"/>
    <w:rsid w:val="00700B4C"/>
    <w:rsid w:val="00700BC9"/>
    <w:rsid w:val="00700EE6"/>
    <w:rsid w:val="00701032"/>
    <w:rsid w:val="0070103E"/>
    <w:rsid w:val="0070166B"/>
    <w:rsid w:val="007018A0"/>
    <w:rsid w:val="00701CA2"/>
    <w:rsid w:val="00701D44"/>
    <w:rsid w:val="00702500"/>
    <w:rsid w:val="007025C5"/>
    <w:rsid w:val="007034D8"/>
    <w:rsid w:val="00703630"/>
    <w:rsid w:val="00704234"/>
    <w:rsid w:val="00704459"/>
    <w:rsid w:val="00704637"/>
    <w:rsid w:val="00704750"/>
    <w:rsid w:val="007047FC"/>
    <w:rsid w:val="00704997"/>
    <w:rsid w:val="007049DD"/>
    <w:rsid w:val="00705069"/>
    <w:rsid w:val="00705479"/>
    <w:rsid w:val="00705A8E"/>
    <w:rsid w:val="00706740"/>
    <w:rsid w:val="00706A57"/>
    <w:rsid w:val="00706AA1"/>
    <w:rsid w:val="00710A2E"/>
    <w:rsid w:val="00710CBB"/>
    <w:rsid w:val="00710D23"/>
    <w:rsid w:val="00710D33"/>
    <w:rsid w:val="00711111"/>
    <w:rsid w:val="00711219"/>
    <w:rsid w:val="00711B4C"/>
    <w:rsid w:val="00712D3C"/>
    <w:rsid w:val="00712D4B"/>
    <w:rsid w:val="00712D59"/>
    <w:rsid w:val="00712EE8"/>
    <w:rsid w:val="007130F6"/>
    <w:rsid w:val="00713149"/>
    <w:rsid w:val="00713701"/>
    <w:rsid w:val="00714270"/>
    <w:rsid w:val="007145F6"/>
    <w:rsid w:val="007146A7"/>
    <w:rsid w:val="00714EBE"/>
    <w:rsid w:val="007153E0"/>
    <w:rsid w:val="00715578"/>
    <w:rsid w:val="0071595D"/>
    <w:rsid w:val="00715E45"/>
    <w:rsid w:val="00716821"/>
    <w:rsid w:val="00716E6F"/>
    <w:rsid w:val="007173FC"/>
    <w:rsid w:val="00717990"/>
    <w:rsid w:val="00717FAB"/>
    <w:rsid w:val="00720FC6"/>
    <w:rsid w:val="00720FD1"/>
    <w:rsid w:val="00721EE4"/>
    <w:rsid w:val="00722D7B"/>
    <w:rsid w:val="00722E2A"/>
    <w:rsid w:val="00722EC8"/>
    <w:rsid w:val="00722F74"/>
    <w:rsid w:val="007232D4"/>
    <w:rsid w:val="007232DA"/>
    <w:rsid w:val="00723AC4"/>
    <w:rsid w:val="00723E37"/>
    <w:rsid w:val="00723FE7"/>
    <w:rsid w:val="0072468D"/>
    <w:rsid w:val="00724A93"/>
    <w:rsid w:val="00724BEA"/>
    <w:rsid w:val="00725789"/>
    <w:rsid w:val="0072643F"/>
    <w:rsid w:val="007265F0"/>
    <w:rsid w:val="0072695D"/>
    <w:rsid w:val="00727202"/>
    <w:rsid w:val="00727231"/>
    <w:rsid w:val="007274C3"/>
    <w:rsid w:val="00727734"/>
    <w:rsid w:val="00727C15"/>
    <w:rsid w:val="00727CCA"/>
    <w:rsid w:val="00727D37"/>
    <w:rsid w:val="007300F9"/>
    <w:rsid w:val="0073018C"/>
    <w:rsid w:val="007304C2"/>
    <w:rsid w:val="0073092F"/>
    <w:rsid w:val="00730B13"/>
    <w:rsid w:val="0073167C"/>
    <w:rsid w:val="00731AE2"/>
    <w:rsid w:val="00731DD8"/>
    <w:rsid w:val="00732320"/>
    <w:rsid w:val="0073238C"/>
    <w:rsid w:val="00733A8A"/>
    <w:rsid w:val="00733A95"/>
    <w:rsid w:val="00733CF5"/>
    <w:rsid w:val="00734C9D"/>
    <w:rsid w:val="00735014"/>
    <w:rsid w:val="0073569C"/>
    <w:rsid w:val="00735782"/>
    <w:rsid w:val="007359FB"/>
    <w:rsid w:val="007360C2"/>
    <w:rsid w:val="007368E6"/>
    <w:rsid w:val="00736B31"/>
    <w:rsid w:val="00736B68"/>
    <w:rsid w:val="007408D9"/>
    <w:rsid w:val="00740953"/>
    <w:rsid w:val="00740BF8"/>
    <w:rsid w:val="0074104A"/>
    <w:rsid w:val="007414AD"/>
    <w:rsid w:val="00741565"/>
    <w:rsid w:val="007419E7"/>
    <w:rsid w:val="00741EF6"/>
    <w:rsid w:val="0074208D"/>
    <w:rsid w:val="0074256D"/>
    <w:rsid w:val="0074273A"/>
    <w:rsid w:val="00742CC0"/>
    <w:rsid w:val="00742ECE"/>
    <w:rsid w:val="007433A3"/>
    <w:rsid w:val="00743EBF"/>
    <w:rsid w:val="00745191"/>
    <w:rsid w:val="0074560D"/>
    <w:rsid w:val="00745916"/>
    <w:rsid w:val="007459FF"/>
    <w:rsid w:val="00745ADC"/>
    <w:rsid w:val="007467CB"/>
    <w:rsid w:val="00746B38"/>
    <w:rsid w:val="007475FF"/>
    <w:rsid w:val="00747BB7"/>
    <w:rsid w:val="0075135C"/>
    <w:rsid w:val="007513C1"/>
    <w:rsid w:val="00751418"/>
    <w:rsid w:val="00751953"/>
    <w:rsid w:val="00751ACD"/>
    <w:rsid w:val="0075217F"/>
    <w:rsid w:val="00752339"/>
    <w:rsid w:val="007523D6"/>
    <w:rsid w:val="00752DD2"/>
    <w:rsid w:val="00752E36"/>
    <w:rsid w:val="00753B7F"/>
    <w:rsid w:val="00754072"/>
    <w:rsid w:val="0075459A"/>
    <w:rsid w:val="00754B1E"/>
    <w:rsid w:val="007550DD"/>
    <w:rsid w:val="00755C72"/>
    <w:rsid w:val="00755C7E"/>
    <w:rsid w:val="00756158"/>
    <w:rsid w:val="00756229"/>
    <w:rsid w:val="00756568"/>
    <w:rsid w:val="007568AB"/>
    <w:rsid w:val="00756A97"/>
    <w:rsid w:val="00756C99"/>
    <w:rsid w:val="007572B3"/>
    <w:rsid w:val="007575BF"/>
    <w:rsid w:val="00757916"/>
    <w:rsid w:val="00757F45"/>
    <w:rsid w:val="00760850"/>
    <w:rsid w:val="00760884"/>
    <w:rsid w:val="00760B0B"/>
    <w:rsid w:val="00760F8F"/>
    <w:rsid w:val="00761352"/>
    <w:rsid w:val="0076176D"/>
    <w:rsid w:val="007618EB"/>
    <w:rsid w:val="00761E6F"/>
    <w:rsid w:val="00762515"/>
    <w:rsid w:val="007625EA"/>
    <w:rsid w:val="00762C1B"/>
    <w:rsid w:val="00762E3C"/>
    <w:rsid w:val="0076319D"/>
    <w:rsid w:val="0076346A"/>
    <w:rsid w:val="007635A2"/>
    <w:rsid w:val="0076364D"/>
    <w:rsid w:val="007638ED"/>
    <w:rsid w:val="00763D95"/>
    <w:rsid w:val="00764394"/>
    <w:rsid w:val="00764502"/>
    <w:rsid w:val="00764AC0"/>
    <w:rsid w:val="00764F94"/>
    <w:rsid w:val="007679F7"/>
    <w:rsid w:val="00767EEA"/>
    <w:rsid w:val="0077063C"/>
    <w:rsid w:val="00770B82"/>
    <w:rsid w:val="00770F4B"/>
    <w:rsid w:val="00771056"/>
    <w:rsid w:val="00771376"/>
    <w:rsid w:val="00771951"/>
    <w:rsid w:val="00771A39"/>
    <w:rsid w:val="00771C05"/>
    <w:rsid w:val="00771E47"/>
    <w:rsid w:val="00772444"/>
    <w:rsid w:val="00773626"/>
    <w:rsid w:val="00773F1E"/>
    <w:rsid w:val="00773FB8"/>
    <w:rsid w:val="0077441E"/>
    <w:rsid w:val="007744E0"/>
    <w:rsid w:val="00774539"/>
    <w:rsid w:val="00774584"/>
    <w:rsid w:val="007747FD"/>
    <w:rsid w:val="00774A13"/>
    <w:rsid w:val="00774CCD"/>
    <w:rsid w:val="0077549C"/>
    <w:rsid w:val="0077553D"/>
    <w:rsid w:val="00775795"/>
    <w:rsid w:val="00775E69"/>
    <w:rsid w:val="007768F1"/>
    <w:rsid w:val="007808D6"/>
    <w:rsid w:val="00780FD3"/>
    <w:rsid w:val="007810B6"/>
    <w:rsid w:val="0078124A"/>
    <w:rsid w:val="00781A90"/>
    <w:rsid w:val="00781B41"/>
    <w:rsid w:val="00782067"/>
    <w:rsid w:val="00782086"/>
    <w:rsid w:val="00782365"/>
    <w:rsid w:val="00782BE3"/>
    <w:rsid w:val="00783114"/>
    <w:rsid w:val="00783AD0"/>
    <w:rsid w:val="00783C22"/>
    <w:rsid w:val="00783EE0"/>
    <w:rsid w:val="007841E3"/>
    <w:rsid w:val="00784526"/>
    <w:rsid w:val="0078470C"/>
    <w:rsid w:val="007847B1"/>
    <w:rsid w:val="0078486E"/>
    <w:rsid w:val="00784B26"/>
    <w:rsid w:val="00784E02"/>
    <w:rsid w:val="00785460"/>
    <w:rsid w:val="00786A58"/>
    <w:rsid w:val="00786F1A"/>
    <w:rsid w:val="0078719A"/>
    <w:rsid w:val="00787406"/>
    <w:rsid w:val="0078753D"/>
    <w:rsid w:val="00787790"/>
    <w:rsid w:val="00787800"/>
    <w:rsid w:val="00787BBF"/>
    <w:rsid w:val="00787E39"/>
    <w:rsid w:val="0079010C"/>
    <w:rsid w:val="00790150"/>
    <w:rsid w:val="0079024E"/>
    <w:rsid w:val="00790493"/>
    <w:rsid w:val="00790A0D"/>
    <w:rsid w:val="00790C94"/>
    <w:rsid w:val="0079192F"/>
    <w:rsid w:val="00791943"/>
    <w:rsid w:val="00791C72"/>
    <w:rsid w:val="00792317"/>
    <w:rsid w:val="00792328"/>
    <w:rsid w:val="00792861"/>
    <w:rsid w:val="00793229"/>
    <w:rsid w:val="0079334B"/>
    <w:rsid w:val="00793FDC"/>
    <w:rsid w:val="007940BA"/>
    <w:rsid w:val="00794B1F"/>
    <w:rsid w:val="00794BE8"/>
    <w:rsid w:val="007954D2"/>
    <w:rsid w:val="007957E8"/>
    <w:rsid w:val="00795EB8"/>
    <w:rsid w:val="0079609A"/>
    <w:rsid w:val="00796127"/>
    <w:rsid w:val="007963A4"/>
    <w:rsid w:val="00796685"/>
    <w:rsid w:val="0079721E"/>
    <w:rsid w:val="0079793C"/>
    <w:rsid w:val="00797AE1"/>
    <w:rsid w:val="007A0304"/>
    <w:rsid w:val="007A094C"/>
    <w:rsid w:val="007A0988"/>
    <w:rsid w:val="007A0BCD"/>
    <w:rsid w:val="007A0DE1"/>
    <w:rsid w:val="007A1261"/>
    <w:rsid w:val="007A1429"/>
    <w:rsid w:val="007A18B1"/>
    <w:rsid w:val="007A25CF"/>
    <w:rsid w:val="007A26D1"/>
    <w:rsid w:val="007A32C8"/>
    <w:rsid w:val="007A32E6"/>
    <w:rsid w:val="007A336D"/>
    <w:rsid w:val="007A357A"/>
    <w:rsid w:val="007A37E5"/>
    <w:rsid w:val="007A414C"/>
    <w:rsid w:val="007A451D"/>
    <w:rsid w:val="007A45F6"/>
    <w:rsid w:val="007A4F30"/>
    <w:rsid w:val="007A4F55"/>
    <w:rsid w:val="007A5135"/>
    <w:rsid w:val="007A54A2"/>
    <w:rsid w:val="007A59E1"/>
    <w:rsid w:val="007A5A61"/>
    <w:rsid w:val="007A6725"/>
    <w:rsid w:val="007A6873"/>
    <w:rsid w:val="007A697F"/>
    <w:rsid w:val="007A74A6"/>
    <w:rsid w:val="007A7549"/>
    <w:rsid w:val="007A778A"/>
    <w:rsid w:val="007A793C"/>
    <w:rsid w:val="007A79DD"/>
    <w:rsid w:val="007B0072"/>
    <w:rsid w:val="007B07F2"/>
    <w:rsid w:val="007B09D4"/>
    <w:rsid w:val="007B16C7"/>
    <w:rsid w:val="007B1CC6"/>
    <w:rsid w:val="007B1DAF"/>
    <w:rsid w:val="007B1F50"/>
    <w:rsid w:val="007B2031"/>
    <w:rsid w:val="007B21A9"/>
    <w:rsid w:val="007B234F"/>
    <w:rsid w:val="007B2515"/>
    <w:rsid w:val="007B2535"/>
    <w:rsid w:val="007B2E3D"/>
    <w:rsid w:val="007B3483"/>
    <w:rsid w:val="007B391E"/>
    <w:rsid w:val="007B3A57"/>
    <w:rsid w:val="007B4221"/>
    <w:rsid w:val="007B4354"/>
    <w:rsid w:val="007B4977"/>
    <w:rsid w:val="007B5013"/>
    <w:rsid w:val="007B5203"/>
    <w:rsid w:val="007B683F"/>
    <w:rsid w:val="007B72CC"/>
    <w:rsid w:val="007B75D3"/>
    <w:rsid w:val="007B7EF7"/>
    <w:rsid w:val="007C02C6"/>
    <w:rsid w:val="007C04E3"/>
    <w:rsid w:val="007C0A99"/>
    <w:rsid w:val="007C0DE2"/>
    <w:rsid w:val="007C0FCD"/>
    <w:rsid w:val="007C134F"/>
    <w:rsid w:val="007C194B"/>
    <w:rsid w:val="007C1BD3"/>
    <w:rsid w:val="007C1FF4"/>
    <w:rsid w:val="007C2124"/>
    <w:rsid w:val="007C21CB"/>
    <w:rsid w:val="007C2785"/>
    <w:rsid w:val="007C2897"/>
    <w:rsid w:val="007C3506"/>
    <w:rsid w:val="007C3741"/>
    <w:rsid w:val="007C4259"/>
    <w:rsid w:val="007C42BF"/>
    <w:rsid w:val="007C48EE"/>
    <w:rsid w:val="007C4C8E"/>
    <w:rsid w:val="007C5EF8"/>
    <w:rsid w:val="007C65C1"/>
    <w:rsid w:val="007C6B14"/>
    <w:rsid w:val="007C71E6"/>
    <w:rsid w:val="007C740C"/>
    <w:rsid w:val="007D0179"/>
    <w:rsid w:val="007D02F2"/>
    <w:rsid w:val="007D05E8"/>
    <w:rsid w:val="007D0917"/>
    <w:rsid w:val="007D0B58"/>
    <w:rsid w:val="007D0CBF"/>
    <w:rsid w:val="007D0E83"/>
    <w:rsid w:val="007D0E8E"/>
    <w:rsid w:val="007D1007"/>
    <w:rsid w:val="007D14ED"/>
    <w:rsid w:val="007D179F"/>
    <w:rsid w:val="007D1CED"/>
    <w:rsid w:val="007D1D56"/>
    <w:rsid w:val="007D2005"/>
    <w:rsid w:val="007D20BD"/>
    <w:rsid w:val="007D2BCB"/>
    <w:rsid w:val="007D2C42"/>
    <w:rsid w:val="007D2CA4"/>
    <w:rsid w:val="007D3914"/>
    <w:rsid w:val="007D3CCE"/>
    <w:rsid w:val="007D439D"/>
    <w:rsid w:val="007D4A07"/>
    <w:rsid w:val="007D502C"/>
    <w:rsid w:val="007D5585"/>
    <w:rsid w:val="007D5FD2"/>
    <w:rsid w:val="007D615E"/>
    <w:rsid w:val="007D6298"/>
    <w:rsid w:val="007D70B5"/>
    <w:rsid w:val="007D7309"/>
    <w:rsid w:val="007D7444"/>
    <w:rsid w:val="007D7CAF"/>
    <w:rsid w:val="007D7EDD"/>
    <w:rsid w:val="007E06F1"/>
    <w:rsid w:val="007E09E1"/>
    <w:rsid w:val="007E152B"/>
    <w:rsid w:val="007E239F"/>
    <w:rsid w:val="007E2BB8"/>
    <w:rsid w:val="007E355B"/>
    <w:rsid w:val="007E3732"/>
    <w:rsid w:val="007E38FF"/>
    <w:rsid w:val="007E40DB"/>
    <w:rsid w:val="007E444D"/>
    <w:rsid w:val="007E50E0"/>
    <w:rsid w:val="007E50FF"/>
    <w:rsid w:val="007E5166"/>
    <w:rsid w:val="007E5195"/>
    <w:rsid w:val="007E5278"/>
    <w:rsid w:val="007E566C"/>
    <w:rsid w:val="007E5763"/>
    <w:rsid w:val="007E578A"/>
    <w:rsid w:val="007E5845"/>
    <w:rsid w:val="007E5BD0"/>
    <w:rsid w:val="007E646A"/>
    <w:rsid w:val="007E6584"/>
    <w:rsid w:val="007E6815"/>
    <w:rsid w:val="007E7041"/>
    <w:rsid w:val="007E70E9"/>
    <w:rsid w:val="007E739F"/>
    <w:rsid w:val="007E77AA"/>
    <w:rsid w:val="007E7F4D"/>
    <w:rsid w:val="007F002C"/>
    <w:rsid w:val="007F021A"/>
    <w:rsid w:val="007F0646"/>
    <w:rsid w:val="007F122B"/>
    <w:rsid w:val="007F125E"/>
    <w:rsid w:val="007F169C"/>
    <w:rsid w:val="007F1CD3"/>
    <w:rsid w:val="007F29F6"/>
    <w:rsid w:val="007F2F60"/>
    <w:rsid w:val="007F38CC"/>
    <w:rsid w:val="007F47BC"/>
    <w:rsid w:val="007F5159"/>
    <w:rsid w:val="007F5300"/>
    <w:rsid w:val="007F55D2"/>
    <w:rsid w:val="007F56A1"/>
    <w:rsid w:val="007F5DFF"/>
    <w:rsid w:val="007F61BF"/>
    <w:rsid w:val="007F749C"/>
    <w:rsid w:val="007F7C7F"/>
    <w:rsid w:val="007F7F81"/>
    <w:rsid w:val="007F7FE1"/>
    <w:rsid w:val="008000BE"/>
    <w:rsid w:val="00800418"/>
    <w:rsid w:val="0080069F"/>
    <w:rsid w:val="00801070"/>
    <w:rsid w:val="008010E1"/>
    <w:rsid w:val="00801987"/>
    <w:rsid w:val="00801F27"/>
    <w:rsid w:val="00802191"/>
    <w:rsid w:val="008022FA"/>
    <w:rsid w:val="008024F6"/>
    <w:rsid w:val="00802639"/>
    <w:rsid w:val="00802850"/>
    <w:rsid w:val="00802863"/>
    <w:rsid w:val="00802F4D"/>
    <w:rsid w:val="0080302D"/>
    <w:rsid w:val="00803061"/>
    <w:rsid w:val="008037DE"/>
    <w:rsid w:val="00803C8E"/>
    <w:rsid w:val="00803F6A"/>
    <w:rsid w:val="008040A4"/>
    <w:rsid w:val="00804219"/>
    <w:rsid w:val="00804607"/>
    <w:rsid w:val="008046C9"/>
    <w:rsid w:val="00804C61"/>
    <w:rsid w:val="00804EA9"/>
    <w:rsid w:val="00806803"/>
    <w:rsid w:val="008068AA"/>
    <w:rsid w:val="00806FCA"/>
    <w:rsid w:val="00807360"/>
    <w:rsid w:val="00807439"/>
    <w:rsid w:val="0080747D"/>
    <w:rsid w:val="008076C9"/>
    <w:rsid w:val="00807C80"/>
    <w:rsid w:val="00807D7B"/>
    <w:rsid w:val="00807E7C"/>
    <w:rsid w:val="00810495"/>
    <w:rsid w:val="00810903"/>
    <w:rsid w:val="00810CEE"/>
    <w:rsid w:val="00810ECD"/>
    <w:rsid w:val="008111F6"/>
    <w:rsid w:val="0081146A"/>
    <w:rsid w:val="00811581"/>
    <w:rsid w:val="008117E6"/>
    <w:rsid w:val="008118DB"/>
    <w:rsid w:val="008120C1"/>
    <w:rsid w:val="008121F5"/>
    <w:rsid w:val="008122BB"/>
    <w:rsid w:val="008122C1"/>
    <w:rsid w:val="00812DB4"/>
    <w:rsid w:val="00813A80"/>
    <w:rsid w:val="00814322"/>
    <w:rsid w:val="008144B7"/>
    <w:rsid w:val="00814828"/>
    <w:rsid w:val="0081489A"/>
    <w:rsid w:val="00814B70"/>
    <w:rsid w:val="008151BF"/>
    <w:rsid w:val="008155D6"/>
    <w:rsid w:val="008158A1"/>
    <w:rsid w:val="00815B36"/>
    <w:rsid w:val="00816362"/>
    <w:rsid w:val="008165DC"/>
    <w:rsid w:val="00816871"/>
    <w:rsid w:val="00816CFA"/>
    <w:rsid w:val="00816FF7"/>
    <w:rsid w:val="00817393"/>
    <w:rsid w:val="008176F6"/>
    <w:rsid w:val="008178A5"/>
    <w:rsid w:val="0082061D"/>
    <w:rsid w:val="008208C3"/>
    <w:rsid w:val="0082136F"/>
    <w:rsid w:val="008213E8"/>
    <w:rsid w:val="00821D0D"/>
    <w:rsid w:val="00822836"/>
    <w:rsid w:val="00822956"/>
    <w:rsid w:val="008229A4"/>
    <w:rsid w:val="00822BDC"/>
    <w:rsid w:val="00822BE6"/>
    <w:rsid w:val="00823B94"/>
    <w:rsid w:val="00823E5F"/>
    <w:rsid w:val="00823ED6"/>
    <w:rsid w:val="008247A4"/>
    <w:rsid w:val="00824A4A"/>
    <w:rsid w:val="00824EF5"/>
    <w:rsid w:val="0082506C"/>
    <w:rsid w:val="00825104"/>
    <w:rsid w:val="00826071"/>
    <w:rsid w:val="00826891"/>
    <w:rsid w:val="008268CB"/>
    <w:rsid w:val="00826B6B"/>
    <w:rsid w:val="00826C1D"/>
    <w:rsid w:val="00826D00"/>
    <w:rsid w:val="008274FA"/>
    <w:rsid w:val="00830482"/>
    <w:rsid w:val="008304E2"/>
    <w:rsid w:val="00830565"/>
    <w:rsid w:val="00830963"/>
    <w:rsid w:val="008313B9"/>
    <w:rsid w:val="008316BF"/>
    <w:rsid w:val="00831E82"/>
    <w:rsid w:val="00831F28"/>
    <w:rsid w:val="0083211D"/>
    <w:rsid w:val="0083236C"/>
    <w:rsid w:val="00832372"/>
    <w:rsid w:val="00832B96"/>
    <w:rsid w:val="00832CB9"/>
    <w:rsid w:val="00832D31"/>
    <w:rsid w:val="00832DF9"/>
    <w:rsid w:val="00832F7C"/>
    <w:rsid w:val="00832FA2"/>
    <w:rsid w:val="008333FD"/>
    <w:rsid w:val="00833413"/>
    <w:rsid w:val="00833697"/>
    <w:rsid w:val="008336D9"/>
    <w:rsid w:val="0083370E"/>
    <w:rsid w:val="0083373C"/>
    <w:rsid w:val="00834092"/>
    <w:rsid w:val="00834669"/>
    <w:rsid w:val="00834D1C"/>
    <w:rsid w:val="00834E81"/>
    <w:rsid w:val="00835118"/>
    <w:rsid w:val="008351D1"/>
    <w:rsid w:val="00835369"/>
    <w:rsid w:val="00835421"/>
    <w:rsid w:val="0083593D"/>
    <w:rsid w:val="00835A40"/>
    <w:rsid w:val="00835DA2"/>
    <w:rsid w:val="00835E38"/>
    <w:rsid w:val="008364D9"/>
    <w:rsid w:val="008367B2"/>
    <w:rsid w:val="008367B8"/>
    <w:rsid w:val="008367DB"/>
    <w:rsid w:val="00836EF3"/>
    <w:rsid w:val="008374B5"/>
    <w:rsid w:val="00837BAE"/>
    <w:rsid w:val="008401C5"/>
    <w:rsid w:val="008408C4"/>
    <w:rsid w:val="00840AC4"/>
    <w:rsid w:val="00841C6A"/>
    <w:rsid w:val="00841EA2"/>
    <w:rsid w:val="00842192"/>
    <w:rsid w:val="0084230E"/>
    <w:rsid w:val="008428E3"/>
    <w:rsid w:val="008430BC"/>
    <w:rsid w:val="00843120"/>
    <w:rsid w:val="00843232"/>
    <w:rsid w:val="00843336"/>
    <w:rsid w:val="0084403D"/>
    <w:rsid w:val="00844210"/>
    <w:rsid w:val="00844304"/>
    <w:rsid w:val="0084446C"/>
    <w:rsid w:val="00844969"/>
    <w:rsid w:val="00844A3E"/>
    <w:rsid w:val="0084563F"/>
    <w:rsid w:val="0084638B"/>
    <w:rsid w:val="00846421"/>
    <w:rsid w:val="00846532"/>
    <w:rsid w:val="008466E9"/>
    <w:rsid w:val="00846748"/>
    <w:rsid w:val="00846BF2"/>
    <w:rsid w:val="00846C82"/>
    <w:rsid w:val="00847094"/>
    <w:rsid w:val="00847395"/>
    <w:rsid w:val="008473BB"/>
    <w:rsid w:val="0084765A"/>
    <w:rsid w:val="008476DD"/>
    <w:rsid w:val="00847B05"/>
    <w:rsid w:val="00850113"/>
    <w:rsid w:val="00850184"/>
    <w:rsid w:val="008506B1"/>
    <w:rsid w:val="008517A3"/>
    <w:rsid w:val="00851889"/>
    <w:rsid w:val="00851C60"/>
    <w:rsid w:val="00851C7E"/>
    <w:rsid w:val="00851D6E"/>
    <w:rsid w:val="00852093"/>
    <w:rsid w:val="00852157"/>
    <w:rsid w:val="008521CD"/>
    <w:rsid w:val="008525FB"/>
    <w:rsid w:val="0085332F"/>
    <w:rsid w:val="008537E9"/>
    <w:rsid w:val="008539C6"/>
    <w:rsid w:val="00853A45"/>
    <w:rsid w:val="00853AEF"/>
    <w:rsid w:val="00853FE9"/>
    <w:rsid w:val="00855348"/>
    <w:rsid w:val="008553AB"/>
    <w:rsid w:val="0085545E"/>
    <w:rsid w:val="00855A0B"/>
    <w:rsid w:val="00855CCA"/>
    <w:rsid w:val="008564E2"/>
    <w:rsid w:val="008565D3"/>
    <w:rsid w:val="00856CC3"/>
    <w:rsid w:val="00857864"/>
    <w:rsid w:val="008579E6"/>
    <w:rsid w:val="00857B0D"/>
    <w:rsid w:val="008600A4"/>
    <w:rsid w:val="00860DB3"/>
    <w:rsid w:val="008614C4"/>
    <w:rsid w:val="0086152F"/>
    <w:rsid w:val="0086157D"/>
    <w:rsid w:val="008616CF"/>
    <w:rsid w:val="00861E58"/>
    <w:rsid w:val="008620CA"/>
    <w:rsid w:val="00862837"/>
    <w:rsid w:val="008628B5"/>
    <w:rsid w:val="00863FE8"/>
    <w:rsid w:val="0086479D"/>
    <w:rsid w:val="00865021"/>
    <w:rsid w:val="00865673"/>
    <w:rsid w:val="00865BD9"/>
    <w:rsid w:val="00865DC2"/>
    <w:rsid w:val="00865E1A"/>
    <w:rsid w:val="008665CA"/>
    <w:rsid w:val="008668C8"/>
    <w:rsid w:val="00867AA2"/>
    <w:rsid w:val="008701AF"/>
    <w:rsid w:val="008701FE"/>
    <w:rsid w:val="00870B7F"/>
    <w:rsid w:val="00870D9E"/>
    <w:rsid w:val="0087102E"/>
    <w:rsid w:val="008713E1"/>
    <w:rsid w:val="00871C11"/>
    <w:rsid w:val="008723DE"/>
    <w:rsid w:val="00872D9A"/>
    <w:rsid w:val="00873DA7"/>
    <w:rsid w:val="00873E0A"/>
    <w:rsid w:val="00873E77"/>
    <w:rsid w:val="00874107"/>
    <w:rsid w:val="00874E66"/>
    <w:rsid w:val="008750E5"/>
    <w:rsid w:val="0087562E"/>
    <w:rsid w:val="0087575B"/>
    <w:rsid w:val="00875784"/>
    <w:rsid w:val="008758C8"/>
    <w:rsid w:val="008762CE"/>
    <w:rsid w:val="008763FD"/>
    <w:rsid w:val="00876781"/>
    <w:rsid w:val="00876AEA"/>
    <w:rsid w:val="008771A4"/>
    <w:rsid w:val="008771A5"/>
    <w:rsid w:val="00877F19"/>
    <w:rsid w:val="0088029A"/>
    <w:rsid w:val="0088090F"/>
    <w:rsid w:val="00880CE9"/>
    <w:rsid w:val="00880EC8"/>
    <w:rsid w:val="00880F20"/>
    <w:rsid w:val="0088121B"/>
    <w:rsid w:val="008813D4"/>
    <w:rsid w:val="008819EE"/>
    <w:rsid w:val="00882B4B"/>
    <w:rsid w:val="008832B8"/>
    <w:rsid w:val="008834C0"/>
    <w:rsid w:val="00883588"/>
    <w:rsid w:val="00883666"/>
    <w:rsid w:val="0088380F"/>
    <w:rsid w:val="00883E8F"/>
    <w:rsid w:val="008847D5"/>
    <w:rsid w:val="00884FB7"/>
    <w:rsid w:val="008852D7"/>
    <w:rsid w:val="00885407"/>
    <w:rsid w:val="00885F01"/>
    <w:rsid w:val="00886028"/>
    <w:rsid w:val="0088604E"/>
    <w:rsid w:val="00886924"/>
    <w:rsid w:val="00886A52"/>
    <w:rsid w:val="0088755E"/>
    <w:rsid w:val="008877DC"/>
    <w:rsid w:val="00887D87"/>
    <w:rsid w:val="00887E04"/>
    <w:rsid w:val="008906EA"/>
    <w:rsid w:val="00890CFC"/>
    <w:rsid w:val="0089121B"/>
    <w:rsid w:val="0089122B"/>
    <w:rsid w:val="00891E8C"/>
    <w:rsid w:val="0089207E"/>
    <w:rsid w:val="00892451"/>
    <w:rsid w:val="0089275D"/>
    <w:rsid w:val="00892816"/>
    <w:rsid w:val="00892B0E"/>
    <w:rsid w:val="00892E28"/>
    <w:rsid w:val="0089309E"/>
    <w:rsid w:val="008932E3"/>
    <w:rsid w:val="00893D7F"/>
    <w:rsid w:val="008941C5"/>
    <w:rsid w:val="00894368"/>
    <w:rsid w:val="008943E6"/>
    <w:rsid w:val="0089457F"/>
    <w:rsid w:val="00894626"/>
    <w:rsid w:val="00894A4C"/>
    <w:rsid w:val="0089502D"/>
    <w:rsid w:val="00895285"/>
    <w:rsid w:val="00895399"/>
    <w:rsid w:val="00895996"/>
    <w:rsid w:val="00895E00"/>
    <w:rsid w:val="00895F74"/>
    <w:rsid w:val="00896004"/>
    <w:rsid w:val="008963E4"/>
    <w:rsid w:val="0089670B"/>
    <w:rsid w:val="00896A1D"/>
    <w:rsid w:val="00896EDF"/>
    <w:rsid w:val="008A0216"/>
    <w:rsid w:val="008A0A14"/>
    <w:rsid w:val="008A0BAB"/>
    <w:rsid w:val="008A0C51"/>
    <w:rsid w:val="008A186B"/>
    <w:rsid w:val="008A18EF"/>
    <w:rsid w:val="008A1B77"/>
    <w:rsid w:val="008A1D90"/>
    <w:rsid w:val="008A20D2"/>
    <w:rsid w:val="008A2746"/>
    <w:rsid w:val="008A2959"/>
    <w:rsid w:val="008A302F"/>
    <w:rsid w:val="008A3638"/>
    <w:rsid w:val="008A41A4"/>
    <w:rsid w:val="008A43EB"/>
    <w:rsid w:val="008A45BC"/>
    <w:rsid w:val="008A4C6C"/>
    <w:rsid w:val="008A4E31"/>
    <w:rsid w:val="008A50E3"/>
    <w:rsid w:val="008A521C"/>
    <w:rsid w:val="008A5760"/>
    <w:rsid w:val="008A5AA0"/>
    <w:rsid w:val="008A5AE3"/>
    <w:rsid w:val="008A5C76"/>
    <w:rsid w:val="008A5FCE"/>
    <w:rsid w:val="008A6337"/>
    <w:rsid w:val="008A674D"/>
    <w:rsid w:val="008A6DEE"/>
    <w:rsid w:val="008A7937"/>
    <w:rsid w:val="008A7CB8"/>
    <w:rsid w:val="008A7F64"/>
    <w:rsid w:val="008B027F"/>
    <w:rsid w:val="008B0899"/>
    <w:rsid w:val="008B0C24"/>
    <w:rsid w:val="008B0D1E"/>
    <w:rsid w:val="008B1029"/>
    <w:rsid w:val="008B1576"/>
    <w:rsid w:val="008B1782"/>
    <w:rsid w:val="008B1F5E"/>
    <w:rsid w:val="008B1FD2"/>
    <w:rsid w:val="008B22F1"/>
    <w:rsid w:val="008B3280"/>
    <w:rsid w:val="008B336C"/>
    <w:rsid w:val="008B3478"/>
    <w:rsid w:val="008B49A9"/>
    <w:rsid w:val="008B4B8B"/>
    <w:rsid w:val="008B4F22"/>
    <w:rsid w:val="008B5448"/>
    <w:rsid w:val="008B5752"/>
    <w:rsid w:val="008B625D"/>
    <w:rsid w:val="008B6308"/>
    <w:rsid w:val="008B66E2"/>
    <w:rsid w:val="008B6A65"/>
    <w:rsid w:val="008B70F0"/>
    <w:rsid w:val="008B74C8"/>
    <w:rsid w:val="008B778F"/>
    <w:rsid w:val="008B7929"/>
    <w:rsid w:val="008C0001"/>
    <w:rsid w:val="008C0067"/>
    <w:rsid w:val="008C0B10"/>
    <w:rsid w:val="008C0DA0"/>
    <w:rsid w:val="008C0E3B"/>
    <w:rsid w:val="008C0E45"/>
    <w:rsid w:val="008C0F45"/>
    <w:rsid w:val="008C1551"/>
    <w:rsid w:val="008C16AE"/>
    <w:rsid w:val="008C1E31"/>
    <w:rsid w:val="008C3691"/>
    <w:rsid w:val="008C3714"/>
    <w:rsid w:val="008C3BE4"/>
    <w:rsid w:val="008C3D8C"/>
    <w:rsid w:val="008C3E51"/>
    <w:rsid w:val="008C4BF4"/>
    <w:rsid w:val="008C56B4"/>
    <w:rsid w:val="008C578E"/>
    <w:rsid w:val="008C5B7E"/>
    <w:rsid w:val="008C5C80"/>
    <w:rsid w:val="008C5E50"/>
    <w:rsid w:val="008C6290"/>
    <w:rsid w:val="008C6662"/>
    <w:rsid w:val="008C6813"/>
    <w:rsid w:val="008C6853"/>
    <w:rsid w:val="008C6A6B"/>
    <w:rsid w:val="008C6BAE"/>
    <w:rsid w:val="008C7D72"/>
    <w:rsid w:val="008D0320"/>
    <w:rsid w:val="008D0A8E"/>
    <w:rsid w:val="008D0F65"/>
    <w:rsid w:val="008D13B2"/>
    <w:rsid w:val="008D14F7"/>
    <w:rsid w:val="008D163C"/>
    <w:rsid w:val="008D1A7B"/>
    <w:rsid w:val="008D1E32"/>
    <w:rsid w:val="008D2032"/>
    <w:rsid w:val="008D2374"/>
    <w:rsid w:val="008D2962"/>
    <w:rsid w:val="008D2D25"/>
    <w:rsid w:val="008D3091"/>
    <w:rsid w:val="008D375D"/>
    <w:rsid w:val="008D3C7E"/>
    <w:rsid w:val="008D4BCB"/>
    <w:rsid w:val="008D4C3F"/>
    <w:rsid w:val="008D4C64"/>
    <w:rsid w:val="008D4D2B"/>
    <w:rsid w:val="008D5022"/>
    <w:rsid w:val="008D522A"/>
    <w:rsid w:val="008D5EBF"/>
    <w:rsid w:val="008D5F52"/>
    <w:rsid w:val="008D62C1"/>
    <w:rsid w:val="008D647B"/>
    <w:rsid w:val="008D6902"/>
    <w:rsid w:val="008D6CED"/>
    <w:rsid w:val="008D75D2"/>
    <w:rsid w:val="008D77E8"/>
    <w:rsid w:val="008D79A0"/>
    <w:rsid w:val="008D79C2"/>
    <w:rsid w:val="008D7D66"/>
    <w:rsid w:val="008E00B1"/>
    <w:rsid w:val="008E10C9"/>
    <w:rsid w:val="008E1526"/>
    <w:rsid w:val="008E174F"/>
    <w:rsid w:val="008E201B"/>
    <w:rsid w:val="008E2813"/>
    <w:rsid w:val="008E285E"/>
    <w:rsid w:val="008E2C73"/>
    <w:rsid w:val="008E3478"/>
    <w:rsid w:val="008E3FB6"/>
    <w:rsid w:val="008E489A"/>
    <w:rsid w:val="008E48D1"/>
    <w:rsid w:val="008E4EE8"/>
    <w:rsid w:val="008E5044"/>
    <w:rsid w:val="008E5144"/>
    <w:rsid w:val="008E5199"/>
    <w:rsid w:val="008E5270"/>
    <w:rsid w:val="008E5470"/>
    <w:rsid w:val="008E56A2"/>
    <w:rsid w:val="008E56F7"/>
    <w:rsid w:val="008E599E"/>
    <w:rsid w:val="008E5EAB"/>
    <w:rsid w:val="008E5FCB"/>
    <w:rsid w:val="008E6427"/>
    <w:rsid w:val="008E660A"/>
    <w:rsid w:val="008E6C8D"/>
    <w:rsid w:val="008E6ED5"/>
    <w:rsid w:val="008E73B4"/>
    <w:rsid w:val="008E755E"/>
    <w:rsid w:val="008E78D4"/>
    <w:rsid w:val="008E7BEB"/>
    <w:rsid w:val="008F0551"/>
    <w:rsid w:val="008F0852"/>
    <w:rsid w:val="008F14D6"/>
    <w:rsid w:val="008F1B1A"/>
    <w:rsid w:val="008F1E9F"/>
    <w:rsid w:val="008F259C"/>
    <w:rsid w:val="008F28A6"/>
    <w:rsid w:val="008F311E"/>
    <w:rsid w:val="008F33E4"/>
    <w:rsid w:val="008F3B30"/>
    <w:rsid w:val="008F41A1"/>
    <w:rsid w:val="008F4397"/>
    <w:rsid w:val="008F4481"/>
    <w:rsid w:val="008F52F8"/>
    <w:rsid w:val="008F59BE"/>
    <w:rsid w:val="008F5D63"/>
    <w:rsid w:val="008F5E72"/>
    <w:rsid w:val="008F64F9"/>
    <w:rsid w:val="008F6F9C"/>
    <w:rsid w:val="008F7178"/>
    <w:rsid w:val="008F722C"/>
    <w:rsid w:val="008F72F4"/>
    <w:rsid w:val="008F732B"/>
    <w:rsid w:val="008F7639"/>
    <w:rsid w:val="008F7D94"/>
    <w:rsid w:val="009004A9"/>
    <w:rsid w:val="00900F2A"/>
    <w:rsid w:val="00900F82"/>
    <w:rsid w:val="00901B83"/>
    <w:rsid w:val="00901F96"/>
    <w:rsid w:val="0090245B"/>
    <w:rsid w:val="00902635"/>
    <w:rsid w:val="0090287A"/>
    <w:rsid w:val="00902931"/>
    <w:rsid w:val="00902AAE"/>
    <w:rsid w:val="00902E7F"/>
    <w:rsid w:val="009031E4"/>
    <w:rsid w:val="00903715"/>
    <w:rsid w:val="009040E9"/>
    <w:rsid w:val="00904743"/>
    <w:rsid w:val="009049C3"/>
    <w:rsid w:val="00904F34"/>
    <w:rsid w:val="00905BCE"/>
    <w:rsid w:val="00905E5A"/>
    <w:rsid w:val="009060CF"/>
    <w:rsid w:val="00906821"/>
    <w:rsid w:val="00906839"/>
    <w:rsid w:val="00906900"/>
    <w:rsid w:val="00906ED2"/>
    <w:rsid w:val="009070D0"/>
    <w:rsid w:val="009072F3"/>
    <w:rsid w:val="00907A2F"/>
    <w:rsid w:val="00907A6D"/>
    <w:rsid w:val="009102E9"/>
    <w:rsid w:val="00910540"/>
    <w:rsid w:val="009112E4"/>
    <w:rsid w:val="009114D6"/>
    <w:rsid w:val="009115F9"/>
    <w:rsid w:val="009118D7"/>
    <w:rsid w:val="0091362A"/>
    <w:rsid w:val="009138A2"/>
    <w:rsid w:val="00913B7F"/>
    <w:rsid w:val="00914490"/>
    <w:rsid w:val="00914951"/>
    <w:rsid w:val="00914CD5"/>
    <w:rsid w:val="00916BF8"/>
    <w:rsid w:val="0091722A"/>
    <w:rsid w:val="009176DD"/>
    <w:rsid w:val="0091794A"/>
    <w:rsid w:val="00917C08"/>
    <w:rsid w:val="009203E1"/>
    <w:rsid w:val="0092053F"/>
    <w:rsid w:val="00920AA0"/>
    <w:rsid w:val="00920D09"/>
    <w:rsid w:val="00921043"/>
    <w:rsid w:val="009210DF"/>
    <w:rsid w:val="00921362"/>
    <w:rsid w:val="009216AE"/>
    <w:rsid w:val="00922197"/>
    <w:rsid w:val="009222E7"/>
    <w:rsid w:val="0092274B"/>
    <w:rsid w:val="00922780"/>
    <w:rsid w:val="00922BF3"/>
    <w:rsid w:val="00922CC3"/>
    <w:rsid w:val="0092327A"/>
    <w:rsid w:val="0092359D"/>
    <w:rsid w:val="00923687"/>
    <w:rsid w:val="009236EB"/>
    <w:rsid w:val="00923777"/>
    <w:rsid w:val="00923B75"/>
    <w:rsid w:val="0092409F"/>
    <w:rsid w:val="0092486B"/>
    <w:rsid w:val="0092537B"/>
    <w:rsid w:val="00926525"/>
    <w:rsid w:val="0092657E"/>
    <w:rsid w:val="00926BA3"/>
    <w:rsid w:val="00927ADD"/>
    <w:rsid w:val="00930C71"/>
    <w:rsid w:val="00930F53"/>
    <w:rsid w:val="00931158"/>
    <w:rsid w:val="00931C6C"/>
    <w:rsid w:val="00931CEE"/>
    <w:rsid w:val="00932A10"/>
    <w:rsid w:val="00933221"/>
    <w:rsid w:val="009335D7"/>
    <w:rsid w:val="009338C3"/>
    <w:rsid w:val="00933C64"/>
    <w:rsid w:val="00933FDC"/>
    <w:rsid w:val="00934675"/>
    <w:rsid w:val="00934A97"/>
    <w:rsid w:val="00934C65"/>
    <w:rsid w:val="00936798"/>
    <w:rsid w:val="00936B63"/>
    <w:rsid w:val="00936B90"/>
    <w:rsid w:val="00937007"/>
    <w:rsid w:val="0093745F"/>
    <w:rsid w:val="00937C65"/>
    <w:rsid w:val="00937FD5"/>
    <w:rsid w:val="0094035A"/>
    <w:rsid w:val="0094054F"/>
    <w:rsid w:val="00940E7C"/>
    <w:rsid w:val="00941343"/>
    <w:rsid w:val="00941367"/>
    <w:rsid w:val="00941614"/>
    <w:rsid w:val="00941AC0"/>
    <w:rsid w:val="00941F63"/>
    <w:rsid w:val="00942150"/>
    <w:rsid w:val="00942319"/>
    <w:rsid w:val="00942840"/>
    <w:rsid w:val="00942A5B"/>
    <w:rsid w:val="00943093"/>
    <w:rsid w:val="00943140"/>
    <w:rsid w:val="00943706"/>
    <w:rsid w:val="0094415D"/>
    <w:rsid w:val="00944AD2"/>
    <w:rsid w:val="009452A1"/>
    <w:rsid w:val="0094539A"/>
    <w:rsid w:val="00945789"/>
    <w:rsid w:val="009459E8"/>
    <w:rsid w:val="00945CA9"/>
    <w:rsid w:val="00945FCF"/>
    <w:rsid w:val="00946068"/>
    <w:rsid w:val="00946A81"/>
    <w:rsid w:val="00946D70"/>
    <w:rsid w:val="00946E04"/>
    <w:rsid w:val="009470BE"/>
    <w:rsid w:val="009474FD"/>
    <w:rsid w:val="00947572"/>
    <w:rsid w:val="0094785C"/>
    <w:rsid w:val="00947D42"/>
    <w:rsid w:val="00947FAC"/>
    <w:rsid w:val="009507BA"/>
    <w:rsid w:val="00950FF5"/>
    <w:rsid w:val="00951198"/>
    <w:rsid w:val="009513D9"/>
    <w:rsid w:val="00951430"/>
    <w:rsid w:val="00951A12"/>
    <w:rsid w:val="00951BC3"/>
    <w:rsid w:val="00951C8A"/>
    <w:rsid w:val="00951ED6"/>
    <w:rsid w:val="00952593"/>
    <w:rsid w:val="0095275E"/>
    <w:rsid w:val="00952863"/>
    <w:rsid w:val="00952A8B"/>
    <w:rsid w:val="009533C8"/>
    <w:rsid w:val="00953859"/>
    <w:rsid w:val="00953D65"/>
    <w:rsid w:val="00954188"/>
    <w:rsid w:val="00954327"/>
    <w:rsid w:val="00954E0C"/>
    <w:rsid w:val="009553EE"/>
    <w:rsid w:val="0095568F"/>
    <w:rsid w:val="00955738"/>
    <w:rsid w:val="00955F90"/>
    <w:rsid w:val="0095641C"/>
    <w:rsid w:val="00956C4F"/>
    <w:rsid w:val="00957169"/>
    <w:rsid w:val="0095728A"/>
    <w:rsid w:val="0095745E"/>
    <w:rsid w:val="00957C15"/>
    <w:rsid w:val="0096011A"/>
    <w:rsid w:val="009604C2"/>
    <w:rsid w:val="00960B31"/>
    <w:rsid w:val="00961515"/>
    <w:rsid w:val="00961792"/>
    <w:rsid w:val="009617DC"/>
    <w:rsid w:val="00961991"/>
    <w:rsid w:val="00961FFB"/>
    <w:rsid w:val="0096272B"/>
    <w:rsid w:val="00963119"/>
    <w:rsid w:val="009631C3"/>
    <w:rsid w:val="00963510"/>
    <w:rsid w:val="009636EC"/>
    <w:rsid w:val="009637E6"/>
    <w:rsid w:val="009640A7"/>
    <w:rsid w:val="0096415B"/>
    <w:rsid w:val="009648EE"/>
    <w:rsid w:val="0096499F"/>
    <w:rsid w:val="00964FC9"/>
    <w:rsid w:val="0096522F"/>
    <w:rsid w:val="009653BD"/>
    <w:rsid w:val="00965420"/>
    <w:rsid w:val="00966162"/>
    <w:rsid w:val="0096634B"/>
    <w:rsid w:val="009664CF"/>
    <w:rsid w:val="009665A9"/>
    <w:rsid w:val="00966B9B"/>
    <w:rsid w:val="00966EA1"/>
    <w:rsid w:val="009670FD"/>
    <w:rsid w:val="009671FD"/>
    <w:rsid w:val="00967531"/>
    <w:rsid w:val="009675B3"/>
    <w:rsid w:val="00967BBD"/>
    <w:rsid w:val="00967F0C"/>
    <w:rsid w:val="009703CE"/>
    <w:rsid w:val="009707B4"/>
    <w:rsid w:val="009715E0"/>
    <w:rsid w:val="0097199C"/>
    <w:rsid w:val="00971D6E"/>
    <w:rsid w:val="009721E9"/>
    <w:rsid w:val="00972286"/>
    <w:rsid w:val="009722FF"/>
    <w:rsid w:val="0097247C"/>
    <w:rsid w:val="00972E11"/>
    <w:rsid w:val="009730F3"/>
    <w:rsid w:val="0097334F"/>
    <w:rsid w:val="00973E02"/>
    <w:rsid w:val="009742AA"/>
    <w:rsid w:val="00974E22"/>
    <w:rsid w:val="00974E81"/>
    <w:rsid w:val="00974EBA"/>
    <w:rsid w:val="0097571A"/>
    <w:rsid w:val="00975894"/>
    <w:rsid w:val="009759AE"/>
    <w:rsid w:val="00975D3E"/>
    <w:rsid w:val="00976041"/>
    <w:rsid w:val="009760C4"/>
    <w:rsid w:val="00976439"/>
    <w:rsid w:val="0097647E"/>
    <w:rsid w:val="009765C2"/>
    <w:rsid w:val="009769DC"/>
    <w:rsid w:val="00976E9C"/>
    <w:rsid w:val="009771CB"/>
    <w:rsid w:val="00977285"/>
    <w:rsid w:val="0097753A"/>
    <w:rsid w:val="0097769C"/>
    <w:rsid w:val="00980383"/>
    <w:rsid w:val="0098042C"/>
    <w:rsid w:val="0098088F"/>
    <w:rsid w:val="00980F42"/>
    <w:rsid w:val="00981056"/>
    <w:rsid w:val="009811E3"/>
    <w:rsid w:val="00981FDB"/>
    <w:rsid w:val="009823E0"/>
    <w:rsid w:val="00982710"/>
    <w:rsid w:val="0098277F"/>
    <w:rsid w:val="00982AE9"/>
    <w:rsid w:val="00982B69"/>
    <w:rsid w:val="009836D4"/>
    <w:rsid w:val="00983FA3"/>
    <w:rsid w:val="00984CBD"/>
    <w:rsid w:val="0098539A"/>
    <w:rsid w:val="00985574"/>
    <w:rsid w:val="00986263"/>
    <w:rsid w:val="009865C9"/>
    <w:rsid w:val="00986D8F"/>
    <w:rsid w:val="0098703A"/>
    <w:rsid w:val="009872FD"/>
    <w:rsid w:val="00987B30"/>
    <w:rsid w:val="00987EE8"/>
    <w:rsid w:val="009906B0"/>
    <w:rsid w:val="00990784"/>
    <w:rsid w:val="0099126F"/>
    <w:rsid w:val="009912CD"/>
    <w:rsid w:val="009914C7"/>
    <w:rsid w:val="00991550"/>
    <w:rsid w:val="009922C1"/>
    <w:rsid w:val="0099327C"/>
    <w:rsid w:val="0099337D"/>
    <w:rsid w:val="009935D6"/>
    <w:rsid w:val="0099369D"/>
    <w:rsid w:val="00994017"/>
    <w:rsid w:val="00994365"/>
    <w:rsid w:val="00994689"/>
    <w:rsid w:val="00994BB5"/>
    <w:rsid w:val="00994CB4"/>
    <w:rsid w:val="009953C9"/>
    <w:rsid w:val="009964FE"/>
    <w:rsid w:val="00996FC0"/>
    <w:rsid w:val="009970DD"/>
    <w:rsid w:val="00997228"/>
    <w:rsid w:val="0099737B"/>
    <w:rsid w:val="009974DF"/>
    <w:rsid w:val="009974EB"/>
    <w:rsid w:val="00997654"/>
    <w:rsid w:val="00997996"/>
    <w:rsid w:val="00997A9B"/>
    <w:rsid w:val="00997BCA"/>
    <w:rsid w:val="00997D1D"/>
    <w:rsid w:val="00997E03"/>
    <w:rsid w:val="009A0366"/>
    <w:rsid w:val="009A045E"/>
    <w:rsid w:val="009A0A31"/>
    <w:rsid w:val="009A13AB"/>
    <w:rsid w:val="009A1A2D"/>
    <w:rsid w:val="009A1ACE"/>
    <w:rsid w:val="009A1BA0"/>
    <w:rsid w:val="009A1F3B"/>
    <w:rsid w:val="009A2041"/>
    <w:rsid w:val="009A2220"/>
    <w:rsid w:val="009A2305"/>
    <w:rsid w:val="009A263F"/>
    <w:rsid w:val="009A2908"/>
    <w:rsid w:val="009A2D0A"/>
    <w:rsid w:val="009A3639"/>
    <w:rsid w:val="009A3881"/>
    <w:rsid w:val="009A3975"/>
    <w:rsid w:val="009A3E77"/>
    <w:rsid w:val="009A3F84"/>
    <w:rsid w:val="009A410E"/>
    <w:rsid w:val="009A45DC"/>
    <w:rsid w:val="009A487B"/>
    <w:rsid w:val="009A4F6F"/>
    <w:rsid w:val="009A50EA"/>
    <w:rsid w:val="009A52BE"/>
    <w:rsid w:val="009A69F3"/>
    <w:rsid w:val="009A6D2E"/>
    <w:rsid w:val="009A6E4E"/>
    <w:rsid w:val="009A6E61"/>
    <w:rsid w:val="009A713D"/>
    <w:rsid w:val="009A7B6B"/>
    <w:rsid w:val="009A7F3F"/>
    <w:rsid w:val="009B0243"/>
    <w:rsid w:val="009B0920"/>
    <w:rsid w:val="009B0E08"/>
    <w:rsid w:val="009B10BE"/>
    <w:rsid w:val="009B17B4"/>
    <w:rsid w:val="009B24E7"/>
    <w:rsid w:val="009B27F6"/>
    <w:rsid w:val="009B2D15"/>
    <w:rsid w:val="009B2E0D"/>
    <w:rsid w:val="009B2FE8"/>
    <w:rsid w:val="009B3B49"/>
    <w:rsid w:val="009B3CF3"/>
    <w:rsid w:val="009B3D4C"/>
    <w:rsid w:val="009B3FA2"/>
    <w:rsid w:val="009B3FCE"/>
    <w:rsid w:val="009B4BC9"/>
    <w:rsid w:val="009B50CC"/>
    <w:rsid w:val="009B5604"/>
    <w:rsid w:val="009B5ADB"/>
    <w:rsid w:val="009B5D47"/>
    <w:rsid w:val="009B5DCA"/>
    <w:rsid w:val="009B6147"/>
    <w:rsid w:val="009B666C"/>
    <w:rsid w:val="009B705E"/>
    <w:rsid w:val="009B77FC"/>
    <w:rsid w:val="009C00F3"/>
    <w:rsid w:val="009C015B"/>
    <w:rsid w:val="009C0935"/>
    <w:rsid w:val="009C0FA3"/>
    <w:rsid w:val="009C19AC"/>
    <w:rsid w:val="009C1A0F"/>
    <w:rsid w:val="009C1BA4"/>
    <w:rsid w:val="009C245D"/>
    <w:rsid w:val="009C2C98"/>
    <w:rsid w:val="009C2F1F"/>
    <w:rsid w:val="009C3891"/>
    <w:rsid w:val="009C3A88"/>
    <w:rsid w:val="009C3FDA"/>
    <w:rsid w:val="009C4B4A"/>
    <w:rsid w:val="009C4CE4"/>
    <w:rsid w:val="009C55F0"/>
    <w:rsid w:val="009C597F"/>
    <w:rsid w:val="009C5D0C"/>
    <w:rsid w:val="009C7012"/>
    <w:rsid w:val="009C74C4"/>
    <w:rsid w:val="009C7603"/>
    <w:rsid w:val="009C7965"/>
    <w:rsid w:val="009C7BE0"/>
    <w:rsid w:val="009C7C1E"/>
    <w:rsid w:val="009D029F"/>
    <w:rsid w:val="009D145A"/>
    <w:rsid w:val="009D1769"/>
    <w:rsid w:val="009D1858"/>
    <w:rsid w:val="009D1E8F"/>
    <w:rsid w:val="009D20A9"/>
    <w:rsid w:val="009D2D1F"/>
    <w:rsid w:val="009D2E7D"/>
    <w:rsid w:val="009D3126"/>
    <w:rsid w:val="009D3179"/>
    <w:rsid w:val="009D36CB"/>
    <w:rsid w:val="009D3A76"/>
    <w:rsid w:val="009D3ABD"/>
    <w:rsid w:val="009D3B07"/>
    <w:rsid w:val="009D43EF"/>
    <w:rsid w:val="009D45C2"/>
    <w:rsid w:val="009D4711"/>
    <w:rsid w:val="009D4AC0"/>
    <w:rsid w:val="009D57C1"/>
    <w:rsid w:val="009D6254"/>
    <w:rsid w:val="009D65FC"/>
    <w:rsid w:val="009D695E"/>
    <w:rsid w:val="009D6DD1"/>
    <w:rsid w:val="009D73F6"/>
    <w:rsid w:val="009D787C"/>
    <w:rsid w:val="009D7DB7"/>
    <w:rsid w:val="009D7E8A"/>
    <w:rsid w:val="009E0BEA"/>
    <w:rsid w:val="009E0D30"/>
    <w:rsid w:val="009E0DDE"/>
    <w:rsid w:val="009E113B"/>
    <w:rsid w:val="009E16DC"/>
    <w:rsid w:val="009E20D1"/>
    <w:rsid w:val="009E2688"/>
    <w:rsid w:val="009E2760"/>
    <w:rsid w:val="009E284A"/>
    <w:rsid w:val="009E3326"/>
    <w:rsid w:val="009E342E"/>
    <w:rsid w:val="009E3484"/>
    <w:rsid w:val="009E3874"/>
    <w:rsid w:val="009E3CB5"/>
    <w:rsid w:val="009E4826"/>
    <w:rsid w:val="009E484A"/>
    <w:rsid w:val="009E4A89"/>
    <w:rsid w:val="009E4CE4"/>
    <w:rsid w:val="009E4E39"/>
    <w:rsid w:val="009E4F3B"/>
    <w:rsid w:val="009E5452"/>
    <w:rsid w:val="009E5579"/>
    <w:rsid w:val="009E5B63"/>
    <w:rsid w:val="009E5C82"/>
    <w:rsid w:val="009E5CFE"/>
    <w:rsid w:val="009E6172"/>
    <w:rsid w:val="009E62A8"/>
    <w:rsid w:val="009E62E0"/>
    <w:rsid w:val="009E63EB"/>
    <w:rsid w:val="009E6401"/>
    <w:rsid w:val="009E68A0"/>
    <w:rsid w:val="009E68D8"/>
    <w:rsid w:val="009E6B62"/>
    <w:rsid w:val="009E6C70"/>
    <w:rsid w:val="009E6C87"/>
    <w:rsid w:val="009E6E27"/>
    <w:rsid w:val="009F05B1"/>
    <w:rsid w:val="009F0B1C"/>
    <w:rsid w:val="009F0C3A"/>
    <w:rsid w:val="009F1075"/>
    <w:rsid w:val="009F1237"/>
    <w:rsid w:val="009F17B7"/>
    <w:rsid w:val="009F18F5"/>
    <w:rsid w:val="009F1962"/>
    <w:rsid w:val="009F214F"/>
    <w:rsid w:val="009F2158"/>
    <w:rsid w:val="009F2255"/>
    <w:rsid w:val="009F24C1"/>
    <w:rsid w:val="009F2647"/>
    <w:rsid w:val="009F289D"/>
    <w:rsid w:val="009F3DE0"/>
    <w:rsid w:val="009F3F05"/>
    <w:rsid w:val="009F441F"/>
    <w:rsid w:val="009F444D"/>
    <w:rsid w:val="009F44B2"/>
    <w:rsid w:val="009F458A"/>
    <w:rsid w:val="009F51F9"/>
    <w:rsid w:val="009F527A"/>
    <w:rsid w:val="009F593E"/>
    <w:rsid w:val="009F5C8C"/>
    <w:rsid w:val="009F5D55"/>
    <w:rsid w:val="009F5DB4"/>
    <w:rsid w:val="009F5F79"/>
    <w:rsid w:val="009F6CA2"/>
    <w:rsid w:val="009F6D35"/>
    <w:rsid w:val="009F74C9"/>
    <w:rsid w:val="009F75F9"/>
    <w:rsid w:val="009F7FF9"/>
    <w:rsid w:val="00A001E0"/>
    <w:rsid w:val="00A003C6"/>
    <w:rsid w:val="00A00764"/>
    <w:rsid w:val="00A011E1"/>
    <w:rsid w:val="00A015A8"/>
    <w:rsid w:val="00A0161F"/>
    <w:rsid w:val="00A01ABB"/>
    <w:rsid w:val="00A02228"/>
    <w:rsid w:val="00A022A7"/>
    <w:rsid w:val="00A0251A"/>
    <w:rsid w:val="00A031A3"/>
    <w:rsid w:val="00A03580"/>
    <w:rsid w:val="00A03BCF"/>
    <w:rsid w:val="00A03CE6"/>
    <w:rsid w:val="00A041AE"/>
    <w:rsid w:val="00A0467F"/>
    <w:rsid w:val="00A04E6A"/>
    <w:rsid w:val="00A05227"/>
    <w:rsid w:val="00A05CDB"/>
    <w:rsid w:val="00A05FA8"/>
    <w:rsid w:val="00A060B8"/>
    <w:rsid w:val="00A06496"/>
    <w:rsid w:val="00A06714"/>
    <w:rsid w:val="00A06BA1"/>
    <w:rsid w:val="00A07474"/>
    <w:rsid w:val="00A07F72"/>
    <w:rsid w:val="00A10251"/>
    <w:rsid w:val="00A107C6"/>
    <w:rsid w:val="00A10819"/>
    <w:rsid w:val="00A10904"/>
    <w:rsid w:val="00A11B19"/>
    <w:rsid w:val="00A11BD1"/>
    <w:rsid w:val="00A11EFE"/>
    <w:rsid w:val="00A11F27"/>
    <w:rsid w:val="00A1256C"/>
    <w:rsid w:val="00A12802"/>
    <w:rsid w:val="00A12A3F"/>
    <w:rsid w:val="00A12CE0"/>
    <w:rsid w:val="00A13B9D"/>
    <w:rsid w:val="00A13ECF"/>
    <w:rsid w:val="00A13F5D"/>
    <w:rsid w:val="00A146B9"/>
    <w:rsid w:val="00A14707"/>
    <w:rsid w:val="00A1474A"/>
    <w:rsid w:val="00A147B1"/>
    <w:rsid w:val="00A14859"/>
    <w:rsid w:val="00A14B72"/>
    <w:rsid w:val="00A14FE7"/>
    <w:rsid w:val="00A15054"/>
    <w:rsid w:val="00A15EF7"/>
    <w:rsid w:val="00A160E3"/>
    <w:rsid w:val="00A166E0"/>
    <w:rsid w:val="00A1672F"/>
    <w:rsid w:val="00A17A26"/>
    <w:rsid w:val="00A17A7D"/>
    <w:rsid w:val="00A200AF"/>
    <w:rsid w:val="00A20B81"/>
    <w:rsid w:val="00A2151E"/>
    <w:rsid w:val="00A2175C"/>
    <w:rsid w:val="00A21982"/>
    <w:rsid w:val="00A220D2"/>
    <w:rsid w:val="00A222F3"/>
    <w:rsid w:val="00A22765"/>
    <w:rsid w:val="00A22A08"/>
    <w:rsid w:val="00A22C63"/>
    <w:rsid w:val="00A22CA3"/>
    <w:rsid w:val="00A22EF3"/>
    <w:rsid w:val="00A23961"/>
    <w:rsid w:val="00A23F2F"/>
    <w:rsid w:val="00A243EE"/>
    <w:rsid w:val="00A24952"/>
    <w:rsid w:val="00A24A57"/>
    <w:rsid w:val="00A24B9E"/>
    <w:rsid w:val="00A25383"/>
    <w:rsid w:val="00A25B29"/>
    <w:rsid w:val="00A25CBC"/>
    <w:rsid w:val="00A26598"/>
    <w:rsid w:val="00A267B3"/>
    <w:rsid w:val="00A26AA3"/>
    <w:rsid w:val="00A271B0"/>
    <w:rsid w:val="00A300D9"/>
    <w:rsid w:val="00A3013F"/>
    <w:rsid w:val="00A30521"/>
    <w:rsid w:val="00A30ADD"/>
    <w:rsid w:val="00A30FC2"/>
    <w:rsid w:val="00A3105F"/>
    <w:rsid w:val="00A3119F"/>
    <w:rsid w:val="00A31214"/>
    <w:rsid w:val="00A314A7"/>
    <w:rsid w:val="00A3171C"/>
    <w:rsid w:val="00A325A4"/>
    <w:rsid w:val="00A329B4"/>
    <w:rsid w:val="00A32A91"/>
    <w:rsid w:val="00A32E5B"/>
    <w:rsid w:val="00A34393"/>
    <w:rsid w:val="00A34783"/>
    <w:rsid w:val="00A348E0"/>
    <w:rsid w:val="00A34DBA"/>
    <w:rsid w:val="00A34DE9"/>
    <w:rsid w:val="00A35694"/>
    <w:rsid w:val="00A35A03"/>
    <w:rsid w:val="00A35E70"/>
    <w:rsid w:val="00A3600A"/>
    <w:rsid w:val="00A3622B"/>
    <w:rsid w:val="00A36A0F"/>
    <w:rsid w:val="00A36CEE"/>
    <w:rsid w:val="00A36E38"/>
    <w:rsid w:val="00A3727C"/>
    <w:rsid w:val="00A3797A"/>
    <w:rsid w:val="00A40B46"/>
    <w:rsid w:val="00A40FC7"/>
    <w:rsid w:val="00A4132D"/>
    <w:rsid w:val="00A41513"/>
    <w:rsid w:val="00A415C6"/>
    <w:rsid w:val="00A419AC"/>
    <w:rsid w:val="00A41F04"/>
    <w:rsid w:val="00A421D0"/>
    <w:rsid w:val="00A42466"/>
    <w:rsid w:val="00A426E0"/>
    <w:rsid w:val="00A42F7C"/>
    <w:rsid w:val="00A430E3"/>
    <w:rsid w:val="00A436D2"/>
    <w:rsid w:val="00A438A6"/>
    <w:rsid w:val="00A43D4D"/>
    <w:rsid w:val="00A43DAD"/>
    <w:rsid w:val="00A4437E"/>
    <w:rsid w:val="00A448F1"/>
    <w:rsid w:val="00A451D5"/>
    <w:rsid w:val="00A45608"/>
    <w:rsid w:val="00A4574C"/>
    <w:rsid w:val="00A45A08"/>
    <w:rsid w:val="00A45A2E"/>
    <w:rsid w:val="00A45D8B"/>
    <w:rsid w:val="00A45FC1"/>
    <w:rsid w:val="00A46BFD"/>
    <w:rsid w:val="00A46CD6"/>
    <w:rsid w:val="00A47834"/>
    <w:rsid w:val="00A47857"/>
    <w:rsid w:val="00A47BFF"/>
    <w:rsid w:val="00A5014B"/>
    <w:rsid w:val="00A5037A"/>
    <w:rsid w:val="00A51C3C"/>
    <w:rsid w:val="00A51DAD"/>
    <w:rsid w:val="00A52F18"/>
    <w:rsid w:val="00A5354F"/>
    <w:rsid w:val="00A53702"/>
    <w:rsid w:val="00A55554"/>
    <w:rsid w:val="00A556B6"/>
    <w:rsid w:val="00A55A5D"/>
    <w:rsid w:val="00A55FB8"/>
    <w:rsid w:val="00A564B4"/>
    <w:rsid w:val="00A56556"/>
    <w:rsid w:val="00A567C4"/>
    <w:rsid w:val="00A56AF4"/>
    <w:rsid w:val="00A5734F"/>
    <w:rsid w:val="00A575E3"/>
    <w:rsid w:val="00A579B2"/>
    <w:rsid w:val="00A57AC5"/>
    <w:rsid w:val="00A57E6E"/>
    <w:rsid w:val="00A60273"/>
    <w:rsid w:val="00A6030D"/>
    <w:rsid w:val="00A603D9"/>
    <w:rsid w:val="00A6082B"/>
    <w:rsid w:val="00A608C4"/>
    <w:rsid w:val="00A60930"/>
    <w:rsid w:val="00A60A6E"/>
    <w:rsid w:val="00A61181"/>
    <w:rsid w:val="00A61EA1"/>
    <w:rsid w:val="00A6296E"/>
    <w:rsid w:val="00A62A7B"/>
    <w:rsid w:val="00A636A1"/>
    <w:rsid w:val="00A64423"/>
    <w:rsid w:val="00A64B99"/>
    <w:rsid w:val="00A65A1E"/>
    <w:rsid w:val="00A66CFD"/>
    <w:rsid w:val="00A672D6"/>
    <w:rsid w:val="00A70083"/>
    <w:rsid w:val="00A7015A"/>
    <w:rsid w:val="00A7041A"/>
    <w:rsid w:val="00A707AE"/>
    <w:rsid w:val="00A707CE"/>
    <w:rsid w:val="00A71047"/>
    <w:rsid w:val="00A71BD1"/>
    <w:rsid w:val="00A72338"/>
    <w:rsid w:val="00A72DFD"/>
    <w:rsid w:val="00A73155"/>
    <w:rsid w:val="00A73AD5"/>
    <w:rsid w:val="00A741A5"/>
    <w:rsid w:val="00A74A51"/>
    <w:rsid w:val="00A74A71"/>
    <w:rsid w:val="00A74FE6"/>
    <w:rsid w:val="00A75044"/>
    <w:rsid w:val="00A753C1"/>
    <w:rsid w:val="00A754CD"/>
    <w:rsid w:val="00A762E1"/>
    <w:rsid w:val="00A7642E"/>
    <w:rsid w:val="00A76911"/>
    <w:rsid w:val="00A774B5"/>
    <w:rsid w:val="00A803DD"/>
    <w:rsid w:val="00A808D6"/>
    <w:rsid w:val="00A80DEC"/>
    <w:rsid w:val="00A80FF0"/>
    <w:rsid w:val="00A81183"/>
    <w:rsid w:val="00A811B0"/>
    <w:rsid w:val="00A8126D"/>
    <w:rsid w:val="00A815D1"/>
    <w:rsid w:val="00A819CA"/>
    <w:rsid w:val="00A81FD6"/>
    <w:rsid w:val="00A82244"/>
    <w:rsid w:val="00A8247B"/>
    <w:rsid w:val="00A8261C"/>
    <w:rsid w:val="00A82863"/>
    <w:rsid w:val="00A82B68"/>
    <w:rsid w:val="00A82DA7"/>
    <w:rsid w:val="00A83179"/>
    <w:rsid w:val="00A833E6"/>
    <w:rsid w:val="00A835AE"/>
    <w:rsid w:val="00A83693"/>
    <w:rsid w:val="00A83C7A"/>
    <w:rsid w:val="00A83D5E"/>
    <w:rsid w:val="00A83D80"/>
    <w:rsid w:val="00A83DD9"/>
    <w:rsid w:val="00A83EAE"/>
    <w:rsid w:val="00A841AE"/>
    <w:rsid w:val="00A84428"/>
    <w:rsid w:val="00A844C1"/>
    <w:rsid w:val="00A85820"/>
    <w:rsid w:val="00A85B7F"/>
    <w:rsid w:val="00A863BB"/>
    <w:rsid w:val="00A8657F"/>
    <w:rsid w:val="00A8674B"/>
    <w:rsid w:val="00A868CE"/>
    <w:rsid w:val="00A86EB3"/>
    <w:rsid w:val="00A870BF"/>
    <w:rsid w:val="00A876E4"/>
    <w:rsid w:val="00A8791D"/>
    <w:rsid w:val="00A87F14"/>
    <w:rsid w:val="00A87F28"/>
    <w:rsid w:val="00A87F9B"/>
    <w:rsid w:val="00A90463"/>
    <w:rsid w:val="00A90798"/>
    <w:rsid w:val="00A90CB3"/>
    <w:rsid w:val="00A91B83"/>
    <w:rsid w:val="00A92304"/>
    <w:rsid w:val="00A924D2"/>
    <w:rsid w:val="00A92A82"/>
    <w:rsid w:val="00A92AC8"/>
    <w:rsid w:val="00A92C6D"/>
    <w:rsid w:val="00A92FCB"/>
    <w:rsid w:val="00A93061"/>
    <w:rsid w:val="00A93142"/>
    <w:rsid w:val="00A938CD"/>
    <w:rsid w:val="00A93D30"/>
    <w:rsid w:val="00A94514"/>
    <w:rsid w:val="00A94BFA"/>
    <w:rsid w:val="00A94DCE"/>
    <w:rsid w:val="00A94DE3"/>
    <w:rsid w:val="00A952BC"/>
    <w:rsid w:val="00A95597"/>
    <w:rsid w:val="00A95777"/>
    <w:rsid w:val="00A95913"/>
    <w:rsid w:val="00A96B2E"/>
    <w:rsid w:val="00A97047"/>
    <w:rsid w:val="00A9734B"/>
    <w:rsid w:val="00A9760C"/>
    <w:rsid w:val="00A976A0"/>
    <w:rsid w:val="00A977D1"/>
    <w:rsid w:val="00A97EA6"/>
    <w:rsid w:val="00AA0229"/>
    <w:rsid w:val="00AA0238"/>
    <w:rsid w:val="00AA042C"/>
    <w:rsid w:val="00AA05AE"/>
    <w:rsid w:val="00AA0947"/>
    <w:rsid w:val="00AA1219"/>
    <w:rsid w:val="00AA16EC"/>
    <w:rsid w:val="00AA19CB"/>
    <w:rsid w:val="00AA1E27"/>
    <w:rsid w:val="00AA214D"/>
    <w:rsid w:val="00AA21ED"/>
    <w:rsid w:val="00AA24AE"/>
    <w:rsid w:val="00AA276A"/>
    <w:rsid w:val="00AA3134"/>
    <w:rsid w:val="00AA4A13"/>
    <w:rsid w:val="00AA505A"/>
    <w:rsid w:val="00AA51C4"/>
    <w:rsid w:val="00AA5B29"/>
    <w:rsid w:val="00AA6101"/>
    <w:rsid w:val="00AA669B"/>
    <w:rsid w:val="00AA66A2"/>
    <w:rsid w:val="00AA6A80"/>
    <w:rsid w:val="00AA6B7B"/>
    <w:rsid w:val="00AA6F78"/>
    <w:rsid w:val="00AA7075"/>
    <w:rsid w:val="00AA722A"/>
    <w:rsid w:val="00AA743F"/>
    <w:rsid w:val="00AA75B2"/>
    <w:rsid w:val="00AA7EBE"/>
    <w:rsid w:val="00AB0285"/>
    <w:rsid w:val="00AB093E"/>
    <w:rsid w:val="00AB0B45"/>
    <w:rsid w:val="00AB0F33"/>
    <w:rsid w:val="00AB1012"/>
    <w:rsid w:val="00AB1122"/>
    <w:rsid w:val="00AB11E3"/>
    <w:rsid w:val="00AB18CB"/>
    <w:rsid w:val="00AB20C2"/>
    <w:rsid w:val="00AB218F"/>
    <w:rsid w:val="00AB23B5"/>
    <w:rsid w:val="00AB2971"/>
    <w:rsid w:val="00AB399C"/>
    <w:rsid w:val="00AB3DF7"/>
    <w:rsid w:val="00AB4CCE"/>
    <w:rsid w:val="00AB4CD8"/>
    <w:rsid w:val="00AB51E0"/>
    <w:rsid w:val="00AB5604"/>
    <w:rsid w:val="00AB576F"/>
    <w:rsid w:val="00AB58C6"/>
    <w:rsid w:val="00AB615E"/>
    <w:rsid w:val="00AB70D2"/>
    <w:rsid w:val="00AB7642"/>
    <w:rsid w:val="00AC043C"/>
    <w:rsid w:val="00AC072C"/>
    <w:rsid w:val="00AC0977"/>
    <w:rsid w:val="00AC0E30"/>
    <w:rsid w:val="00AC0ECF"/>
    <w:rsid w:val="00AC14B7"/>
    <w:rsid w:val="00AC1814"/>
    <w:rsid w:val="00AC1A1D"/>
    <w:rsid w:val="00AC1CCB"/>
    <w:rsid w:val="00AC1F81"/>
    <w:rsid w:val="00AC20B9"/>
    <w:rsid w:val="00AC2621"/>
    <w:rsid w:val="00AC26AB"/>
    <w:rsid w:val="00AC273E"/>
    <w:rsid w:val="00AC3034"/>
    <w:rsid w:val="00AC3680"/>
    <w:rsid w:val="00AC36CB"/>
    <w:rsid w:val="00AC375A"/>
    <w:rsid w:val="00AC3ECC"/>
    <w:rsid w:val="00AC3FC6"/>
    <w:rsid w:val="00AC4311"/>
    <w:rsid w:val="00AC44E9"/>
    <w:rsid w:val="00AC458A"/>
    <w:rsid w:val="00AC4915"/>
    <w:rsid w:val="00AC4A31"/>
    <w:rsid w:val="00AC4AC9"/>
    <w:rsid w:val="00AC4B89"/>
    <w:rsid w:val="00AC4DAC"/>
    <w:rsid w:val="00AC50DE"/>
    <w:rsid w:val="00AC5465"/>
    <w:rsid w:val="00AC56A8"/>
    <w:rsid w:val="00AC57C9"/>
    <w:rsid w:val="00AC6AB7"/>
    <w:rsid w:val="00AC6B94"/>
    <w:rsid w:val="00AC6C32"/>
    <w:rsid w:val="00AC6DBA"/>
    <w:rsid w:val="00AC6E26"/>
    <w:rsid w:val="00AC7380"/>
    <w:rsid w:val="00AC7532"/>
    <w:rsid w:val="00AC779C"/>
    <w:rsid w:val="00AD101B"/>
    <w:rsid w:val="00AD1335"/>
    <w:rsid w:val="00AD17E4"/>
    <w:rsid w:val="00AD1D90"/>
    <w:rsid w:val="00AD1E7B"/>
    <w:rsid w:val="00AD2157"/>
    <w:rsid w:val="00AD25A2"/>
    <w:rsid w:val="00AD25DD"/>
    <w:rsid w:val="00AD32F7"/>
    <w:rsid w:val="00AD36B1"/>
    <w:rsid w:val="00AD3714"/>
    <w:rsid w:val="00AD3767"/>
    <w:rsid w:val="00AD3AF9"/>
    <w:rsid w:val="00AD402A"/>
    <w:rsid w:val="00AD4ABE"/>
    <w:rsid w:val="00AD53A3"/>
    <w:rsid w:val="00AD561F"/>
    <w:rsid w:val="00AD5F49"/>
    <w:rsid w:val="00AD624B"/>
    <w:rsid w:val="00AD63D7"/>
    <w:rsid w:val="00AD6447"/>
    <w:rsid w:val="00AD6801"/>
    <w:rsid w:val="00AD6BEC"/>
    <w:rsid w:val="00AD74E7"/>
    <w:rsid w:val="00AD7FC9"/>
    <w:rsid w:val="00AE01CD"/>
    <w:rsid w:val="00AE03D1"/>
    <w:rsid w:val="00AE0AB9"/>
    <w:rsid w:val="00AE0F7F"/>
    <w:rsid w:val="00AE1169"/>
    <w:rsid w:val="00AE1A46"/>
    <w:rsid w:val="00AE1B69"/>
    <w:rsid w:val="00AE247E"/>
    <w:rsid w:val="00AE26A2"/>
    <w:rsid w:val="00AE279E"/>
    <w:rsid w:val="00AE2DC8"/>
    <w:rsid w:val="00AE32DE"/>
    <w:rsid w:val="00AE4256"/>
    <w:rsid w:val="00AE425C"/>
    <w:rsid w:val="00AE45D1"/>
    <w:rsid w:val="00AE4846"/>
    <w:rsid w:val="00AE4961"/>
    <w:rsid w:val="00AE57F7"/>
    <w:rsid w:val="00AE6620"/>
    <w:rsid w:val="00AE66EE"/>
    <w:rsid w:val="00AE697E"/>
    <w:rsid w:val="00AE6C8E"/>
    <w:rsid w:val="00AE6F01"/>
    <w:rsid w:val="00AE715F"/>
    <w:rsid w:val="00AE71C3"/>
    <w:rsid w:val="00AE752D"/>
    <w:rsid w:val="00AE778E"/>
    <w:rsid w:val="00AE7B95"/>
    <w:rsid w:val="00AF04F5"/>
    <w:rsid w:val="00AF066D"/>
    <w:rsid w:val="00AF16E0"/>
    <w:rsid w:val="00AF178F"/>
    <w:rsid w:val="00AF1ABD"/>
    <w:rsid w:val="00AF1B5E"/>
    <w:rsid w:val="00AF242B"/>
    <w:rsid w:val="00AF2497"/>
    <w:rsid w:val="00AF39ED"/>
    <w:rsid w:val="00AF3F54"/>
    <w:rsid w:val="00AF4183"/>
    <w:rsid w:val="00AF44B2"/>
    <w:rsid w:val="00AF4670"/>
    <w:rsid w:val="00AF5135"/>
    <w:rsid w:val="00AF574A"/>
    <w:rsid w:val="00AF5C61"/>
    <w:rsid w:val="00AF6327"/>
    <w:rsid w:val="00AF6894"/>
    <w:rsid w:val="00AF69B3"/>
    <w:rsid w:val="00AF6F3D"/>
    <w:rsid w:val="00AF6FE3"/>
    <w:rsid w:val="00AF7AC2"/>
    <w:rsid w:val="00B000CD"/>
    <w:rsid w:val="00B0015C"/>
    <w:rsid w:val="00B008FC"/>
    <w:rsid w:val="00B00B34"/>
    <w:rsid w:val="00B01274"/>
    <w:rsid w:val="00B01286"/>
    <w:rsid w:val="00B01561"/>
    <w:rsid w:val="00B01816"/>
    <w:rsid w:val="00B01E09"/>
    <w:rsid w:val="00B02CDE"/>
    <w:rsid w:val="00B03101"/>
    <w:rsid w:val="00B0313F"/>
    <w:rsid w:val="00B03398"/>
    <w:rsid w:val="00B037DD"/>
    <w:rsid w:val="00B038B1"/>
    <w:rsid w:val="00B03D39"/>
    <w:rsid w:val="00B04E2D"/>
    <w:rsid w:val="00B05905"/>
    <w:rsid w:val="00B05D09"/>
    <w:rsid w:val="00B06D91"/>
    <w:rsid w:val="00B07314"/>
    <w:rsid w:val="00B07512"/>
    <w:rsid w:val="00B1032D"/>
    <w:rsid w:val="00B1085B"/>
    <w:rsid w:val="00B10C57"/>
    <w:rsid w:val="00B10E23"/>
    <w:rsid w:val="00B117BE"/>
    <w:rsid w:val="00B121AC"/>
    <w:rsid w:val="00B12201"/>
    <w:rsid w:val="00B1248C"/>
    <w:rsid w:val="00B12F31"/>
    <w:rsid w:val="00B12F9F"/>
    <w:rsid w:val="00B135E4"/>
    <w:rsid w:val="00B1446E"/>
    <w:rsid w:val="00B1484D"/>
    <w:rsid w:val="00B14BEC"/>
    <w:rsid w:val="00B15408"/>
    <w:rsid w:val="00B156FB"/>
    <w:rsid w:val="00B1573D"/>
    <w:rsid w:val="00B15B16"/>
    <w:rsid w:val="00B15DCF"/>
    <w:rsid w:val="00B15ECB"/>
    <w:rsid w:val="00B1649F"/>
    <w:rsid w:val="00B16ABD"/>
    <w:rsid w:val="00B1704F"/>
    <w:rsid w:val="00B1783A"/>
    <w:rsid w:val="00B203C1"/>
    <w:rsid w:val="00B2096C"/>
    <w:rsid w:val="00B20CE7"/>
    <w:rsid w:val="00B20F09"/>
    <w:rsid w:val="00B21218"/>
    <w:rsid w:val="00B212BD"/>
    <w:rsid w:val="00B2144B"/>
    <w:rsid w:val="00B21699"/>
    <w:rsid w:val="00B21D40"/>
    <w:rsid w:val="00B22DB8"/>
    <w:rsid w:val="00B238FA"/>
    <w:rsid w:val="00B24119"/>
    <w:rsid w:val="00B2469A"/>
    <w:rsid w:val="00B247A2"/>
    <w:rsid w:val="00B24986"/>
    <w:rsid w:val="00B257FE"/>
    <w:rsid w:val="00B2599C"/>
    <w:rsid w:val="00B25D99"/>
    <w:rsid w:val="00B265E4"/>
    <w:rsid w:val="00B265FD"/>
    <w:rsid w:val="00B266D3"/>
    <w:rsid w:val="00B26853"/>
    <w:rsid w:val="00B27676"/>
    <w:rsid w:val="00B27E96"/>
    <w:rsid w:val="00B30324"/>
    <w:rsid w:val="00B305DA"/>
    <w:rsid w:val="00B308E9"/>
    <w:rsid w:val="00B30BBD"/>
    <w:rsid w:val="00B3144E"/>
    <w:rsid w:val="00B319AC"/>
    <w:rsid w:val="00B31C9C"/>
    <w:rsid w:val="00B324A0"/>
    <w:rsid w:val="00B32807"/>
    <w:rsid w:val="00B33473"/>
    <w:rsid w:val="00B3389F"/>
    <w:rsid w:val="00B340A7"/>
    <w:rsid w:val="00B34243"/>
    <w:rsid w:val="00B34508"/>
    <w:rsid w:val="00B346DE"/>
    <w:rsid w:val="00B3547C"/>
    <w:rsid w:val="00B35A41"/>
    <w:rsid w:val="00B35A78"/>
    <w:rsid w:val="00B35C51"/>
    <w:rsid w:val="00B35CE0"/>
    <w:rsid w:val="00B3641A"/>
    <w:rsid w:val="00B36879"/>
    <w:rsid w:val="00B36AE1"/>
    <w:rsid w:val="00B3705E"/>
    <w:rsid w:val="00B37139"/>
    <w:rsid w:val="00B374A7"/>
    <w:rsid w:val="00B37B07"/>
    <w:rsid w:val="00B37BB4"/>
    <w:rsid w:val="00B4010A"/>
    <w:rsid w:val="00B40262"/>
    <w:rsid w:val="00B404F7"/>
    <w:rsid w:val="00B40D78"/>
    <w:rsid w:val="00B40D97"/>
    <w:rsid w:val="00B41B04"/>
    <w:rsid w:val="00B42029"/>
    <w:rsid w:val="00B4254E"/>
    <w:rsid w:val="00B4281F"/>
    <w:rsid w:val="00B4327A"/>
    <w:rsid w:val="00B434A8"/>
    <w:rsid w:val="00B44BDE"/>
    <w:rsid w:val="00B44F8D"/>
    <w:rsid w:val="00B45198"/>
    <w:rsid w:val="00B45C7F"/>
    <w:rsid w:val="00B45FD5"/>
    <w:rsid w:val="00B4600F"/>
    <w:rsid w:val="00B4602B"/>
    <w:rsid w:val="00B4668C"/>
    <w:rsid w:val="00B469F6"/>
    <w:rsid w:val="00B47236"/>
    <w:rsid w:val="00B47EAC"/>
    <w:rsid w:val="00B47FEC"/>
    <w:rsid w:val="00B5004C"/>
    <w:rsid w:val="00B50067"/>
    <w:rsid w:val="00B50669"/>
    <w:rsid w:val="00B50B05"/>
    <w:rsid w:val="00B51078"/>
    <w:rsid w:val="00B512F1"/>
    <w:rsid w:val="00B523F1"/>
    <w:rsid w:val="00B52483"/>
    <w:rsid w:val="00B52F4F"/>
    <w:rsid w:val="00B5378D"/>
    <w:rsid w:val="00B53972"/>
    <w:rsid w:val="00B53995"/>
    <w:rsid w:val="00B53B1E"/>
    <w:rsid w:val="00B53D79"/>
    <w:rsid w:val="00B5460D"/>
    <w:rsid w:val="00B54D2B"/>
    <w:rsid w:val="00B54E1F"/>
    <w:rsid w:val="00B55092"/>
    <w:rsid w:val="00B55193"/>
    <w:rsid w:val="00B551B5"/>
    <w:rsid w:val="00B55D0D"/>
    <w:rsid w:val="00B55F0A"/>
    <w:rsid w:val="00B56593"/>
    <w:rsid w:val="00B56F08"/>
    <w:rsid w:val="00B576FD"/>
    <w:rsid w:val="00B579F3"/>
    <w:rsid w:val="00B57C6B"/>
    <w:rsid w:val="00B6006C"/>
    <w:rsid w:val="00B600B5"/>
    <w:rsid w:val="00B6120C"/>
    <w:rsid w:val="00B61DAC"/>
    <w:rsid w:val="00B6210A"/>
    <w:rsid w:val="00B6298E"/>
    <w:rsid w:val="00B63B3E"/>
    <w:rsid w:val="00B63C67"/>
    <w:rsid w:val="00B63DF4"/>
    <w:rsid w:val="00B63F43"/>
    <w:rsid w:val="00B63FEC"/>
    <w:rsid w:val="00B641B2"/>
    <w:rsid w:val="00B64384"/>
    <w:rsid w:val="00B65348"/>
    <w:rsid w:val="00B655C6"/>
    <w:rsid w:val="00B656E5"/>
    <w:rsid w:val="00B664C0"/>
    <w:rsid w:val="00B66684"/>
    <w:rsid w:val="00B672B6"/>
    <w:rsid w:val="00B67B43"/>
    <w:rsid w:val="00B70AB7"/>
    <w:rsid w:val="00B70D93"/>
    <w:rsid w:val="00B70E21"/>
    <w:rsid w:val="00B71997"/>
    <w:rsid w:val="00B719D2"/>
    <w:rsid w:val="00B71DE7"/>
    <w:rsid w:val="00B71F7C"/>
    <w:rsid w:val="00B72B46"/>
    <w:rsid w:val="00B72B9F"/>
    <w:rsid w:val="00B73547"/>
    <w:rsid w:val="00B735AF"/>
    <w:rsid w:val="00B73D74"/>
    <w:rsid w:val="00B74422"/>
    <w:rsid w:val="00B75479"/>
    <w:rsid w:val="00B75515"/>
    <w:rsid w:val="00B75A33"/>
    <w:rsid w:val="00B75CCB"/>
    <w:rsid w:val="00B76E24"/>
    <w:rsid w:val="00B770CB"/>
    <w:rsid w:val="00B772C2"/>
    <w:rsid w:val="00B776E3"/>
    <w:rsid w:val="00B77C7D"/>
    <w:rsid w:val="00B80388"/>
    <w:rsid w:val="00B81F2F"/>
    <w:rsid w:val="00B82075"/>
    <w:rsid w:val="00B832D3"/>
    <w:rsid w:val="00B83A19"/>
    <w:rsid w:val="00B83F1D"/>
    <w:rsid w:val="00B83F30"/>
    <w:rsid w:val="00B857A9"/>
    <w:rsid w:val="00B858E7"/>
    <w:rsid w:val="00B85EE3"/>
    <w:rsid w:val="00B86177"/>
    <w:rsid w:val="00B862EE"/>
    <w:rsid w:val="00B867E4"/>
    <w:rsid w:val="00B86914"/>
    <w:rsid w:val="00B87633"/>
    <w:rsid w:val="00B87E84"/>
    <w:rsid w:val="00B90373"/>
    <w:rsid w:val="00B90445"/>
    <w:rsid w:val="00B9080E"/>
    <w:rsid w:val="00B908B2"/>
    <w:rsid w:val="00B90E1F"/>
    <w:rsid w:val="00B91106"/>
    <w:rsid w:val="00B91152"/>
    <w:rsid w:val="00B91AC2"/>
    <w:rsid w:val="00B91F03"/>
    <w:rsid w:val="00B92031"/>
    <w:rsid w:val="00B9225E"/>
    <w:rsid w:val="00B927B6"/>
    <w:rsid w:val="00B92D5A"/>
    <w:rsid w:val="00B93322"/>
    <w:rsid w:val="00B943F2"/>
    <w:rsid w:val="00B94B7A"/>
    <w:rsid w:val="00B94C32"/>
    <w:rsid w:val="00B95A55"/>
    <w:rsid w:val="00B95B86"/>
    <w:rsid w:val="00B95DC1"/>
    <w:rsid w:val="00B960AD"/>
    <w:rsid w:val="00B9670E"/>
    <w:rsid w:val="00B96CF1"/>
    <w:rsid w:val="00B971DA"/>
    <w:rsid w:val="00B9727C"/>
    <w:rsid w:val="00B97C39"/>
    <w:rsid w:val="00B97C8E"/>
    <w:rsid w:val="00B97D3C"/>
    <w:rsid w:val="00BA0383"/>
    <w:rsid w:val="00BA0D99"/>
    <w:rsid w:val="00BA0E77"/>
    <w:rsid w:val="00BA0ED5"/>
    <w:rsid w:val="00BA152A"/>
    <w:rsid w:val="00BA1673"/>
    <w:rsid w:val="00BA19BF"/>
    <w:rsid w:val="00BA1A4C"/>
    <w:rsid w:val="00BA1C22"/>
    <w:rsid w:val="00BA1E1C"/>
    <w:rsid w:val="00BA1F9A"/>
    <w:rsid w:val="00BA1FC5"/>
    <w:rsid w:val="00BA208B"/>
    <w:rsid w:val="00BA228B"/>
    <w:rsid w:val="00BA292F"/>
    <w:rsid w:val="00BA3276"/>
    <w:rsid w:val="00BA43FA"/>
    <w:rsid w:val="00BA48A0"/>
    <w:rsid w:val="00BA4A25"/>
    <w:rsid w:val="00BA4C9F"/>
    <w:rsid w:val="00BA4CD1"/>
    <w:rsid w:val="00BA4DA2"/>
    <w:rsid w:val="00BA4E72"/>
    <w:rsid w:val="00BA502F"/>
    <w:rsid w:val="00BA5197"/>
    <w:rsid w:val="00BA5449"/>
    <w:rsid w:val="00BA5462"/>
    <w:rsid w:val="00BA558A"/>
    <w:rsid w:val="00BA5660"/>
    <w:rsid w:val="00BA5EF7"/>
    <w:rsid w:val="00BA5F82"/>
    <w:rsid w:val="00BA63FC"/>
    <w:rsid w:val="00BA6461"/>
    <w:rsid w:val="00BA68C1"/>
    <w:rsid w:val="00BA706B"/>
    <w:rsid w:val="00BA734D"/>
    <w:rsid w:val="00BA770A"/>
    <w:rsid w:val="00BA7741"/>
    <w:rsid w:val="00BA7CCC"/>
    <w:rsid w:val="00BB023D"/>
    <w:rsid w:val="00BB0427"/>
    <w:rsid w:val="00BB0B7C"/>
    <w:rsid w:val="00BB130E"/>
    <w:rsid w:val="00BB14EB"/>
    <w:rsid w:val="00BB18AA"/>
    <w:rsid w:val="00BB1BB1"/>
    <w:rsid w:val="00BB20DB"/>
    <w:rsid w:val="00BB2515"/>
    <w:rsid w:val="00BB26D4"/>
    <w:rsid w:val="00BB36CE"/>
    <w:rsid w:val="00BB3A2E"/>
    <w:rsid w:val="00BB3B1F"/>
    <w:rsid w:val="00BB3CFC"/>
    <w:rsid w:val="00BB3F8F"/>
    <w:rsid w:val="00BB4169"/>
    <w:rsid w:val="00BB4A60"/>
    <w:rsid w:val="00BB517F"/>
    <w:rsid w:val="00BB5257"/>
    <w:rsid w:val="00BB5306"/>
    <w:rsid w:val="00BB58F0"/>
    <w:rsid w:val="00BB5CA2"/>
    <w:rsid w:val="00BB5FDA"/>
    <w:rsid w:val="00BB646A"/>
    <w:rsid w:val="00BB6979"/>
    <w:rsid w:val="00BB6C1D"/>
    <w:rsid w:val="00BB747E"/>
    <w:rsid w:val="00BB7B26"/>
    <w:rsid w:val="00BB7BB9"/>
    <w:rsid w:val="00BB7D47"/>
    <w:rsid w:val="00BB7D69"/>
    <w:rsid w:val="00BC047E"/>
    <w:rsid w:val="00BC1341"/>
    <w:rsid w:val="00BC18A3"/>
    <w:rsid w:val="00BC1BD8"/>
    <w:rsid w:val="00BC1ECD"/>
    <w:rsid w:val="00BC22E4"/>
    <w:rsid w:val="00BC2519"/>
    <w:rsid w:val="00BC2591"/>
    <w:rsid w:val="00BC2CE6"/>
    <w:rsid w:val="00BC2E13"/>
    <w:rsid w:val="00BC32F3"/>
    <w:rsid w:val="00BC3665"/>
    <w:rsid w:val="00BC3D35"/>
    <w:rsid w:val="00BC4DA5"/>
    <w:rsid w:val="00BC51AF"/>
    <w:rsid w:val="00BC53A8"/>
    <w:rsid w:val="00BC58C4"/>
    <w:rsid w:val="00BC59A0"/>
    <w:rsid w:val="00BC5A68"/>
    <w:rsid w:val="00BC5AB3"/>
    <w:rsid w:val="00BC612B"/>
    <w:rsid w:val="00BC61C7"/>
    <w:rsid w:val="00BC6B01"/>
    <w:rsid w:val="00BC6E42"/>
    <w:rsid w:val="00BC7187"/>
    <w:rsid w:val="00BC760B"/>
    <w:rsid w:val="00BC7BF2"/>
    <w:rsid w:val="00BD00B8"/>
    <w:rsid w:val="00BD069A"/>
    <w:rsid w:val="00BD0834"/>
    <w:rsid w:val="00BD09EB"/>
    <w:rsid w:val="00BD0A09"/>
    <w:rsid w:val="00BD10B4"/>
    <w:rsid w:val="00BD2266"/>
    <w:rsid w:val="00BD2FD9"/>
    <w:rsid w:val="00BD30D0"/>
    <w:rsid w:val="00BD32E4"/>
    <w:rsid w:val="00BD3426"/>
    <w:rsid w:val="00BD3CD0"/>
    <w:rsid w:val="00BD3D1A"/>
    <w:rsid w:val="00BD3E49"/>
    <w:rsid w:val="00BD4071"/>
    <w:rsid w:val="00BD427D"/>
    <w:rsid w:val="00BD4942"/>
    <w:rsid w:val="00BD4DEE"/>
    <w:rsid w:val="00BD5D2D"/>
    <w:rsid w:val="00BD5D37"/>
    <w:rsid w:val="00BD6110"/>
    <w:rsid w:val="00BD619A"/>
    <w:rsid w:val="00BD6298"/>
    <w:rsid w:val="00BD68DE"/>
    <w:rsid w:val="00BD6D31"/>
    <w:rsid w:val="00BD7CC0"/>
    <w:rsid w:val="00BD7D28"/>
    <w:rsid w:val="00BD7D9C"/>
    <w:rsid w:val="00BE086E"/>
    <w:rsid w:val="00BE166B"/>
    <w:rsid w:val="00BE192E"/>
    <w:rsid w:val="00BE1A34"/>
    <w:rsid w:val="00BE1BD6"/>
    <w:rsid w:val="00BE2C46"/>
    <w:rsid w:val="00BE2CA2"/>
    <w:rsid w:val="00BE2EF2"/>
    <w:rsid w:val="00BE3142"/>
    <w:rsid w:val="00BE3166"/>
    <w:rsid w:val="00BE3443"/>
    <w:rsid w:val="00BE3659"/>
    <w:rsid w:val="00BE3C2F"/>
    <w:rsid w:val="00BE3CD9"/>
    <w:rsid w:val="00BE572D"/>
    <w:rsid w:val="00BE586C"/>
    <w:rsid w:val="00BE6369"/>
    <w:rsid w:val="00BE6815"/>
    <w:rsid w:val="00BE682B"/>
    <w:rsid w:val="00BE6AAC"/>
    <w:rsid w:val="00BE6D25"/>
    <w:rsid w:val="00BE6D49"/>
    <w:rsid w:val="00BE6DD3"/>
    <w:rsid w:val="00BE7163"/>
    <w:rsid w:val="00BE7303"/>
    <w:rsid w:val="00BE777D"/>
    <w:rsid w:val="00BE77F5"/>
    <w:rsid w:val="00BE7846"/>
    <w:rsid w:val="00BE7900"/>
    <w:rsid w:val="00BE7B8C"/>
    <w:rsid w:val="00BF1A61"/>
    <w:rsid w:val="00BF1D1C"/>
    <w:rsid w:val="00BF1EEF"/>
    <w:rsid w:val="00BF23E0"/>
    <w:rsid w:val="00BF29FE"/>
    <w:rsid w:val="00BF322A"/>
    <w:rsid w:val="00BF337C"/>
    <w:rsid w:val="00BF34A9"/>
    <w:rsid w:val="00BF360E"/>
    <w:rsid w:val="00BF3738"/>
    <w:rsid w:val="00BF3A47"/>
    <w:rsid w:val="00BF3EC2"/>
    <w:rsid w:val="00BF3FE5"/>
    <w:rsid w:val="00BF40D8"/>
    <w:rsid w:val="00BF4517"/>
    <w:rsid w:val="00BF4D0E"/>
    <w:rsid w:val="00BF507E"/>
    <w:rsid w:val="00BF5615"/>
    <w:rsid w:val="00BF5655"/>
    <w:rsid w:val="00BF5BB0"/>
    <w:rsid w:val="00BF5D66"/>
    <w:rsid w:val="00BF6B8C"/>
    <w:rsid w:val="00BF6E57"/>
    <w:rsid w:val="00BF6E7E"/>
    <w:rsid w:val="00BF7324"/>
    <w:rsid w:val="00BF7DAB"/>
    <w:rsid w:val="00BF7E1C"/>
    <w:rsid w:val="00C0062B"/>
    <w:rsid w:val="00C0084E"/>
    <w:rsid w:val="00C00D4A"/>
    <w:rsid w:val="00C00E06"/>
    <w:rsid w:val="00C00E7A"/>
    <w:rsid w:val="00C01BAF"/>
    <w:rsid w:val="00C02390"/>
    <w:rsid w:val="00C02A70"/>
    <w:rsid w:val="00C03599"/>
    <w:rsid w:val="00C035A1"/>
    <w:rsid w:val="00C03F95"/>
    <w:rsid w:val="00C04969"/>
    <w:rsid w:val="00C0498A"/>
    <w:rsid w:val="00C04E0D"/>
    <w:rsid w:val="00C04FC3"/>
    <w:rsid w:val="00C05167"/>
    <w:rsid w:val="00C052A7"/>
    <w:rsid w:val="00C053AD"/>
    <w:rsid w:val="00C0581F"/>
    <w:rsid w:val="00C05823"/>
    <w:rsid w:val="00C05A7E"/>
    <w:rsid w:val="00C0640C"/>
    <w:rsid w:val="00C06D51"/>
    <w:rsid w:val="00C06F65"/>
    <w:rsid w:val="00C07392"/>
    <w:rsid w:val="00C07FE8"/>
    <w:rsid w:val="00C10772"/>
    <w:rsid w:val="00C10996"/>
    <w:rsid w:val="00C1122D"/>
    <w:rsid w:val="00C1180B"/>
    <w:rsid w:val="00C11BF4"/>
    <w:rsid w:val="00C11C59"/>
    <w:rsid w:val="00C11DB6"/>
    <w:rsid w:val="00C11EC3"/>
    <w:rsid w:val="00C123AD"/>
    <w:rsid w:val="00C12506"/>
    <w:rsid w:val="00C12521"/>
    <w:rsid w:val="00C12D01"/>
    <w:rsid w:val="00C12F2D"/>
    <w:rsid w:val="00C13793"/>
    <w:rsid w:val="00C13923"/>
    <w:rsid w:val="00C139E7"/>
    <w:rsid w:val="00C13CB5"/>
    <w:rsid w:val="00C14092"/>
    <w:rsid w:val="00C14364"/>
    <w:rsid w:val="00C1460F"/>
    <w:rsid w:val="00C15D3F"/>
    <w:rsid w:val="00C15E47"/>
    <w:rsid w:val="00C16673"/>
    <w:rsid w:val="00C16A07"/>
    <w:rsid w:val="00C16A95"/>
    <w:rsid w:val="00C16F42"/>
    <w:rsid w:val="00C170BB"/>
    <w:rsid w:val="00C17572"/>
    <w:rsid w:val="00C17866"/>
    <w:rsid w:val="00C17C7C"/>
    <w:rsid w:val="00C17E35"/>
    <w:rsid w:val="00C2088B"/>
    <w:rsid w:val="00C210AB"/>
    <w:rsid w:val="00C21FD6"/>
    <w:rsid w:val="00C21FE5"/>
    <w:rsid w:val="00C2320A"/>
    <w:rsid w:val="00C233C8"/>
    <w:rsid w:val="00C23937"/>
    <w:rsid w:val="00C23D49"/>
    <w:rsid w:val="00C24065"/>
    <w:rsid w:val="00C24653"/>
    <w:rsid w:val="00C24786"/>
    <w:rsid w:val="00C24C47"/>
    <w:rsid w:val="00C24E44"/>
    <w:rsid w:val="00C24EC6"/>
    <w:rsid w:val="00C25301"/>
    <w:rsid w:val="00C254C4"/>
    <w:rsid w:val="00C26C42"/>
    <w:rsid w:val="00C26FF4"/>
    <w:rsid w:val="00C277A8"/>
    <w:rsid w:val="00C27B91"/>
    <w:rsid w:val="00C27EAD"/>
    <w:rsid w:val="00C30048"/>
    <w:rsid w:val="00C306CB"/>
    <w:rsid w:val="00C30B13"/>
    <w:rsid w:val="00C30F9E"/>
    <w:rsid w:val="00C3289B"/>
    <w:rsid w:val="00C32B87"/>
    <w:rsid w:val="00C330A3"/>
    <w:rsid w:val="00C333D8"/>
    <w:rsid w:val="00C3351A"/>
    <w:rsid w:val="00C33636"/>
    <w:rsid w:val="00C342B3"/>
    <w:rsid w:val="00C34AE7"/>
    <w:rsid w:val="00C34E11"/>
    <w:rsid w:val="00C34F17"/>
    <w:rsid w:val="00C36073"/>
    <w:rsid w:val="00C3738A"/>
    <w:rsid w:val="00C4062D"/>
    <w:rsid w:val="00C408ED"/>
    <w:rsid w:val="00C40D64"/>
    <w:rsid w:val="00C40D96"/>
    <w:rsid w:val="00C410F3"/>
    <w:rsid w:val="00C41563"/>
    <w:rsid w:val="00C41EF6"/>
    <w:rsid w:val="00C4247C"/>
    <w:rsid w:val="00C424CF"/>
    <w:rsid w:val="00C427BC"/>
    <w:rsid w:val="00C42D4D"/>
    <w:rsid w:val="00C436C9"/>
    <w:rsid w:val="00C44121"/>
    <w:rsid w:val="00C446EB"/>
    <w:rsid w:val="00C457FA"/>
    <w:rsid w:val="00C45BCA"/>
    <w:rsid w:val="00C45CD5"/>
    <w:rsid w:val="00C45DC7"/>
    <w:rsid w:val="00C461F7"/>
    <w:rsid w:val="00C463E6"/>
    <w:rsid w:val="00C467C3"/>
    <w:rsid w:val="00C46B27"/>
    <w:rsid w:val="00C46CB7"/>
    <w:rsid w:val="00C470E5"/>
    <w:rsid w:val="00C473ED"/>
    <w:rsid w:val="00C476C7"/>
    <w:rsid w:val="00C476DE"/>
    <w:rsid w:val="00C479E8"/>
    <w:rsid w:val="00C47A18"/>
    <w:rsid w:val="00C47D55"/>
    <w:rsid w:val="00C50130"/>
    <w:rsid w:val="00C508FA"/>
    <w:rsid w:val="00C509A0"/>
    <w:rsid w:val="00C50A12"/>
    <w:rsid w:val="00C50AC6"/>
    <w:rsid w:val="00C5101E"/>
    <w:rsid w:val="00C51358"/>
    <w:rsid w:val="00C5165C"/>
    <w:rsid w:val="00C5217B"/>
    <w:rsid w:val="00C529B4"/>
    <w:rsid w:val="00C52CB9"/>
    <w:rsid w:val="00C52CF3"/>
    <w:rsid w:val="00C52DAA"/>
    <w:rsid w:val="00C53172"/>
    <w:rsid w:val="00C534BB"/>
    <w:rsid w:val="00C5386D"/>
    <w:rsid w:val="00C541E1"/>
    <w:rsid w:val="00C54A68"/>
    <w:rsid w:val="00C54E0E"/>
    <w:rsid w:val="00C55127"/>
    <w:rsid w:val="00C554F6"/>
    <w:rsid w:val="00C561C7"/>
    <w:rsid w:val="00C56354"/>
    <w:rsid w:val="00C56486"/>
    <w:rsid w:val="00C56A67"/>
    <w:rsid w:val="00C56A72"/>
    <w:rsid w:val="00C56BF4"/>
    <w:rsid w:val="00C56D10"/>
    <w:rsid w:val="00C57316"/>
    <w:rsid w:val="00C57EB7"/>
    <w:rsid w:val="00C6050C"/>
    <w:rsid w:val="00C60681"/>
    <w:rsid w:val="00C6091F"/>
    <w:rsid w:val="00C610B3"/>
    <w:rsid w:val="00C6139B"/>
    <w:rsid w:val="00C61468"/>
    <w:rsid w:val="00C61714"/>
    <w:rsid w:val="00C61725"/>
    <w:rsid w:val="00C61961"/>
    <w:rsid w:val="00C61D9C"/>
    <w:rsid w:val="00C62DB3"/>
    <w:rsid w:val="00C6337C"/>
    <w:rsid w:val="00C63CF5"/>
    <w:rsid w:val="00C64425"/>
    <w:rsid w:val="00C651A2"/>
    <w:rsid w:val="00C6562F"/>
    <w:rsid w:val="00C658A5"/>
    <w:rsid w:val="00C667F9"/>
    <w:rsid w:val="00C668E2"/>
    <w:rsid w:val="00C67A5B"/>
    <w:rsid w:val="00C70260"/>
    <w:rsid w:val="00C704C7"/>
    <w:rsid w:val="00C70599"/>
    <w:rsid w:val="00C7069E"/>
    <w:rsid w:val="00C709D4"/>
    <w:rsid w:val="00C70BA9"/>
    <w:rsid w:val="00C70ED3"/>
    <w:rsid w:val="00C71326"/>
    <w:rsid w:val="00C716FF"/>
    <w:rsid w:val="00C71DBD"/>
    <w:rsid w:val="00C71DCD"/>
    <w:rsid w:val="00C71E6F"/>
    <w:rsid w:val="00C71F20"/>
    <w:rsid w:val="00C7236F"/>
    <w:rsid w:val="00C73091"/>
    <w:rsid w:val="00C730AF"/>
    <w:rsid w:val="00C7346F"/>
    <w:rsid w:val="00C735E4"/>
    <w:rsid w:val="00C7369A"/>
    <w:rsid w:val="00C73758"/>
    <w:rsid w:val="00C73D45"/>
    <w:rsid w:val="00C7403F"/>
    <w:rsid w:val="00C74346"/>
    <w:rsid w:val="00C748F5"/>
    <w:rsid w:val="00C74F7A"/>
    <w:rsid w:val="00C75415"/>
    <w:rsid w:val="00C75691"/>
    <w:rsid w:val="00C7591E"/>
    <w:rsid w:val="00C75B63"/>
    <w:rsid w:val="00C75EFA"/>
    <w:rsid w:val="00C75F8E"/>
    <w:rsid w:val="00C76C10"/>
    <w:rsid w:val="00C76C13"/>
    <w:rsid w:val="00C76E84"/>
    <w:rsid w:val="00C76EE3"/>
    <w:rsid w:val="00C776B7"/>
    <w:rsid w:val="00C77DA7"/>
    <w:rsid w:val="00C77E13"/>
    <w:rsid w:val="00C80312"/>
    <w:rsid w:val="00C80610"/>
    <w:rsid w:val="00C806AF"/>
    <w:rsid w:val="00C8097E"/>
    <w:rsid w:val="00C80C71"/>
    <w:rsid w:val="00C8102D"/>
    <w:rsid w:val="00C811FF"/>
    <w:rsid w:val="00C8156B"/>
    <w:rsid w:val="00C8176E"/>
    <w:rsid w:val="00C81EF5"/>
    <w:rsid w:val="00C81F46"/>
    <w:rsid w:val="00C8254F"/>
    <w:rsid w:val="00C8287F"/>
    <w:rsid w:val="00C82A0F"/>
    <w:rsid w:val="00C82AC6"/>
    <w:rsid w:val="00C82CBA"/>
    <w:rsid w:val="00C83747"/>
    <w:rsid w:val="00C8384E"/>
    <w:rsid w:val="00C840F5"/>
    <w:rsid w:val="00C849B9"/>
    <w:rsid w:val="00C84BCC"/>
    <w:rsid w:val="00C85127"/>
    <w:rsid w:val="00C85197"/>
    <w:rsid w:val="00C85220"/>
    <w:rsid w:val="00C85543"/>
    <w:rsid w:val="00C859E0"/>
    <w:rsid w:val="00C85C1E"/>
    <w:rsid w:val="00C85EF0"/>
    <w:rsid w:val="00C865D7"/>
    <w:rsid w:val="00C867E8"/>
    <w:rsid w:val="00C87142"/>
    <w:rsid w:val="00C87771"/>
    <w:rsid w:val="00C877C3"/>
    <w:rsid w:val="00C8795E"/>
    <w:rsid w:val="00C902DA"/>
    <w:rsid w:val="00C90586"/>
    <w:rsid w:val="00C91AFE"/>
    <w:rsid w:val="00C92215"/>
    <w:rsid w:val="00C92732"/>
    <w:rsid w:val="00C935F4"/>
    <w:rsid w:val="00C94450"/>
    <w:rsid w:val="00C94A88"/>
    <w:rsid w:val="00C94BAF"/>
    <w:rsid w:val="00C956B1"/>
    <w:rsid w:val="00C969F4"/>
    <w:rsid w:val="00C96B87"/>
    <w:rsid w:val="00C96E39"/>
    <w:rsid w:val="00C96F58"/>
    <w:rsid w:val="00C97040"/>
    <w:rsid w:val="00C9723F"/>
    <w:rsid w:val="00C977B2"/>
    <w:rsid w:val="00CA009B"/>
    <w:rsid w:val="00CA0529"/>
    <w:rsid w:val="00CA1478"/>
    <w:rsid w:val="00CA2400"/>
    <w:rsid w:val="00CA2997"/>
    <w:rsid w:val="00CA2C89"/>
    <w:rsid w:val="00CA2F85"/>
    <w:rsid w:val="00CA3052"/>
    <w:rsid w:val="00CA3070"/>
    <w:rsid w:val="00CA315A"/>
    <w:rsid w:val="00CA3177"/>
    <w:rsid w:val="00CA3658"/>
    <w:rsid w:val="00CA3ED8"/>
    <w:rsid w:val="00CA4076"/>
    <w:rsid w:val="00CA43DA"/>
    <w:rsid w:val="00CA4AEC"/>
    <w:rsid w:val="00CA4F27"/>
    <w:rsid w:val="00CA4F3A"/>
    <w:rsid w:val="00CA54B9"/>
    <w:rsid w:val="00CA5816"/>
    <w:rsid w:val="00CA58C2"/>
    <w:rsid w:val="00CA6030"/>
    <w:rsid w:val="00CA65AE"/>
    <w:rsid w:val="00CA6E5B"/>
    <w:rsid w:val="00CB0870"/>
    <w:rsid w:val="00CB0BAE"/>
    <w:rsid w:val="00CB1337"/>
    <w:rsid w:val="00CB1905"/>
    <w:rsid w:val="00CB1995"/>
    <w:rsid w:val="00CB19AE"/>
    <w:rsid w:val="00CB1C30"/>
    <w:rsid w:val="00CB1C83"/>
    <w:rsid w:val="00CB1F3C"/>
    <w:rsid w:val="00CB2164"/>
    <w:rsid w:val="00CB2B83"/>
    <w:rsid w:val="00CB2C0E"/>
    <w:rsid w:val="00CB3045"/>
    <w:rsid w:val="00CB3087"/>
    <w:rsid w:val="00CB339B"/>
    <w:rsid w:val="00CB3A59"/>
    <w:rsid w:val="00CB3CCE"/>
    <w:rsid w:val="00CB4569"/>
    <w:rsid w:val="00CB48D4"/>
    <w:rsid w:val="00CB4A04"/>
    <w:rsid w:val="00CB4AEF"/>
    <w:rsid w:val="00CB4F13"/>
    <w:rsid w:val="00CB4FC3"/>
    <w:rsid w:val="00CB5255"/>
    <w:rsid w:val="00CB57B2"/>
    <w:rsid w:val="00CB5989"/>
    <w:rsid w:val="00CB5BDF"/>
    <w:rsid w:val="00CB5EF1"/>
    <w:rsid w:val="00CB62E0"/>
    <w:rsid w:val="00CB650E"/>
    <w:rsid w:val="00CB66A6"/>
    <w:rsid w:val="00CB7660"/>
    <w:rsid w:val="00CB7936"/>
    <w:rsid w:val="00CB7BE7"/>
    <w:rsid w:val="00CC01B3"/>
    <w:rsid w:val="00CC0DDC"/>
    <w:rsid w:val="00CC122F"/>
    <w:rsid w:val="00CC129D"/>
    <w:rsid w:val="00CC1315"/>
    <w:rsid w:val="00CC170C"/>
    <w:rsid w:val="00CC1893"/>
    <w:rsid w:val="00CC19B9"/>
    <w:rsid w:val="00CC256A"/>
    <w:rsid w:val="00CC268B"/>
    <w:rsid w:val="00CC2A6D"/>
    <w:rsid w:val="00CC3255"/>
    <w:rsid w:val="00CC34DC"/>
    <w:rsid w:val="00CC36CE"/>
    <w:rsid w:val="00CC3C7D"/>
    <w:rsid w:val="00CC3FCD"/>
    <w:rsid w:val="00CC3FED"/>
    <w:rsid w:val="00CC4005"/>
    <w:rsid w:val="00CC4134"/>
    <w:rsid w:val="00CC4163"/>
    <w:rsid w:val="00CC424E"/>
    <w:rsid w:val="00CC45C6"/>
    <w:rsid w:val="00CC4614"/>
    <w:rsid w:val="00CC4819"/>
    <w:rsid w:val="00CC4E57"/>
    <w:rsid w:val="00CC4F9D"/>
    <w:rsid w:val="00CC539E"/>
    <w:rsid w:val="00CC53A0"/>
    <w:rsid w:val="00CC54BE"/>
    <w:rsid w:val="00CC5680"/>
    <w:rsid w:val="00CC5796"/>
    <w:rsid w:val="00CC5E04"/>
    <w:rsid w:val="00CC607A"/>
    <w:rsid w:val="00CC6093"/>
    <w:rsid w:val="00CC653D"/>
    <w:rsid w:val="00CC6745"/>
    <w:rsid w:val="00CC68D7"/>
    <w:rsid w:val="00CC6B42"/>
    <w:rsid w:val="00CC7891"/>
    <w:rsid w:val="00CC7911"/>
    <w:rsid w:val="00CC7932"/>
    <w:rsid w:val="00CC7BB2"/>
    <w:rsid w:val="00CC7E0E"/>
    <w:rsid w:val="00CC7EC0"/>
    <w:rsid w:val="00CD0C96"/>
    <w:rsid w:val="00CD10B2"/>
    <w:rsid w:val="00CD130E"/>
    <w:rsid w:val="00CD16DD"/>
    <w:rsid w:val="00CD18FE"/>
    <w:rsid w:val="00CD1D4C"/>
    <w:rsid w:val="00CD1E6A"/>
    <w:rsid w:val="00CD24D4"/>
    <w:rsid w:val="00CD2D5E"/>
    <w:rsid w:val="00CD2DF7"/>
    <w:rsid w:val="00CD3314"/>
    <w:rsid w:val="00CD39F7"/>
    <w:rsid w:val="00CD3F71"/>
    <w:rsid w:val="00CD4084"/>
    <w:rsid w:val="00CD4307"/>
    <w:rsid w:val="00CD4E32"/>
    <w:rsid w:val="00CD4E68"/>
    <w:rsid w:val="00CD574B"/>
    <w:rsid w:val="00CD5981"/>
    <w:rsid w:val="00CD5F80"/>
    <w:rsid w:val="00CD61B1"/>
    <w:rsid w:val="00CD6234"/>
    <w:rsid w:val="00CD62FB"/>
    <w:rsid w:val="00CD6752"/>
    <w:rsid w:val="00CD7158"/>
    <w:rsid w:val="00CD798D"/>
    <w:rsid w:val="00CD7C90"/>
    <w:rsid w:val="00CD7DA2"/>
    <w:rsid w:val="00CE0330"/>
    <w:rsid w:val="00CE0853"/>
    <w:rsid w:val="00CE0A9D"/>
    <w:rsid w:val="00CE0AC3"/>
    <w:rsid w:val="00CE0DF7"/>
    <w:rsid w:val="00CE0F51"/>
    <w:rsid w:val="00CE0F68"/>
    <w:rsid w:val="00CE1180"/>
    <w:rsid w:val="00CE127A"/>
    <w:rsid w:val="00CE1973"/>
    <w:rsid w:val="00CE22AA"/>
    <w:rsid w:val="00CE255D"/>
    <w:rsid w:val="00CE2604"/>
    <w:rsid w:val="00CE2FC5"/>
    <w:rsid w:val="00CE302E"/>
    <w:rsid w:val="00CE30C0"/>
    <w:rsid w:val="00CE361F"/>
    <w:rsid w:val="00CE380C"/>
    <w:rsid w:val="00CE3854"/>
    <w:rsid w:val="00CE39A6"/>
    <w:rsid w:val="00CE3F25"/>
    <w:rsid w:val="00CE43D2"/>
    <w:rsid w:val="00CE492D"/>
    <w:rsid w:val="00CE4C38"/>
    <w:rsid w:val="00CE4EEA"/>
    <w:rsid w:val="00CE535B"/>
    <w:rsid w:val="00CE58B1"/>
    <w:rsid w:val="00CE6947"/>
    <w:rsid w:val="00CE6DD0"/>
    <w:rsid w:val="00CE70D6"/>
    <w:rsid w:val="00CE7C2A"/>
    <w:rsid w:val="00CE7E94"/>
    <w:rsid w:val="00CE7F14"/>
    <w:rsid w:val="00CF0110"/>
    <w:rsid w:val="00CF0A28"/>
    <w:rsid w:val="00CF0F84"/>
    <w:rsid w:val="00CF17F6"/>
    <w:rsid w:val="00CF20AE"/>
    <w:rsid w:val="00CF21CE"/>
    <w:rsid w:val="00CF21FF"/>
    <w:rsid w:val="00CF2511"/>
    <w:rsid w:val="00CF2AE3"/>
    <w:rsid w:val="00CF32D2"/>
    <w:rsid w:val="00CF3766"/>
    <w:rsid w:val="00CF3942"/>
    <w:rsid w:val="00CF4010"/>
    <w:rsid w:val="00CF4409"/>
    <w:rsid w:val="00CF453D"/>
    <w:rsid w:val="00CF4655"/>
    <w:rsid w:val="00CF4719"/>
    <w:rsid w:val="00CF482A"/>
    <w:rsid w:val="00CF52A6"/>
    <w:rsid w:val="00CF5397"/>
    <w:rsid w:val="00CF5C63"/>
    <w:rsid w:val="00CF5E63"/>
    <w:rsid w:val="00CF5E91"/>
    <w:rsid w:val="00CF61D5"/>
    <w:rsid w:val="00CF6368"/>
    <w:rsid w:val="00CF63E3"/>
    <w:rsid w:val="00CF66E8"/>
    <w:rsid w:val="00CF68DC"/>
    <w:rsid w:val="00CF6E09"/>
    <w:rsid w:val="00CF6F87"/>
    <w:rsid w:val="00CF739D"/>
    <w:rsid w:val="00CF7B55"/>
    <w:rsid w:val="00D0042F"/>
    <w:rsid w:val="00D006F9"/>
    <w:rsid w:val="00D01643"/>
    <w:rsid w:val="00D01AF9"/>
    <w:rsid w:val="00D01FDB"/>
    <w:rsid w:val="00D02288"/>
    <w:rsid w:val="00D02575"/>
    <w:rsid w:val="00D02679"/>
    <w:rsid w:val="00D02CF5"/>
    <w:rsid w:val="00D030DD"/>
    <w:rsid w:val="00D0337B"/>
    <w:rsid w:val="00D03396"/>
    <w:rsid w:val="00D03851"/>
    <w:rsid w:val="00D03C32"/>
    <w:rsid w:val="00D03D04"/>
    <w:rsid w:val="00D04773"/>
    <w:rsid w:val="00D04B63"/>
    <w:rsid w:val="00D05818"/>
    <w:rsid w:val="00D05A06"/>
    <w:rsid w:val="00D0644D"/>
    <w:rsid w:val="00D0664E"/>
    <w:rsid w:val="00D06860"/>
    <w:rsid w:val="00D06AAC"/>
    <w:rsid w:val="00D074FA"/>
    <w:rsid w:val="00D10388"/>
    <w:rsid w:val="00D1063E"/>
    <w:rsid w:val="00D1064B"/>
    <w:rsid w:val="00D10904"/>
    <w:rsid w:val="00D10B97"/>
    <w:rsid w:val="00D10CBC"/>
    <w:rsid w:val="00D10CE5"/>
    <w:rsid w:val="00D111F8"/>
    <w:rsid w:val="00D11695"/>
    <w:rsid w:val="00D1192C"/>
    <w:rsid w:val="00D122F9"/>
    <w:rsid w:val="00D12496"/>
    <w:rsid w:val="00D12D06"/>
    <w:rsid w:val="00D13E47"/>
    <w:rsid w:val="00D14865"/>
    <w:rsid w:val="00D14A24"/>
    <w:rsid w:val="00D1521B"/>
    <w:rsid w:val="00D1542E"/>
    <w:rsid w:val="00D1550A"/>
    <w:rsid w:val="00D15773"/>
    <w:rsid w:val="00D15BC7"/>
    <w:rsid w:val="00D16192"/>
    <w:rsid w:val="00D162A4"/>
    <w:rsid w:val="00D164B1"/>
    <w:rsid w:val="00D167B5"/>
    <w:rsid w:val="00D16DB0"/>
    <w:rsid w:val="00D16DE9"/>
    <w:rsid w:val="00D170E7"/>
    <w:rsid w:val="00D17306"/>
    <w:rsid w:val="00D17506"/>
    <w:rsid w:val="00D17DBE"/>
    <w:rsid w:val="00D17DDE"/>
    <w:rsid w:val="00D2014E"/>
    <w:rsid w:val="00D20E3C"/>
    <w:rsid w:val="00D215C1"/>
    <w:rsid w:val="00D216E0"/>
    <w:rsid w:val="00D21BF1"/>
    <w:rsid w:val="00D222EF"/>
    <w:rsid w:val="00D22796"/>
    <w:rsid w:val="00D229AA"/>
    <w:rsid w:val="00D229D1"/>
    <w:rsid w:val="00D23035"/>
    <w:rsid w:val="00D23059"/>
    <w:rsid w:val="00D23089"/>
    <w:rsid w:val="00D233EB"/>
    <w:rsid w:val="00D23729"/>
    <w:rsid w:val="00D245CD"/>
    <w:rsid w:val="00D2465A"/>
    <w:rsid w:val="00D24A13"/>
    <w:rsid w:val="00D24C9F"/>
    <w:rsid w:val="00D25653"/>
    <w:rsid w:val="00D25B32"/>
    <w:rsid w:val="00D26AA4"/>
    <w:rsid w:val="00D26ACE"/>
    <w:rsid w:val="00D26BE5"/>
    <w:rsid w:val="00D2731B"/>
    <w:rsid w:val="00D2738E"/>
    <w:rsid w:val="00D30553"/>
    <w:rsid w:val="00D308AD"/>
    <w:rsid w:val="00D30B42"/>
    <w:rsid w:val="00D30E03"/>
    <w:rsid w:val="00D30F33"/>
    <w:rsid w:val="00D30FE1"/>
    <w:rsid w:val="00D3112E"/>
    <w:rsid w:val="00D311DF"/>
    <w:rsid w:val="00D31804"/>
    <w:rsid w:val="00D31D82"/>
    <w:rsid w:val="00D32020"/>
    <w:rsid w:val="00D3224A"/>
    <w:rsid w:val="00D3240C"/>
    <w:rsid w:val="00D3249B"/>
    <w:rsid w:val="00D32D28"/>
    <w:rsid w:val="00D32F61"/>
    <w:rsid w:val="00D33A09"/>
    <w:rsid w:val="00D33C7F"/>
    <w:rsid w:val="00D33DBB"/>
    <w:rsid w:val="00D33DD1"/>
    <w:rsid w:val="00D34325"/>
    <w:rsid w:val="00D34C0F"/>
    <w:rsid w:val="00D34C5D"/>
    <w:rsid w:val="00D35F26"/>
    <w:rsid w:val="00D3606B"/>
    <w:rsid w:val="00D36179"/>
    <w:rsid w:val="00D369D8"/>
    <w:rsid w:val="00D36A59"/>
    <w:rsid w:val="00D3716C"/>
    <w:rsid w:val="00D40246"/>
    <w:rsid w:val="00D402A9"/>
    <w:rsid w:val="00D402C6"/>
    <w:rsid w:val="00D40363"/>
    <w:rsid w:val="00D40A45"/>
    <w:rsid w:val="00D40B0C"/>
    <w:rsid w:val="00D40CA4"/>
    <w:rsid w:val="00D40CB8"/>
    <w:rsid w:val="00D40CE0"/>
    <w:rsid w:val="00D40F33"/>
    <w:rsid w:val="00D4164A"/>
    <w:rsid w:val="00D41C52"/>
    <w:rsid w:val="00D41CA4"/>
    <w:rsid w:val="00D42004"/>
    <w:rsid w:val="00D42274"/>
    <w:rsid w:val="00D4236A"/>
    <w:rsid w:val="00D42D01"/>
    <w:rsid w:val="00D42D13"/>
    <w:rsid w:val="00D42D85"/>
    <w:rsid w:val="00D43022"/>
    <w:rsid w:val="00D43AF5"/>
    <w:rsid w:val="00D43B84"/>
    <w:rsid w:val="00D43DD8"/>
    <w:rsid w:val="00D4415B"/>
    <w:rsid w:val="00D44404"/>
    <w:rsid w:val="00D446C6"/>
    <w:rsid w:val="00D44763"/>
    <w:rsid w:val="00D44AFC"/>
    <w:rsid w:val="00D45051"/>
    <w:rsid w:val="00D4508B"/>
    <w:rsid w:val="00D45540"/>
    <w:rsid w:val="00D457E5"/>
    <w:rsid w:val="00D45B2B"/>
    <w:rsid w:val="00D45F5B"/>
    <w:rsid w:val="00D4641B"/>
    <w:rsid w:val="00D47305"/>
    <w:rsid w:val="00D479AF"/>
    <w:rsid w:val="00D47B6F"/>
    <w:rsid w:val="00D47C47"/>
    <w:rsid w:val="00D47D87"/>
    <w:rsid w:val="00D5023E"/>
    <w:rsid w:val="00D502CC"/>
    <w:rsid w:val="00D509E4"/>
    <w:rsid w:val="00D50A32"/>
    <w:rsid w:val="00D51A6D"/>
    <w:rsid w:val="00D51A7B"/>
    <w:rsid w:val="00D51BBA"/>
    <w:rsid w:val="00D5203D"/>
    <w:rsid w:val="00D52A1C"/>
    <w:rsid w:val="00D52B18"/>
    <w:rsid w:val="00D5310E"/>
    <w:rsid w:val="00D532D2"/>
    <w:rsid w:val="00D538FB"/>
    <w:rsid w:val="00D53981"/>
    <w:rsid w:val="00D539CD"/>
    <w:rsid w:val="00D53A31"/>
    <w:rsid w:val="00D540FC"/>
    <w:rsid w:val="00D54537"/>
    <w:rsid w:val="00D54845"/>
    <w:rsid w:val="00D54EC9"/>
    <w:rsid w:val="00D55AAD"/>
    <w:rsid w:val="00D55F0D"/>
    <w:rsid w:val="00D55F1B"/>
    <w:rsid w:val="00D562E4"/>
    <w:rsid w:val="00D564D3"/>
    <w:rsid w:val="00D5692F"/>
    <w:rsid w:val="00D56A50"/>
    <w:rsid w:val="00D56EC7"/>
    <w:rsid w:val="00D57106"/>
    <w:rsid w:val="00D571A1"/>
    <w:rsid w:val="00D572A5"/>
    <w:rsid w:val="00D5733E"/>
    <w:rsid w:val="00D579E3"/>
    <w:rsid w:val="00D6006C"/>
    <w:rsid w:val="00D60328"/>
    <w:rsid w:val="00D603D5"/>
    <w:rsid w:val="00D60451"/>
    <w:rsid w:val="00D60BA7"/>
    <w:rsid w:val="00D60C74"/>
    <w:rsid w:val="00D60C92"/>
    <w:rsid w:val="00D610F7"/>
    <w:rsid w:val="00D616ED"/>
    <w:rsid w:val="00D61BC9"/>
    <w:rsid w:val="00D61F02"/>
    <w:rsid w:val="00D626B0"/>
    <w:rsid w:val="00D62D6B"/>
    <w:rsid w:val="00D62DFC"/>
    <w:rsid w:val="00D62F1C"/>
    <w:rsid w:val="00D6338B"/>
    <w:rsid w:val="00D63CF5"/>
    <w:rsid w:val="00D63D1F"/>
    <w:rsid w:val="00D6456D"/>
    <w:rsid w:val="00D64D29"/>
    <w:rsid w:val="00D64F8F"/>
    <w:rsid w:val="00D6559B"/>
    <w:rsid w:val="00D659E9"/>
    <w:rsid w:val="00D65CE2"/>
    <w:rsid w:val="00D66063"/>
    <w:rsid w:val="00D66446"/>
    <w:rsid w:val="00D66455"/>
    <w:rsid w:val="00D66987"/>
    <w:rsid w:val="00D66D7F"/>
    <w:rsid w:val="00D66D82"/>
    <w:rsid w:val="00D66F1D"/>
    <w:rsid w:val="00D66FF7"/>
    <w:rsid w:val="00D679C8"/>
    <w:rsid w:val="00D703E0"/>
    <w:rsid w:val="00D709F2"/>
    <w:rsid w:val="00D70AFF"/>
    <w:rsid w:val="00D7125B"/>
    <w:rsid w:val="00D71825"/>
    <w:rsid w:val="00D71D1A"/>
    <w:rsid w:val="00D71D90"/>
    <w:rsid w:val="00D71ECB"/>
    <w:rsid w:val="00D71FB4"/>
    <w:rsid w:val="00D720B2"/>
    <w:rsid w:val="00D72390"/>
    <w:rsid w:val="00D725AE"/>
    <w:rsid w:val="00D72993"/>
    <w:rsid w:val="00D72A47"/>
    <w:rsid w:val="00D7311E"/>
    <w:rsid w:val="00D731A2"/>
    <w:rsid w:val="00D73213"/>
    <w:rsid w:val="00D732CF"/>
    <w:rsid w:val="00D732FC"/>
    <w:rsid w:val="00D73C3F"/>
    <w:rsid w:val="00D73C97"/>
    <w:rsid w:val="00D740AE"/>
    <w:rsid w:val="00D747DA"/>
    <w:rsid w:val="00D748D0"/>
    <w:rsid w:val="00D74AE6"/>
    <w:rsid w:val="00D74B0C"/>
    <w:rsid w:val="00D74B38"/>
    <w:rsid w:val="00D74EA3"/>
    <w:rsid w:val="00D75429"/>
    <w:rsid w:val="00D75FBD"/>
    <w:rsid w:val="00D75FFB"/>
    <w:rsid w:val="00D76495"/>
    <w:rsid w:val="00D7736E"/>
    <w:rsid w:val="00D77475"/>
    <w:rsid w:val="00D775FF"/>
    <w:rsid w:val="00D7782C"/>
    <w:rsid w:val="00D77A08"/>
    <w:rsid w:val="00D77BBB"/>
    <w:rsid w:val="00D77FD9"/>
    <w:rsid w:val="00D803FD"/>
    <w:rsid w:val="00D808EB"/>
    <w:rsid w:val="00D81209"/>
    <w:rsid w:val="00D81871"/>
    <w:rsid w:val="00D8197A"/>
    <w:rsid w:val="00D819D2"/>
    <w:rsid w:val="00D8289A"/>
    <w:rsid w:val="00D82D60"/>
    <w:rsid w:val="00D83C31"/>
    <w:rsid w:val="00D83EBA"/>
    <w:rsid w:val="00D83F6F"/>
    <w:rsid w:val="00D846F4"/>
    <w:rsid w:val="00D84777"/>
    <w:rsid w:val="00D84E3F"/>
    <w:rsid w:val="00D84F1C"/>
    <w:rsid w:val="00D8571D"/>
    <w:rsid w:val="00D85838"/>
    <w:rsid w:val="00D858F6"/>
    <w:rsid w:val="00D85D3A"/>
    <w:rsid w:val="00D86241"/>
    <w:rsid w:val="00D863E4"/>
    <w:rsid w:val="00D865B3"/>
    <w:rsid w:val="00D86AB0"/>
    <w:rsid w:val="00D86C16"/>
    <w:rsid w:val="00D87145"/>
    <w:rsid w:val="00D87931"/>
    <w:rsid w:val="00D87DB5"/>
    <w:rsid w:val="00D87EF4"/>
    <w:rsid w:val="00D90173"/>
    <w:rsid w:val="00D905F8"/>
    <w:rsid w:val="00D90FEC"/>
    <w:rsid w:val="00D927A2"/>
    <w:rsid w:val="00D92802"/>
    <w:rsid w:val="00D92892"/>
    <w:rsid w:val="00D929DD"/>
    <w:rsid w:val="00D935D2"/>
    <w:rsid w:val="00D93658"/>
    <w:rsid w:val="00D93A31"/>
    <w:rsid w:val="00D93AC1"/>
    <w:rsid w:val="00D93B75"/>
    <w:rsid w:val="00D93DDD"/>
    <w:rsid w:val="00D940E7"/>
    <w:rsid w:val="00D9466C"/>
    <w:rsid w:val="00D94782"/>
    <w:rsid w:val="00D94A07"/>
    <w:rsid w:val="00D95033"/>
    <w:rsid w:val="00D952C5"/>
    <w:rsid w:val="00D95362"/>
    <w:rsid w:val="00D95417"/>
    <w:rsid w:val="00D9558E"/>
    <w:rsid w:val="00D95EA5"/>
    <w:rsid w:val="00D95F88"/>
    <w:rsid w:val="00D9644E"/>
    <w:rsid w:val="00D966D3"/>
    <w:rsid w:val="00D973E4"/>
    <w:rsid w:val="00D97E9E"/>
    <w:rsid w:val="00D97F09"/>
    <w:rsid w:val="00DA0436"/>
    <w:rsid w:val="00DA0454"/>
    <w:rsid w:val="00DA07A3"/>
    <w:rsid w:val="00DA1164"/>
    <w:rsid w:val="00DA11F9"/>
    <w:rsid w:val="00DA158C"/>
    <w:rsid w:val="00DA18C6"/>
    <w:rsid w:val="00DA19E2"/>
    <w:rsid w:val="00DA20C1"/>
    <w:rsid w:val="00DA2CA9"/>
    <w:rsid w:val="00DA2ECC"/>
    <w:rsid w:val="00DA313F"/>
    <w:rsid w:val="00DA3512"/>
    <w:rsid w:val="00DA372C"/>
    <w:rsid w:val="00DA382E"/>
    <w:rsid w:val="00DA387D"/>
    <w:rsid w:val="00DA3C41"/>
    <w:rsid w:val="00DA3D6C"/>
    <w:rsid w:val="00DA3EA1"/>
    <w:rsid w:val="00DA412A"/>
    <w:rsid w:val="00DA45F3"/>
    <w:rsid w:val="00DA4744"/>
    <w:rsid w:val="00DA4FEE"/>
    <w:rsid w:val="00DA52D8"/>
    <w:rsid w:val="00DA52F2"/>
    <w:rsid w:val="00DA53F7"/>
    <w:rsid w:val="00DA544B"/>
    <w:rsid w:val="00DA54DF"/>
    <w:rsid w:val="00DA5504"/>
    <w:rsid w:val="00DA5994"/>
    <w:rsid w:val="00DA5D61"/>
    <w:rsid w:val="00DA5F97"/>
    <w:rsid w:val="00DA64AE"/>
    <w:rsid w:val="00DA65FC"/>
    <w:rsid w:val="00DA66BD"/>
    <w:rsid w:val="00DA69EC"/>
    <w:rsid w:val="00DA6D53"/>
    <w:rsid w:val="00DA6FAB"/>
    <w:rsid w:val="00DA7257"/>
    <w:rsid w:val="00DB0279"/>
    <w:rsid w:val="00DB057D"/>
    <w:rsid w:val="00DB05A9"/>
    <w:rsid w:val="00DB083E"/>
    <w:rsid w:val="00DB0918"/>
    <w:rsid w:val="00DB0A90"/>
    <w:rsid w:val="00DB0F4F"/>
    <w:rsid w:val="00DB1A1C"/>
    <w:rsid w:val="00DB1C37"/>
    <w:rsid w:val="00DB1CD9"/>
    <w:rsid w:val="00DB2CFD"/>
    <w:rsid w:val="00DB2E7E"/>
    <w:rsid w:val="00DB2F35"/>
    <w:rsid w:val="00DB310F"/>
    <w:rsid w:val="00DB4266"/>
    <w:rsid w:val="00DB44B8"/>
    <w:rsid w:val="00DB4591"/>
    <w:rsid w:val="00DB4FD8"/>
    <w:rsid w:val="00DB4FFB"/>
    <w:rsid w:val="00DB52F6"/>
    <w:rsid w:val="00DB5E8B"/>
    <w:rsid w:val="00DB5EEA"/>
    <w:rsid w:val="00DB63A3"/>
    <w:rsid w:val="00DB6471"/>
    <w:rsid w:val="00DB6EA4"/>
    <w:rsid w:val="00DB73B5"/>
    <w:rsid w:val="00DB7523"/>
    <w:rsid w:val="00DB7B5F"/>
    <w:rsid w:val="00DB7C27"/>
    <w:rsid w:val="00DC0003"/>
    <w:rsid w:val="00DC0196"/>
    <w:rsid w:val="00DC0681"/>
    <w:rsid w:val="00DC0A9F"/>
    <w:rsid w:val="00DC1562"/>
    <w:rsid w:val="00DC15E5"/>
    <w:rsid w:val="00DC16B0"/>
    <w:rsid w:val="00DC1E83"/>
    <w:rsid w:val="00DC1F91"/>
    <w:rsid w:val="00DC2187"/>
    <w:rsid w:val="00DC27A8"/>
    <w:rsid w:val="00DC28A0"/>
    <w:rsid w:val="00DC2AB9"/>
    <w:rsid w:val="00DC2FBD"/>
    <w:rsid w:val="00DC3263"/>
    <w:rsid w:val="00DC38A2"/>
    <w:rsid w:val="00DC4382"/>
    <w:rsid w:val="00DC4557"/>
    <w:rsid w:val="00DC45DF"/>
    <w:rsid w:val="00DC46E8"/>
    <w:rsid w:val="00DC4A8C"/>
    <w:rsid w:val="00DC4B9F"/>
    <w:rsid w:val="00DC4F4C"/>
    <w:rsid w:val="00DC5013"/>
    <w:rsid w:val="00DC5484"/>
    <w:rsid w:val="00DC56C8"/>
    <w:rsid w:val="00DC5729"/>
    <w:rsid w:val="00DC58DF"/>
    <w:rsid w:val="00DC60E3"/>
    <w:rsid w:val="00DC6567"/>
    <w:rsid w:val="00DC685E"/>
    <w:rsid w:val="00DC6883"/>
    <w:rsid w:val="00DC6A51"/>
    <w:rsid w:val="00DC70D9"/>
    <w:rsid w:val="00DC76B6"/>
    <w:rsid w:val="00DC7C6A"/>
    <w:rsid w:val="00DC7CFB"/>
    <w:rsid w:val="00DD0072"/>
    <w:rsid w:val="00DD04E7"/>
    <w:rsid w:val="00DD086C"/>
    <w:rsid w:val="00DD0B1D"/>
    <w:rsid w:val="00DD0FDA"/>
    <w:rsid w:val="00DD1988"/>
    <w:rsid w:val="00DD19A9"/>
    <w:rsid w:val="00DD1A06"/>
    <w:rsid w:val="00DD1A9D"/>
    <w:rsid w:val="00DD1BBA"/>
    <w:rsid w:val="00DD21FE"/>
    <w:rsid w:val="00DD2263"/>
    <w:rsid w:val="00DD2800"/>
    <w:rsid w:val="00DD2D31"/>
    <w:rsid w:val="00DD2DF6"/>
    <w:rsid w:val="00DD2E17"/>
    <w:rsid w:val="00DD2E32"/>
    <w:rsid w:val="00DD2FF9"/>
    <w:rsid w:val="00DD30CF"/>
    <w:rsid w:val="00DD3763"/>
    <w:rsid w:val="00DD3875"/>
    <w:rsid w:val="00DD38B7"/>
    <w:rsid w:val="00DD42C9"/>
    <w:rsid w:val="00DD47DF"/>
    <w:rsid w:val="00DD4877"/>
    <w:rsid w:val="00DD5043"/>
    <w:rsid w:val="00DD549F"/>
    <w:rsid w:val="00DD5BE4"/>
    <w:rsid w:val="00DD63AD"/>
    <w:rsid w:val="00DD645F"/>
    <w:rsid w:val="00DD6485"/>
    <w:rsid w:val="00DD6A7B"/>
    <w:rsid w:val="00DD6EB3"/>
    <w:rsid w:val="00DD719E"/>
    <w:rsid w:val="00DD71C3"/>
    <w:rsid w:val="00DD7978"/>
    <w:rsid w:val="00DE0BE1"/>
    <w:rsid w:val="00DE124D"/>
    <w:rsid w:val="00DE14F0"/>
    <w:rsid w:val="00DE1928"/>
    <w:rsid w:val="00DE1AC7"/>
    <w:rsid w:val="00DE2376"/>
    <w:rsid w:val="00DE293B"/>
    <w:rsid w:val="00DE2C73"/>
    <w:rsid w:val="00DE2C7F"/>
    <w:rsid w:val="00DE31D5"/>
    <w:rsid w:val="00DE4146"/>
    <w:rsid w:val="00DE416C"/>
    <w:rsid w:val="00DE45E5"/>
    <w:rsid w:val="00DE4749"/>
    <w:rsid w:val="00DE4884"/>
    <w:rsid w:val="00DE4886"/>
    <w:rsid w:val="00DE48A0"/>
    <w:rsid w:val="00DE4A18"/>
    <w:rsid w:val="00DE5407"/>
    <w:rsid w:val="00DE575A"/>
    <w:rsid w:val="00DE67F0"/>
    <w:rsid w:val="00DE6C10"/>
    <w:rsid w:val="00DE6CCC"/>
    <w:rsid w:val="00DE7521"/>
    <w:rsid w:val="00DE7B56"/>
    <w:rsid w:val="00DF0297"/>
    <w:rsid w:val="00DF0778"/>
    <w:rsid w:val="00DF0B32"/>
    <w:rsid w:val="00DF0ED6"/>
    <w:rsid w:val="00DF1013"/>
    <w:rsid w:val="00DF10BF"/>
    <w:rsid w:val="00DF1818"/>
    <w:rsid w:val="00DF1FBB"/>
    <w:rsid w:val="00DF21AB"/>
    <w:rsid w:val="00DF23DE"/>
    <w:rsid w:val="00DF2935"/>
    <w:rsid w:val="00DF31CF"/>
    <w:rsid w:val="00DF3241"/>
    <w:rsid w:val="00DF38AE"/>
    <w:rsid w:val="00DF3C49"/>
    <w:rsid w:val="00DF464C"/>
    <w:rsid w:val="00DF4A5B"/>
    <w:rsid w:val="00DF4F92"/>
    <w:rsid w:val="00DF53AF"/>
    <w:rsid w:val="00DF576F"/>
    <w:rsid w:val="00DF5B4B"/>
    <w:rsid w:val="00DF5D6D"/>
    <w:rsid w:val="00DF6069"/>
    <w:rsid w:val="00DF6AF3"/>
    <w:rsid w:val="00DF6C15"/>
    <w:rsid w:val="00DF6C55"/>
    <w:rsid w:val="00DF7215"/>
    <w:rsid w:val="00DF7373"/>
    <w:rsid w:val="00DF7DA8"/>
    <w:rsid w:val="00DF7EE1"/>
    <w:rsid w:val="00E0001D"/>
    <w:rsid w:val="00E0038B"/>
    <w:rsid w:val="00E0053D"/>
    <w:rsid w:val="00E00827"/>
    <w:rsid w:val="00E00F77"/>
    <w:rsid w:val="00E01139"/>
    <w:rsid w:val="00E01458"/>
    <w:rsid w:val="00E02497"/>
    <w:rsid w:val="00E02CA1"/>
    <w:rsid w:val="00E03270"/>
    <w:rsid w:val="00E036E8"/>
    <w:rsid w:val="00E037BC"/>
    <w:rsid w:val="00E03BF6"/>
    <w:rsid w:val="00E046BD"/>
    <w:rsid w:val="00E04DC9"/>
    <w:rsid w:val="00E05375"/>
    <w:rsid w:val="00E05B85"/>
    <w:rsid w:val="00E05E07"/>
    <w:rsid w:val="00E05EC9"/>
    <w:rsid w:val="00E074C5"/>
    <w:rsid w:val="00E07570"/>
    <w:rsid w:val="00E075C7"/>
    <w:rsid w:val="00E07F91"/>
    <w:rsid w:val="00E10173"/>
    <w:rsid w:val="00E102B0"/>
    <w:rsid w:val="00E107F1"/>
    <w:rsid w:val="00E1181F"/>
    <w:rsid w:val="00E129EE"/>
    <w:rsid w:val="00E12FDD"/>
    <w:rsid w:val="00E1303A"/>
    <w:rsid w:val="00E134D0"/>
    <w:rsid w:val="00E13778"/>
    <w:rsid w:val="00E13F8D"/>
    <w:rsid w:val="00E1414C"/>
    <w:rsid w:val="00E14186"/>
    <w:rsid w:val="00E14C6B"/>
    <w:rsid w:val="00E14CE0"/>
    <w:rsid w:val="00E15684"/>
    <w:rsid w:val="00E15B8C"/>
    <w:rsid w:val="00E15CD5"/>
    <w:rsid w:val="00E15FFB"/>
    <w:rsid w:val="00E1750A"/>
    <w:rsid w:val="00E17A60"/>
    <w:rsid w:val="00E2032C"/>
    <w:rsid w:val="00E20EF4"/>
    <w:rsid w:val="00E211BC"/>
    <w:rsid w:val="00E21928"/>
    <w:rsid w:val="00E21F64"/>
    <w:rsid w:val="00E21F80"/>
    <w:rsid w:val="00E22091"/>
    <w:rsid w:val="00E23E2B"/>
    <w:rsid w:val="00E2405F"/>
    <w:rsid w:val="00E24193"/>
    <w:rsid w:val="00E24B1F"/>
    <w:rsid w:val="00E24B5F"/>
    <w:rsid w:val="00E2570C"/>
    <w:rsid w:val="00E25C37"/>
    <w:rsid w:val="00E25D46"/>
    <w:rsid w:val="00E25ED9"/>
    <w:rsid w:val="00E25F1B"/>
    <w:rsid w:val="00E260A6"/>
    <w:rsid w:val="00E261F2"/>
    <w:rsid w:val="00E2638A"/>
    <w:rsid w:val="00E26530"/>
    <w:rsid w:val="00E26570"/>
    <w:rsid w:val="00E265A5"/>
    <w:rsid w:val="00E2669C"/>
    <w:rsid w:val="00E2773C"/>
    <w:rsid w:val="00E27F6B"/>
    <w:rsid w:val="00E27F7A"/>
    <w:rsid w:val="00E27FF3"/>
    <w:rsid w:val="00E30C72"/>
    <w:rsid w:val="00E30E59"/>
    <w:rsid w:val="00E314F2"/>
    <w:rsid w:val="00E31FBA"/>
    <w:rsid w:val="00E32EEC"/>
    <w:rsid w:val="00E3355D"/>
    <w:rsid w:val="00E336A2"/>
    <w:rsid w:val="00E33868"/>
    <w:rsid w:val="00E33A8B"/>
    <w:rsid w:val="00E33D19"/>
    <w:rsid w:val="00E33F16"/>
    <w:rsid w:val="00E34189"/>
    <w:rsid w:val="00E3522E"/>
    <w:rsid w:val="00E35584"/>
    <w:rsid w:val="00E35843"/>
    <w:rsid w:val="00E358C5"/>
    <w:rsid w:val="00E3599E"/>
    <w:rsid w:val="00E35B78"/>
    <w:rsid w:val="00E36103"/>
    <w:rsid w:val="00E362C2"/>
    <w:rsid w:val="00E36451"/>
    <w:rsid w:val="00E368B5"/>
    <w:rsid w:val="00E369AD"/>
    <w:rsid w:val="00E36AAF"/>
    <w:rsid w:val="00E36B60"/>
    <w:rsid w:val="00E36C63"/>
    <w:rsid w:val="00E36E68"/>
    <w:rsid w:val="00E37410"/>
    <w:rsid w:val="00E374F6"/>
    <w:rsid w:val="00E37A33"/>
    <w:rsid w:val="00E37D94"/>
    <w:rsid w:val="00E37DD9"/>
    <w:rsid w:val="00E40039"/>
    <w:rsid w:val="00E4075A"/>
    <w:rsid w:val="00E40EB3"/>
    <w:rsid w:val="00E41CDB"/>
    <w:rsid w:val="00E41D07"/>
    <w:rsid w:val="00E43245"/>
    <w:rsid w:val="00E432E2"/>
    <w:rsid w:val="00E43457"/>
    <w:rsid w:val="00E4355C"/>
    <w:rsid w:val="00E44A55"/>
    <w:rsid w:val="00E45000"/>
    <w:rsid w:val="00E45091"/>
    <w:rsid w:val="00E4512E"/>
    <w:rsid w:val="00E45145"/>
    <w:rsid w:val="00E451C2"/>
    <w:rsid w:val="00E45670"/>
    <w:rsid w:val="00E458C2"/>
    <w:rsid w:val="00E46245"/>
    <w:rsid w:val="00E463BC"/>
    <w:rsid w:val="00E469B5"/>
    <w:rsid w:val="00E46D4E"/>
    <w:rsid w:val="00E46D79"/>
    <w:rsid w:val="00E478A8"/>
    <w:rsid w:val="00E47D4C"/>
    <w:rsid w:val="00E47FE4"/>
    <w:rsid w:val="00E50226"/>
    <w:rsid w:val="00E5072E"/>
    <w:rsid w:val="00E50BE4"/>
    <w:rsid w:val="00E50E09"/>
    <w:rsid w:val="00E512C6"/>
    <w:rsid w:val="00E51330"/>
    <w:rsid w:val="00E5156E"/>
    <w:rsid w:val="00E517C6"/>
    <w:rsid w:val="00E51BE3"/>
    <w:rsid w:val="00E51C21"/>
    <w:rsid w:val="00E5230B"/>
    <w:rsid w:val="00E52B1D"/>
    <w:rsid w:val="00E52F0D"/>
    <w:rsid w:val="00E53A40"/>
    <w:rsid w:val="00E54216"/>
    <w:rsid w:val="00E542B9"/>
    <w:rsid w:val="00E55221"/>
    <w:rsid w:val="00E556A8"/>
    <w:rsid w:val="00E556F3"/>
    <w:rsid w:val="00E557C1"/>
    <w:rsid w:val="00E559E6"/>
    <w:rsid w:val="00E56293"/>
    <w:rsid w:val="00E56A30"/>
    <w:rsid w:val="00E56BC8"/>
    <w:rsid w:val="00E56DA3"/>
    <w:rsid w:val="00E56F56"/>
    <w:rsid w:val="00E572BB"/>
    <w:rsid w:val="00E6002F"/>
    <w:rsid w:val="00E6033C"/>
    <w:rsid w:val="00E6089A"/>
    <w:rsid w:val="00E608FD"/>
    <w:rsid w:val="00E6229E"/>
    <w:rsid w:val="00E624A1"/>
    <w:rsid w:val="00E62B2C"/>
    <w:rsid w:val="00E62C17"/>
    <w:rsid w:val="00E62D00"/>
    <w:rsid w:val="00E62E62"/>
    <w:rsid w:val="00E638D7"/>
    <w:rsid w:val="00E65C23"/>
    <w:rsid w:val="00E662FC"/>
    <w:rsid w:val="00E66BE1"/>
    <w:rsid w:val="00E66DFC"/>
    <w:rsid w:val="00E67A53"/>
    <w:rsid w:val="00E701CA"/>
    <w:rsid w:val="00E70278"/>
    <w:rsid w:val="00E705D6"/>
    <w:rsid w:val="00E7061B"/>
    <w:rsid w:val="00E70865"/>
    <w:rsid w:val="00E70B27"/>
    <w:rsid w:val="00E70CFB"/>
    <w:rsid w:val="00E70D13"/>
    <w:rsid w:val="00E71398"/>
    <w:rsid w:val="00E71F34"/>
    <w:rsid w:val="00E73136"/>
    <w:rsid w:val="00E7324C"/>
    <w:rsid w:val="00E7342F"/>
    <w:rsid w:val="00E736C4"/>
    <w:rsid w:val="00E73B0E"/>
    <w:rsid w:val="00E73CBB"/>
    <w:rsid w:val="00E741A6"/>
    <w:rsid w:val="00E746BC"/>
    <w:rsid w:val="00E74949"/>
    <w:rsid w:val="00E74CF8"/>
    <w:rsid w:val="00E74DFF"/>
    <w:rsid w:val="00E7579B"/>
    <w:rsid w:val="00E760B8"/>
    <w:rsid w:val="00E761D2"/>
    <w:rsid w:val="00E7684B"/>
    <w:rsid w:val="00E772D6"/>
    <w:rsid w:val="00E773DE"/>
    <w:rsid w:val="00E779AA"/>
    <w:rsid w:val="00E77A3C"/>
    <w:rsid w:val="00E77BD1"/>
    <w:rsid w:val="00E77CF8"/>
    <w:rsid w:val="00E8002C"/>
    <w:rsid w:val="00E80A47"/>
    <w:rsid w:val="00E81268"/>
    <w:rsid w:val="00E815D1"/>
    <w:rsid w:val="00E82B5E"/>
    <w:rsid w:val="00E841B7"/>
    <w:rsid w:val="00E84661"/>
    <w:rsid w:val="00E84A09"/>
    <w:rsid w:val="00E84B36"/>
    <w:rsid w:val="00E84F99"/>
    <w:rsid w:val="00E858DD"/>
    <w:rsid w:val="00E85A21"/>
    <w:rsid w:val="00E85C5D"/>
    <w:rsid w:val="00E85E48"/>
    <w:rsid w:val="00E8622F"/>
    <w:rsid w:val="00E8631E"/>
    <w:rsid w:val="00E8735E"/>
    <w:rsid w:val="00E873A7"/>
    <w:rsid w:val="00E87795"/>
    <w:rsid w:val="00E91DAB"/>
    <w:rsid w:val="00E91F3C"/>
    <w:rsid w:val="00E92929"/>
    <w:rsid w:val="00E92E3A"/>
    <w:rsid w:val="00E92EEC"/>
    <w:rsid w:val="00E93560"/>
    <w:rsid w:val="00E93605"/>
    <w:rsid w:val="00E9365D"/>
    <w:rsid w:val="00E93C07"/>
    <w:rsid w:val="00E9476F"/>
    <w:rsid w:val="00E94B3A"/>
    <w:rsid w:val="00E94BD9"/>
    <w:rsid w:val="00E95423"/>
    <w:rsid w:val="00E962FC"/>
    <w:rsid w:val="00E963F0"/>
    <w:rsid w:val="00E96581"/>
    <w:rsid w:val="00E967A7"/>
    <w:rsid w:val="00E96923"/>
    <w:rsid w:val="00E970F1"/>
    <w:rsid w:val="00E97461"/>
    <w:rsid w:val="00E975F8"/>
    <w:rsid w:val="00E97809"/>
    <w:rsid w:val="00E979A5"/>
    <w:rsid w:val="00E97A52"/>
    <w:rsid w:val="00E97E1E"/>
    <w:rsid w:val="00EA06CF"/>
    <w:rsid w:val="00EA0A31"/>
    <w:rsid w:val="00EA0CBF"/>
    <w:rsid w:val="00EA1372"/>
    <w:rsid w:val="00EA16D8"/>
    <w:rsid w:val="00EA177A"/>
    <w:rsid w:val="00EA1ADF"/>
    <w:rsid w:val="00EA1D58"/>
    <w:rsid w:val="00EA214A"/>
    <w:rsid w:val="00EA251D"/>
    <w:rsid w:val="00EA2881"/>
    <w:rsid w:val="00EA28B0"/>
    <w:rsid w:val="00EA2C10"/>
    <w:rsid w:val="00EA2DBD"/>
    <w:rsid w:val="00EA3203"/>
    <w:rsid w:val="00EA340F"/>
    <w:rsid w:val="00EA3457"/>
    <w:rsid w:val="00EA354C"/>
    <w:rsid w:val="00EA36B7"/>
    <w:rsid w:val="00EA386C"/>
    <w:rsid w:val="00EA411D"/>
    <w:rsid w:val="00EA46A2"/>
    <w:rsid w:val="00EA4847"/>
    <w:rsid w:val="00EA49C4"/>
    <w:rsid w:val="00EA4A20"/>
    <w:rsid w:val="00EA4ED9"/>
    <w:rsid w:val="00EA5A4E"/>
    <w:rsid w:val="00EA5DD7"/>
    <w:rsid w:val="00EA5E2E"/>
    <w:rsid w:val="00EA68D5"/>
    <w:rsid w:val="00EA7151"/>
    <w:rsid w:val="00EA71CD"/>
    <w:rsid w:val="00EA72D6"/>
    <w:rsid w:val="00EA74FF"/>
    <w:rsid w:val="00EA7638"/>
    <w:rsid w:val="00EA7B06"/>
    <w:rsid w:val="00EB008C"/>
    <w:rsid w:val="00EB0097"/>
    <w:rsid w:val="00EB01B2"/>
    <w:rsid w:val="00EB03AB"/>
    <w:rsid w:val="00EB0861"/>
    <w:rsid w:val="00EB0F2A"/>
    <w:rsid w:val="00EB13D9"/>
    <w:rsid w:val="00EB14B5"/>
    <w:rsid w:val="00EB2A24"/>
    <w:rsid w:val="00EB30A3"/>
    <w:rsid w:val="00EB3389"/>
    <w:rsid w:val="00EB39EF"/>
    <w:rsid w:val="00EB4557"/>
    <w:rsid w:val="00EB4AA0"/>
    <w:rsid w:val="00EB504A"/>
    <w:rsid w:val="00EB56AF"/>
    <w:rsid w:val="00EB5C8C"/>
    <w:rsid w:val="00EB643F"/>
    <w:rsid w:val="00EB64C3"/>
    <w:rsid w:val="00EB6615"/>
    <w:rsid w:val="00EB6A8A"/>
    <w:rsid w:val="00EB6D41"/>
    <w:rsid w:val="00EB6FC8"/>
    <w:rsid w:val="00EC070F"/>
    <w:rsid w:val="00EC0A8C"/>
    <w:rsid w:val="00EC0F1D"/>
    <w:rsid w:val="00EC113F"/>
    <w:rsid w:val="00EC173F"/>
    <w:rsid w:val="00EC248D"/>
    <w:rsid w:val="00EC2B5E"/>
    <w:rsid w:val="00EC2D25"/>
    <w:rsid w:val="00EC2EF9"/>
    <w:rsid w:val="00EC2F41"/>
    <w:rsid w:val="00EC3883"/>
    <w:rsid w:val="00EC418B"/>
    <w:rsid w:val="00EC42CB"/>
    <w:rsid w:val="00EC4EB7"/>
    <w:rsid w:val="00EC4F77"/>
    <w:rsid w:val="00EC4F82"/>
    <w:rsid w:val="00EC50F2"/>
    <w:rsid w:val="00EC5BE4"/>
    <w:rsid w:val="00EC5F4F"/>
    <w:rsid w:val="00EC6019"/>
    <w:rsid w:val="00EC6418"/>
    <w:rsid w:val="00EC66A3"/>
    <w:rsid w:val="00EC6DD0"/>
    <w:rsid w:val="00EC7142"/>
    <w:rsid w:val="00EC7290"/>
    <w:rsid w:val="00EC7425"/>
    <w:rsid w:val="00EC77DC"/>
    <w:rsid w:val="00EC794F"/>
    <w:rsid w:val="00ED06B3"/>
    <w:rsid w:val="00ED070B"/>
    <w:rsid w:val="00ED0C82"/>
    <w:rsid w:val="00ED0E9B"/>
    <w:rsid w:val="00ED1127"/>
    <w:rsid w:val="00ED13F4"/>
    <w:rsid w:val="00ED2402"/>
    <w:rsid w:val="00ED2674"/>
    <w:rsid w:val="00ED2AA8"/>
    <w:rsid w:val="00ED2B3F"/>
    <w:rsid w:val="00ED2F09"/>
    <w:rsid w:val="00ED3369"/>
    <w:rsid w:val="00ED3433"/>
    <w:rsid w:val="00ED3915"/>
    <w:rsid w:val="00ED3ADE"/>
    <w:rsid w:val="00ED3EDE"/>
    <w:rsid w:val="00ED45F7"/>
    <w:rsid w:val="00ED5F2B"/>
    <w:rsid w:val="00ED5F58"/>
    <w:rsid w:val="00ED6C31"/>
    <w:rsid w:val="00ED6CB7"/>
    <w:rsid w:val="00ED7249"/>
    <w:rsid w:val="00ED7BEB"/>
    <w:rsid w:val="00ED7BEC"/>
    <w:rsid w:val="00ED7D5C"/>
    <w:rsid w:val="00EE06C7"/>
    <w:rsid w:val="00EE0C31"/>
    <w:rsid w:val="00EE0D85"/>
    <w:rsid w:val="00EE16BC"/>
    <w:rsid w:val="00EE1707"/>
    <w:rsid w:val="00EE245E"/>
    <w:rsid w:val="00EE2B34"/>
    <w:rsid w:val="00EE3244"/>
    <w:rsid w:val="00EE384A"/>
    <w:rsid w:val="00EE3BF3"/>
    <w:rsid w:val="00EE3EA9"/>
    <w:rsid w:val="00EE4823"/>
    <w:rsid w:val="00EE4A3B"/>
    <w:rsid w:val="00EE4DAA"/>
    <w:rsid w:val="00EE5FD7"/>
    <w:rsid w:val="00EE60C9"/>
    <w:rsid w:val="00EE626C"/>
    <w:rsid w:val="00EE63FE"/>
    <w:rsid w:val="00EE650B"/>
    <w:rsid w:val="00EE676C"/>
    <w:rsid w:val="00EE6BCB"/>
    <w:rsid w:val="00EE7120"/>
    <w:rsid w:val="00EE71B7"/>
    <w:rsid w:val="00EE75EF"/>
    <w:rsid w:val="00EE7713"/>
    <w:rsid w:val="00EE7AF6"/>
    <w:rsid w:val="00EE7B37"/>
    <w:rsid w:val="00EE7C83"/>
    <w:rsid w:val="00EF0708"/>
    <w:rsid w:val="00EF0A0C"/>
    <w:rsid w:val="00EF0ABE"/>
    <w:rsid w:val="00EF0DEE"/>
    <w:rsid w:val="00EF1071"/>
    <w:rsid w:val="00EF17A8"/>
    <w:rsid w:val="00EF1F7A"/>
    <w:rsid w:val="00EF20ED"/>
    <w:rsid w:val="00EF27CE"/>
    <w:rsid w:val="00EF2B44"/>
    <w:rsid w:val="00EF3400"/>
    <w:rsid w:val="00EF4894"/>
    <w:rsid w:val="00EF5660"/>
    <w:rsid w:val="00EF5F81"/>
    <w:rsid w:val="00EF629F"/>
    <w:rsid w:val="00EF6933"/>
    <w:rsid w:val="00EF6944"/>
    <w:rsid w:val="00EF6B98"/>
    <w:rsid w:val="00EF6B9A"/>
    <w:rsid w:val="00EF6DE3"/>
    <w:rsid w:val="00EF7241"/>
    <w:rsid w:val="00EF7547"/>
    <w:rsid w:val="00EF7A87"/>
    <w:rsid w:val="00EF7A8E"/>
    <w:rsid w:val="00EF7E53"/>
    <w:rsid w:val="00EF7F2D"/>
    <w:rsid w:val="00F004B3"/>
    <w:rsid w:val="00F00824"/>
    <w:rsid w:val="00F00D3E"/>
    <w:rsid w:val="00F00DEA"/>
    <w:rsid w:val="00F00EF8"/>
    <w:rsid w:val="00F00F84"/>
    <w:rsid w:val="00F01494"/>
    <w:rsid w:val="00F02FD8"/>
    <w:rsid w:val="00F03042"/>
    <w:rsid w:val="00F0310D"/>
    <w:rsid w:val="00F03112"/>
    <w:rsid w:val="00F03180"/>
    <w:rsid w:val="00F0331E"/>
    <w:rsid w:val="00F0363D"/>
    <w:rsid w:val="00F03BBB"/>
    <w:rsid w:val="00F03E3C"/>
    <w:rsid w:val="00F0484B"/>
    <w:rsid w:val="00F053F5"/>
    <w:rsid w:val="00F05C0C"/>
    <w:rsid w:val="00F05DF4"/>
    <w:rsid w:val="00F0637C"/>
    <w:rsid w:val="00F0670B"/>
    <w:rsid w:val="00F0761B"/>
    <w:rsid w:val="00F10204"/>
    <w:rsid w:val="00F10B62"/>
    <w:rsid w:val="00F11481"/>
    <w:rsid w:val="00F119E7"/>
    <w:rsid w:val="00F11C05"/>
    <w:rsid w:val="00F12113"/>
    <w:rsid w:val="00F12954"/>
    <w:rsid w:val="00F12AC7"/>
    <w:rsid w:val="00F140AE"/>
    <w:rsid w:val="00F141E6"/>
    <w:rsid w:val="00F14974"/>
    <w:rsid w:val="00F14EDC"/>
    <w:rsid w:val="00F15608"/>
    <w:rsid w:val="00F15F6F"/>
    <w:rsid w:val="00F16995"/>
    <w:rsid w:val="00F16D0D"/>
    <w:rsid w:val="00F1702B"/>
    <w:rsid w:val="00F175A0"/>
    <w:rsid w:val="00F1796E"/>
    <w:rsid w:val="00F20211"/>
    <w:rsid w:val="00F20222"/>
    <w:rsid w:val="00F203B2"/>
    <w:rsid w:val="00F20E1F"/>
    <w:rsid w:val="00F20E9F"/>
    <w:rsid w:val="00F2119B"/>
    <w:rsid w:val="00F21458"/>
    <w:rsid w:val="00F21878"/>
    <w:rsid w:val="00F218E1"/>
    <w:rsid w:val="00F222F4"/>
    <w:rsid w:val="00F229AC"/>
    <w:rsid w:val="00F22D74"/>
    <w:rsid w:val="00F234DE"/>
    <w:rsid w:val="00F23B74"/>
    <w:rsid w:val="00F23CDB"/>
    <w:rsid w:val="00F23DF3"/>
    <w:rsid w:val="00F243A9"/>
    <w:rsid w:val="00F24686"/>
    <w:rsid w:val="00F2469F"/>
    <w:rsid w:val="00F24C2D"/>
    <w:rsid w:val="00F254AC"/>
    <w:rsid w:val="00F25664"/>
    <w:rsid w:val="00F258CA"/>
    <w:rsid w:val="00F25A65"/>
    <w:rsid w:val="00F260AA"/>
    <w:rsid w:val="00F260C2"/>
    <w:rsid w:val="00F262C8"/>
    <w:rsid w:val="00F26347"/>
    <w:rsid w:val="00F26664"/>
    <w:rsid w:val="00F27129"/>
    <w:rsid w:val="00F2715A"/>
    <w:rsid w:val="00F27716"/>
    <w:rsid w:val="00F27EC3"/>
    <w:rsid w:val="00F304D1"/>
    <w:rsid w:val="00F30875"/>
    <w:rsid w:val="00F31452"/>
    <w:rsid w:val="00F316F5"/>
    <w:rsid w:val="00F3192F"/>
    <w:rsid w:val="00F31FE2"/>
    <w:rsid w:val="00F32B32"/>
    <w:rsid w:val="00F32C65"/>
    <w:rsid w:val="00F33060"/>
    <w:rsid w:val="00F33442"/>
    <w:rsid w:val="00F3375C"/>
    <w:rsid w:val="00F33F0A"/>
    <w:rsid w:val="00F34359"/>
    <w:rsid w:val="00F34500"/>
    <w:rsid w:val="00F34564"/>
    <w:rsid w:val="00F34580"/>
    <w:rsid w:val="00F34E54"/>
    <w:rsid w:val="00F350F9"/>
    <w:rsid w:val="00F3520A"/>
    <w:rsid w:val="00F35211"/>
    <w:rsid w:val="00F35C46"/>
    <w:rsid w:val="00F35D30"/>
    <w:rsid w:val="00F35F44"/>
    <w:rsid w:val="00F362BC"/>
    <w:rsid w:val="00F36CAA"/>
    <w:rsid w:val="00F36E1A"/>
    <w:rsid w:val="00F37CF9"/>
    <w:rsid w:val="00F37D90"/>
    <w:rsid w:val="00F40A4B"/>
    <w:rsid w:val="00F40EE1"/>
    <w:rsid w:val="00F41025"/>
    <w:rsid w:val="00F41111"/>
    <w:rsid w:val="00F4140C"/>
    <w:rsid w:val="00F41B56"/>
    <w:rsid w:val="00F41CE5"/>
    <w:rsid w:val="00F421F4"/>
    <w:rsid w:val="00F42269"/>
    <w:rsid w:val="00F42ECF"/>
    <w:rsid w:val="00F42FC2"/>
    <w:rsid w:val="00F43707"/>
    <w:rsid w:val="00F444C1"/>
    <w:rsid w:val="00F4450C"/>
    <w:rsid w:val="00F4455B"/>
    <w:rsid w:val="00F446B9"/>
    <w:rsid w:val="00F44C62"/>
    <w:rsid w:val="00F44C65"/>
    <w:rsid w:val="00F44C94"/>
    <w:rsid w:val="00F45E61"/>
    <w:rsid w:val="00F460D6"/>
    <w:rsid w:val="00F467FE"/>
    <w:rsid w:val="00F46B97"/>
    <w:rsid w:val="00F46C44"/>
    <w:rsid w:val="00F47390"/>
    <w:rsid w:val="00F47403"/>
    <w:rsid w:val="00F4745C"/>
    <w:rsid w:val="00F47B67"/>
    <w:rsid w:val="00F50E52"/>
    <w:rsid w:val="00F5179D"/>
    <w:rsid w:val="00F518DB"/>
    <w:rsid w:val="00F51905"/>
    <w:rsid w:val="00F51FF7"/>
    <w:rsid w:val="00F52712"/>
    <w:rsid w:val="00F5283D"/>
    <w:rsid w:val="00F52A3A"/>
    <w:rsid w:val="00F52B65"/>
    <w:rsid w:val="00F52B89"/>
    <w:rsid w:val="00F5355B"/>
    <w:rsid w:val="00F55D8D"/>
    <w:rsid w:val="00F56503"/>
    <w:rsid w:val="00F56D0C"/>
    <w:rsid w:val="00F57487"/>
    <w:rsid w:val="00F5773A"/>
    <w:rsid w:val="00F57B57"/>
    <w:rsid w:val="00F6040D"/>
    <w:rsid w:val="00F608B6"/>
    <w:rsid w:val="00F6097F"/>
    <w:rsid w:val="00F60D59"/>
    <w:rsid w:val="00F6117D"/>
    <w:rsid w:val="00F611B9"/>
    <w:rsid w:val="00F612C1"/>
    <w:rsid w:val="00F61D32"/>
    <w:rsid w:val="00F6331B"/>
    <w:rsid w:val="00F635D5"/>
    <w:rsid w:val="00F63BB4"/>
    <w:rsid w:val="00F64495"/>
    <w:rsid w:val="00F64906"/>
    <w:rsid w:val="00F64D76"/>
    <w:rsid w:val="00F64E63"/>
    <w:rsid w:val="00F64F0D"/>
    <w:rsid w:val="00F654FA"/>
    <w:rsid w:val="00F655C2"/>
    <w:rsid w:val="00F65A67"/>
    <w:rsid w:val="00F65B07"/>
    <w:rsid w:val="00F674B6"/>
    <w:rsid w:val="00F67D5E"/>
    <w:rsid w:val="00F70A96"/>
    <w:rsid w:val="00F719E9"/>
    <w:rsid w:val="00F71E2E"/>
    <w:rsid w:val="00F71FDF"/>
    <w:rsid w:val="00F72210"/>
    <w:rsid w:val="00F72F3B"/>
    <w:rsid w:val="00F7325F"/>
    <w:rsid w:val="00F734D1"/>
    <w:rsid w:val="00F73509"/>
    <w:rsid w:val="00F735EC"/>
    <w:rsid w:val="00F739D0"/>
    <w:rsid w:val="00F74141"/>
    <w:rsid w:val="00F74981"/>
    <w:rsid w:val="00F74C88"/>
    <w:rsid w:val="00F75DF0"/>
    <w:rsid w:val="00F76995"/>
    <w:rsid w:val="00F76C89"/>
    <w:rsid w:val="00F76D49"/>
    <w:rsid w:val="00F76EA7"/>
    <w:rsid w:val="00F7750F"/>
    <w:rsid w:val="00F77E1E"/>
    <w:rsid w:val="00F77E20"/>
    <w:rsid w:val="00F80440"/>
    <w:rsid w:val="00F80500"/>
    <w:rsid w:val="00F80701"/>
    <w:rsid w:val="00F80BD4"/>
    <w:rsid w:val="00F813F3"/>
    <w:rsid w:val="00F81FD4"/>
    <w:rsid w:val="00F8206A"/>
    <w:rsid w:val="00F82437"/>
    <w:rsid w:val="00F824B7"/>
    <w:rsid w:val="00F82915"/>
    <w:rsid w:val="00F82AF5"/>
    <w:rsid w:val="00F83864"/>
    <w:rsid w:val="00F843E4"/>
    <w:rsid w:val="00F844A6"/>
    <w:rsid w:val="00F84572"/>
    <w:rsid w:val="00F8476C"/>
    <w:rsid w:val="00F84893"/>
    <w:rsid w:val="00F84BBB"/>
    <w:rsid w:val="00F84E1A"/>
    <w:rsid w:val="00F85E87"/>
    <w:rsid w:val="00F85EE2"/>
    <w:rsid w:val="00F8650F"/>
    <w:rsid w:val="00F86517"/>
    <w:rsid w:val="00F86608"/>
    <w:rsid w:val="00F86CE0"/>
    <w:rsid w:val="00F87DFC"/>
    <w:rsid w:val="00F907CF"/>
    <w:rsid w:val="00F90B36"/>
    <w:rsid w:val="00F90D67"/>
    <w:rsid w:val="00F91E6A"/>
    <w:rsid w:val="00F91E8F"/>
    <w:rsid w:val="00F92270"/>
    <w:rsid w:val="00F925BD"/>
    <w:rsid w:val="00F928DD"/>
    <w:rsid w:val="00F932E8"/>
    <w:rsid w:val="00F938FC"/>
    <w:rsid w:val="00F93B47"/>
    <w:rsid w:val="00F93D6E"/>
    <w:rsid w:val="00F93EC1"/>
    <w:rsid w:val="00F94124"/>
    <w:rsid w:val="00F94571"/>
    <w:rsid w:val="00F9478E"/>
    <w:rsid w:val="00F953CF"/>
    <w:rsid w:val="00F95834"/>
    <w:rsid w:val="00F96502"/>
    <w:rsid w:val="00F96635"/>
    <w:rsid w:val="00F9696B"/>
    <w:rsid w:val="00F9741F"/>
    <w:rsid w:val="00F975FD"/>
    <w:rsid w:val="00F97B26"/>
    <w:rsid w:val="00F97B7C"/>
    <w:rsid w:val="00F97C3B"/>
    <w:rsid w:val="00F97FDA"/>
    <w:rsid w:val="00FA0BCA"/>
    <w:rsid w:val="00FA0C8C"/>
    <w:rsid w:val="00FA15EB"/>
    <w:rsid w:val="00FA1B10"/>
    <w:rsid w:val="00FA1DB2"/>
    <w:rsid w:val="00FA22BB"/>
    <w:rsid w:val="00FA26F1"/>
    <w:rsid w:val="00FA2A8A"/>
    <w:rsid w:val="00FA317B"/>
    <w:rsid w:val="00FA33B7"/>
    <w:rsid w:val="00FA3B60"/>
    <w:rsid w:val="00FA3CCD"/>
    <w:rsid w:val="00FA4236"/>
    <w:rsid w:val="00FA436B"/>
    <w:rsid w:val="00FA438C"/>
    <w:rsid w:val="00FA43FB"/>
    <w:rsid w:val="00FA490D"/>
    <w:rsid w:val="00FA4AEB"/>
    <w:rsid w:val="00FA4F2F"/>
    <w:rsid w:val="00FA534B"/>
    <w:rsid w:val="00FA5761"/>
    <w:rsid w:val="00FA5D20"/>
    <w:rsid w:val="00FA5E46"/>
    <w:rsid w:val="00FA5E47"/>
    <w:rsid w:val="00FA5EE8"/>
    <w:rsid w:val="00FA6022"/>
    <w:rsid w:val="00FA6499"/>
    <w:rsid w:val="00FA6560"/>
    <w:rsid w:val="00FA6AB3"/>
    <w:rsid w:val="00FA6CB0"/>
    <w:rsid w:val="00FA6DE1"/>
    <w:rsid w:val="00FA7DE8"/>
    <w:rsid w:val="00FB00E3"/>
    <w:rsid w:val="00FB01D1"/>
    <w:rsid w:val="00FB04DE"/>
    <w:rsid w:val="00FB0538"/>
    <w:rsid w:val="00FB0590"/>
    <w:rsid w:val="00FB08D5"/>
    <w:rsid w:val="00FB0C9A"/>
    <w:rsid w:val="00FB134C"/>
    <w:rsid w:val="00FB13E3"/>
    <w:rsid w:val="00FB15A9"/>
    <w:rsid w:val="00FB1FBF"/>
    <w:rsid w:val="00FB1FDE"/>
    <w:rsid w:val="00FB2288"/>
    <w:rsid w:val="00FB2491"/>
    <w:rsid w:val="00FB3387"/>
    <w:rsid w:val="00FB33AC"/>
    <w:rsid w:val="00FB33B3"/>
    <w:rsid w:val="00FB3864"/>
    <w:rsid w:val="00FB38B2"/>
    <w:rsid w:val="00FB3DA3"/>
    <w:rsid w:val="00FB42A8"/>
    <w:rsid w:val="00FB45A2"/>
    <w:rsid w:val="00FB488F"/>
    <w:rsid w:val="00FB50A0"/>
    <w:rsid w:val="00FB52E0"/>
    <w:rsid w:val="00FB5857"/>
    <w:rsid w:val="00FB5AF4"/>
    <w:rsid w:val="00FB5E53"/>
    <w:rsid w:val="00FB5FA2"/>
    <w:rsid w:val="00FB61F5"/>
    <w:rsid w:val="00FB655C"/>
    <w:rsid w:val="00FB6649"/>
    <w:rsid w:val="00FB6BDB"/>
    <w:rsid w:val="00FB6F9C"/>
    <w:rsid w:val="00FB700C"/>
    <w:rsid w:val="00FB72D2"/>
    <w:rsid w:val="00FB794B"/>
    <w:rsid w:val="00FB7AF1"/>
    <w:rsid w:val="00FC0044"/>
    <w:rsid w:val="00FC04B0"/>
    <w:rsid w:val="00FC061B"/>
    <w:rsid w:val="00FC0A84"/>
    <w:rsid w:val="00FC0E4E"/>
    <w:rsid w:val="00FC1271"/>
    <w:rsid w:val="00FC1326"/>
    <w:rsid w:val="00FC1967"/>
    <w:rsid w:val="00FC1CF8"/>
    <w:rsid w:val="00FC207E"/>
    <w:rsid w:val="00FC2088"/>
    <w:rsid w:val="00FC2291"/>
    <w:rsid w:val="00FC23D9"/>
    <w:rsid w:val="00FC2C86"/>
    <w:rsid w:val="00FC2CF7"/>
    <w:rsid w:val="00FC2F0E"/>
    <w:rsid w:val="00FC3143"/>
    <w:rsid w:val="00FC3C5D"/>
    <w:rsid w:val="00FC4065"/>
    <w:rsid w:val="00FC4397"/>
    <w:rsid w:val="00FC4B13"/>
    <w:rsid w:val="00FC4EAF"/>
    <w:rsid w:val="00FC507E"/>
    <w:rsid w:val="00FC569F"/>
    <w:rsid w:val="00FC57A0"/>
    <w:rsid w:val="00FC6309"/>
    <w:rsid w:val="00FC6347"/>
    <w:rsid w:val="00FC6383"/>
    <w:rsid w:val="00FC6A55"/>
    <w:rsid w:val="00FC6FC1"/>
    <w:rsid w:val="00FC704D"/>
    <w:rsid w:val="00FC7054"/>
    <w:rsid w:val="00FC76F9"/>
    <w:rsid w:val="00FC7AAD"/>
    <w:rsid w:val="00FC7C2F"/>
    <w:rsid w:val="00FC7C71"/>
    <w:rsid w:val="00FC7FA8"/>
    <w:rsid w:val="00FD0399"/>
    <w:rsid w:val="00FD0A49"/>
    <w:rsid w:val="00FD0BF5"/>
    <w:rsid w:val="00FD1528"/>
    <w:rsid w:val="00FD23A3"/>
    <w:rsid w:val="00FD240F"/>
    <w:rsid w:val="00FD259D"/>
    <w:rsid w:val="00FD265B"/>
    <w:rsid w:val="00FD2D4C"/>
    <w:rsid w:val="00FD3077"/>
    <w:rsid w:val="00FD3F3A"/>
    <w:rsid w:val="00FD4D27"/>
    <w:rsid w:val="00FD5641"/>
    <w:rsid w:val="00FD5725"/>
    <w:rsid w:val="00FD57C0"/>
    <w:rsid w:val="00FD5944"/>
    <w:rsid w:val="00FD5951"/>
    <w:rsid w:val="00FD5A0E"/>
    <w:rsid w:val="00FD5AB2"/>
    <w:rsid w:val="00FD5C6A"/>
    <w:rsid w:val="00FD5FD4"/>
    <w:rsid w:val="00FD68BF"/>
    <w:rsid w:val="00FD697E"/>
    <w:rsid w:val="00FD71ED"/>
    <w:rsid w:val="00FD737A"/>
    <w:rsid w:val="00FD79A9"/>
    <w:rsid w:val="00FE0012"/>
    <w:rsid w:val="00FE0041"/>
    <w:rsid w:val="00FE033B"/>
    <w:rsid w:val="00FE0412"/>
    <w:rsid w:val="00FE0B02"/>
    <w:rsid w:val="00FE0E5E"/>
    <w:rsid w:val="00FE1B8C"/>
    <w:rsid w:val="00FE1CBD"/>
    <w:rsid w:val="00FE2645"/>
    <w:rsid w:val="00FE2A90"/>
    <w:rsid w:val="00FE2B92"/>
    <w:rsid w:val="00FE2CE7"/>
    <w:rsid w:val="00FE31DE"/>
    <w:rsid w:val="00FE3385"/>
    <w:rsid w:val="00FE3FCF"/>
    <w:rsid w:val="00FE4939"/>
    <w:rsid w:val="00FE4A4C"/>
    <w:rsid w:val="00FE4BD3"/>
    <w:rsid w:val="00FE4E79"/>
    <w:rsid w:val="00FE510E"/>
    <w:rsid w:val="00FE69DD"/>
    <w:rsid w:val="00FE6CE5"/>
    <w:rsid w:val="00FE762D"/>
    <w:rsid w:val="00FE7E83"/>
    <w:rsid w:val="00FF022E"/>
    <w:rsid w:val="00FF0332"/>
    <w:rsid w:val="00FF0393"/>
    <w:rsid w:val="00FF0E94"/>
    <w:rsid w:val="00FF11BF"/>
    <w:rsid w:val="00FF125B"/>
    <w:rsid w:val="00FF1544"/>
    <w:rsid w:val="00FF1575"/>
    <w:rsid w:val="00FF1673"/>
    <w:rsid w:val="00FF1C9C"/>
    <w:rsid w:val="00FF200C"/>
    <w:rsid w:val="00FF25A4"/>
    <w:rsid w:val="00FF2BC4"/>
    <w:rsid w:val="00FF2C3B"/>
    <w:rsid w:val="00FF329A"/>
    <w:rsid w:val="00FF32D0"/>
    <w:rsid w:val="00FF3755"/>
    <w:rsid w:val="00FF3A47"/>
    <w:rsid w:val="00FF3BA2"/>
    <w:rsid w:val="00FF59EF"/>
    <w:rsid w:val="00FF610D"/>
    <w:rsid w:val="00FF6238"/>
    <w:rsid w:val="00FF63F0"/>
    <w:rsid w:val="00FF762F"/>
    <w:rsid w:val="00FF7727"/>
    <w:rsid w:val="00FF7D38"/>
    <w:rsid w:val="00FF7EF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BAFD3B2"/>
  <w15:docId w15:val="{B6A723FA-4C26-4C93-813F-C05172F79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01DC8"/>
    <w:pPr>
      <w:overflowPunct w:val="0"/>
      <w:autoSpaceDE w:val="0"/>
      <w:autoSpaceDN w:val="0"/>
      <w:adjustRightInd w:val="0"/>
      <w:textAlignment w:val="baseline"/>
    </w:pPr>
  </w:style>
  <w:style w:type="paragraph" w:styleId="Nadpis1">
    <w:name w:val="heading 1"/>
    <w:aliases w:val="h1,H1,Nadpis 1-Nadpis smlouvy,Základní kapitola,V_Head1,Záhlaví 1,0Überschrift 1,1Überschrift 1,2Überschrift 1,3Überschrift 1,4Überschrift 1,5Überschrift 1,6Überschrift 1,7Überschrift 1,8Überschrift 1,9Überschrift 1,10Überschrift 1,Clanek1"/>
    <w:basedOn w:val="Normln"/>
    <w:next w:val="Normln"/>
    <w:link w:val="Nadpis1Char"/>
    <w:uiPriority w:val="9"/>
    <w:qFormat/>
    <w:rsid w:val="000816D8"/>
    <w:pPr>
      <w:keepNext/>
      <w:pageBreakBefore/>
      <w:numPr>
        <w:numId w:val="1"/>
      </w:numPr>
      <w:overflowPunct/>
      <w:autoSpaceDE/>
      <w:autoSpaceDN/>
      <w:adjustRightInd/>
      <w:spacing w:before="120" w:after="240" w:line="276" w:lineRule="auto"/>
      <w:ind w:left="432"/>
      <w:jc w:val="both"/>
      <w:textAlignment w:val="auto"/>
      <w:outlineLvl w:val="0"/>
    </w:pPr>
    <w:rPr>
      <w:rFonts w:ascii="Calibri" w:hAnsi="Calibri"/>
      <w:b/>
      <w:bCs/>
      <w:smallCaps/>
      <w:kern w:val="32"/>
      <w:sz w:val="28"/>
      <w:szCs w:val="32"/>
    </w:rPr>
  </w:style>
  <w:style w:type="paragraph" w:styleId="Nadpis2">
    <w:name w:val="heading 2"/>
    <w:basedOn w:val="Normln"/>
    <w:next w:val="Normln"/>
    <w:link w:val="Nadpis2Char"/>
    <w:qFormat/>
    <w:rsid w:val="00EF5F81"/>
    <w:pPr>
      <w:keepNext/>
      <w:numPr>
        <w:ilvl w:val="1"/>
        <w:numId w:val="1"/>
      </w:numPr>
      <w:overflowPunct/>
      <w:autoSpaceDE/>
      <w:autoSpaceDN/>
      <w:adjustRightInd/>
      <w:spacing w:before="240" w:after="240" w:line="276" w:lineRule="auto"/>
      <w:jc w:val="both"/>
      <w:textAlignment w:val="auto"/>
      <w:outlineLvl w:val="1"/>
    </w:pPr>
    <w:rPr>
      <w:rFonts w:ascii="Calibri" w:hAnsi="Calibri"/>
      <w:b/>
      <w:bCs/>
      <w:iCs/>
      <w:sz w:val="26"/>
      <w:szCs w:val="28"/>
    </w:rPr>
  </w:style>
  <w:style w:type="paragraph" w:styleId="Nadpis3">
    <w:name w:val="heading 3"/>
    <w:basedOn w:val="Normln"/>
    <w:next w:val="Normln"/>
    <w:link w:val="Nadpis3Char"/>
    <w:uiPriority w:val="9"/>
    <w:qFormat/>
    <w:rsid w:val="00EA3457"/>
    <w:pPr>
      <w:keepNext/>
      <w:keepLines/>
      <w:numPr>
        <w:ilvl w:val="2"/>
        <w:numId w:val="1"/>
      </w:numPr>
      <w:overflowPunct/>
      <w:autoSpaceDE/>
      <w:autoSpaceDN/>
      <w:adjustRightInd/>
      <w:spacing w:before="240" w:after="240" w:line="276" w:lineRule="auto"/>
      <w:jc w:val="both"/>
      <w:textAlignment w:val="auto"/>
      <w:outlineLvl w:val="2"/>
    </w:pPr>
    <w:rPr>
      <w:rFonts w:ascii="Calibri" w:hAnsi="Calibri"/>
      <w:b/>
      <w:bCs/>
      <w:color w:val="365F91"/>
      <w:sz w:val="24"/>
    </w:rPr>
  </w:style>
  <w:style w:type="paragraph" w:styleId="Nadpis4">
    <w:name w:val="heading 4"/>
    <w:basedOn w:val="Normln"/>
    <w:next w:val="Normln"/>
    <w:link w:val="Nadpis4Char"/>
    <w:uiPriority w:val="9"/>
    <w:qFormat/>
    <w:rsid w:val="00B53D79"/>
    <w:pPr>
      <w:keepNext/>
      <w:keepLines/>
      <w:numPr>
        <w:ilvl w:val="3"/>
        <w:numId w:val="1"/>
      </w:numPr>
      <w:overflowPunct/>
      <w:autoSpaceDE/>
      <w:autoSpaceDN/>
      <w:adjustRightInd/>
      <w:spacing w:before="360" w:after="120" w:line="276" w:lineRule="auto"/>
      <w:jc w:val="both"/>
      <w:textAlignment w:val="auto"/>
      <w:outlineLvl w:val="3"/>
    </w:pPr>
    <w:rPr>
      <w:rFonts w:ascii="Calibri" w:hAnsi="Calibri"/>
      <w:b/>
      <w:bCs/>
      <w:i/>
      <w:iCs/>
      <w:sz w:val="24"/>
    </w:rPr>
  </w:style>
  <w:style w:type="paragraph" w:styleId="Nadpis5">
    <w:name w:val="heading 5"/>
    <w:basedOn w:val="Normln"/>
    <w:next w:val="Normln"/>
    <w:link w:val="Nadpis5Char"/>
    <w:uiPriority w:val="9"/>
    <w:qFormat/>
    <w:rsid w:val="008F72F4"/>
    <w:pPr>
      <w:keepNext/>
      <w:keepLines/>
      <w:numPr>
        <w:ilvl w:val="4"/>
        <w:numId w:val="1"/>
      </w:numPr>
      <w:overflowPunct/>
      <w:autoSpaceDE/>
      <w:autoSpaceDN/>
      <w:adjustRightInd/>
      <w:spacing w:before="200" w:after="120" w:line="276" w:lineRule="auto"/>
      <w:jc w:val="both"/>
      <w:textAlignment w:val="auto"/>
      <w:outlineLvl w:val="4"/>
    </w:pPr>
    <w:rPr>
      <w:rFonts w:ascii="Calibri" w:hAnsi="Calibri"/>
      <w:color w:val="365F91"/>
      <w:sz w:val="24"/>
    </w:rPr>
  </w:style>
  <w:style w:type="paragraph" w:styleId="Nadpis6">
    <w:name w:val="heading 6"/>
    <w:basedOn w:val="Normln"/>
    <w:next w:val="Normln"/>
    <w:link w:val="Nadpis6Char"/>
    <w:uiPriority w:val="9"/>
    <w:qFormat/>
    <w:rsid w:val="00F03E3C"/>
    <w:pPr>
      <w:keepNext/>
      <w:keepLines/>
      <w:numPr>
        <w:ilvl w:val="5"/>
        <w:numId w:val="1"/>
      </w:numPr>
      <w:overflowPunct/>
      <w:autoSpaceDE/>
      <w:autoSpaceDN/>
      <w:adjustRightInd/>
      <w:spacing w:before="200" w:line="276" w:lineRule="auto"/>
      <w:jc w:val="both"/>
      <w:textAlignment w:val="auto"/>
      <w:outlineLvl w:val="5"/>
    </w:pPr>
    <w:rPr>
      <w:rFonts w:ascii="Cambria" w:hAnsi="Cambria"/>
      <w:i/>
      <w:iCs/>
      <w:color w:val="243F60"/>
      <w:sz w:val="24"/>
    </w:rPr>
  </w:style>
  <w:style w:type="paragraph" w:styleId="Nadpis7">
    <w:name w:val="heading 7"/>
    <w:basedOn w:val="Normln"/>
    <w:next w:val="Normln"/>
    <w:link w:val="Nadpis7Char"/>
    <w:uiPriority w:val="9"/>
    <w:qFormat/>
    <w:rsid w:val="00F03E3C"/>
    <w:pPr>
      <w:keepNext/>
      <w:keepLines/>
      <w:numPr>
        <w:ilvl w:val="6"/>
        <w:numId w:val="1"/>
      </w:numPr>
      <w:overflowPunct/>
      <w:autoSpaceDE/>
      <w:autoSpaceDN/>
      <w:adjustRightInd/>
      <w:spacing w:before="200" w:line="276" w:lineRule="auto"/>
      <w:jc w:val="both"/>
      <w:textAlignment w:val="auto"/>
      <w:outlineLvl w:val="6"/>
    </w:pPr>
    <w:rPr>
      <w:rFonts w:ascii="Cambria" w:hAnsi="Cambria"/>
      <w:i/>
      <w:iCs/>
      <w:color w:val="404040"/>
      <w:sz w:val="24"/>
    </w:rPr>
  </w:style>
  <w:style w:type="paragraph" w:styleId="Nadpis8">
    <w:name w:val="heading 8"/>
    <w:basedOn w:val="Normln"/>
    <w:next w:val="Normln"/>
    <w:link w:val="Nadpis8Char"/>
    <w:uiPriority w:val="9"/>
    <w:qFormat/>
    <w:rsid w:val="00F03E3C"/>
    <w:pPr>
      <w:keepNext/>
      <w:keepLines/>
      <w:numPr>
        <w:ilvl w:val="7"/>
        <w:numId w:val="1"/>
      </w:numPr>
      <w:overflowPunct/>
      <w:autoSpaceDE/>
      <w:autoSpaceDN/>
      <w:adjustRightInd/>
      <w:spacing w:before="200" w:line="276" w:lineRule="auto"/>
      <w:jc w:val="both"/>
      <w:textAlignment w:val="auto"/>
      <w:outlineLvl w:val="7"/>
    </w:pPr>
    <w:rPr>
      <w:rFonts w:ascii="Cambria" w:hAnsi="Cambria"/>
      <w:color w:val="404040"/>
    </w:rPr>
  </w:style>
  <w:style w:type="paragraph" w:styleId="Nadpis9">
    <w:name w:val="heading 9"/>
    <w:basedOn w:val="Normln"/>
    <w:next w:val="Normln"/>
    <w:link w:val="Nadpis9Char"/>
    <w:uiPriority w:val="9"/>
    <w:qFormat/>
    <w:rsid w:val="00F03E3C"/>
    <w:pPr>
      <w:keepNext/>
      <w:keepLines/>
      <w:numPr>
        <w:ilvl w:val="8"/>
        <w:numId w:val="1"/>
      </w:numPr>
      <w:overflowPunct/>
      <w:autoSpaceDE/>
      <w:autoSpaceDN/>
      <w:adjustRightInd/>
      <w:spacing w:before="200" w:line="276" w:lineRule="auto"/>
      <w:jc w:val="both"/>
      <w:textAlignment w:val="auto"/>
      <w:outlineLvl w:val="8"/>
    </w:pPr>
    <w:rPr>
      <w:rFonts w:ascii="Cambria" w:hAnsi="Cambria"/>
      <w:i/>
      <w:iCs/>
      <w:color w:val="4040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1 Char,H1 Char,Nadpis 1-Nadpis smlouvy Char,Základní kapitola Char,V_Head1 Char,Záhlaví 1 Char,0Überschrift 1 Char,1Überschrift 1 Char,2Überschrift 1 Char,3Überschrift 1 Char,4Überschrift 1 Char,5Überschrift 1 Char,6Überschrift 1 Char"/>
    <w:link w:val="Nadpis1"/>
    <w:uiPriority w:val="9"/>
    <w:rsid w:val="000816D8"/>
    <w:rPr>
      <w:rFonts w:ascii="Calibri" w:hAnsi="Calibri"/>
      <w:b/>
      <w:bCs/>
      <w:smallCaps/>
      <w:kern w:val="32"/>
      <w:sz w:val="28"/>
      <w:szCs w:val="32"/>
    </w:rPr>
  </w:style>
  <w:style w:type="character" w:customStyle="1" w:styleId="Nadpis2Char">
    <w:name w:val="Nadpis 2 Char"/>
    <w:link w:val="Nadpis2"/>
    <w:rsid w:val="00EF5F81"/>
    <w:rPr>
      <w:rFonts w:ascii="Calibri" w:hAnsi="Calibri"/>
      <w:b/>
      <w:bCs/>
      <w:iCs/>
      <w:sz w:val="26"/>
      <w:szCs w:val="28"/>
    </w:rPr>
  </w:style>
  <w:style w:type="character" w:customStyle="1" w:styleId="Nadpis3Char">
    <w:name w:val="Nadpis 3 Char"/>
    <w:link w:val="Nadpis3"/>
    <w:uiPriority w:val="9"/>
    <w:rsid w:val="00EA3457"/>
    <w:rPr>
      <w:rFonts w:ascii="Calibri" w:hAnsi="Calibri"/>
      <w:b/>
      <w:bCs/>
      <w:color w:val="365F91"/>
      <w:sz w:val="24"/>
    </w:rPr>
  </w:style>
  <w:style w:type="character" w:customStyle="1" w:styleId="Nadpis4Char">
    <w:name w:val="Nadpis 4 Char"/>
    <w:link w:val="Nadpis4"/>
    <w:uiPriority w:val="9"/>
    <w:rsid w:val="00B53D79"/>
    <w:rPr>
      <w:rFonts w:ascii="Calibri" w:hAnsi="Calibri"/>
      <w:b/>
      <w:bCs/>
      <w:i/>
      <w:iCs/>
      <w:sz w:val="24"/>
    </w:rPr>
  </w:style>
  <w:style w:type="character" w:customStyle="1" w:styleId="Nadpis5Char">
    <w:name w:val="Nadpis 5 Char"/>
    <w:link w:val="Nadpis5"/>
    <w:uiPriority w:val="9"/>
    <w:rsid w:val="008F72F4"/>
    <w:rPr>
      <w:rFonts w:ascii="Calibri" w:hAnsi="Calibri"/>
      <w:color w:val="365F91"/>
      <w:sz w:val="24"/>
    </w:rPr>
  </w:style>
  <w:style w:type="character" w:customStyle="1" w:styleId="Nadpis6Char">
    <w:name w:val="Nadpis 6 Char"/>
    <w:link w:val="Nadpis6"/>
    <w:uiPriority w:val="9"/>
    <w:rsid w:val="00F03E3C"/>
    <w:rPr>
      <w:rFonts w:ascii="Cambria" w:hAnsi="Cambria"/>
      <w:i/>
      <w:iCs/>
      <w:color w:val="243F60"/>
      <w:sz w:val="24"/>
    </w:rPr>
  </w:style>
  <w:style w:type="character" w:customStyle="1" w:styleId="Nadpis7Char">
    <w:name w:val="Nadpis 7 Char"/>
    <w:link w:val="Nadpis7"/>
    <w:uiPriority w:val="9"/>
    <w:rsid w:val="00F03E3C"/>
    <w:rPr>
      <w:rFonts w:ascii="Cambria" w:hAnsi="Cambria"/>
      <w:i/>
      <w:iCs/>
      <w:color w:val="404040"/>
      <w:sz w:val="24"/>
    </w:rPr>
  </w:style>
  <w:style w:type="character" w:customStyle="1" w:styleId="Nadpis8Char">
    <w:name w:val="Nadpis 8 Char"/>
    <w:link w:val="Nadpis8"/>
    <w:uiPriority w:val="9"/>
    <w:rsid w:val="00F03E3C"/>
    <w:rPr>
      <w:rFonts w:ascii="Cambria" w:hAnsi="Cambria"/>
      <w:color w:val="404040"/>
    </w:rPr>
  </w:style>
  <w:style w:type="character" w:customStyle="1" w:styleId="Nadpis9Char">
    <w:name w:val="Nadpis 9 Char"/>
    <w:link w:val="Nadpis9"/>
    <w:uiPriority w:val="9"/>
    <w:rsid w:val="00F03E3C"/>
    <w:rPr>
      <w:rFonts w:ascii="Cambria" w:hAnsi="Cambria"/>
      <w:i/>
      <w:iCs/>
      <w:color w:val="404040"/>
    </w:rPr>
  </w:style>
  <w:style w:type="paragraph" w:customStyle="1" w:styleId="Odstavecseseznamem1">
    <w:name w:val="Odstavec se seznamem1"/>
    <w:aliases w:val="Odstavec_muj"/>
    <w:basedOn w:val="Normln"/>
    <w:link w:val="OdstavecseseznamemChar"/>
    <w:uiPriority w:val="99"/>
    <w:qFormat/>
    <w:rsid w:val="00FB5FA2"/>
    <w:pPr>
      <w:ind w:left="720"/>
      <w:contextualSpacing/>
    </w:pPr>
  </w:style>
  <w:style w:type="paragraph" w:styleId="Titulek">
    <w:name w:val="caption"/>
    <w:basedOn w:val="Normln"/>
    <w:next w:val="Normln"/>
    <w:qFormat/>
    <w:rsid w:val="007C3506"/>
    <w:pPr>
      <w:spacing w:before="240" w:after="120"/>
      <w:jc w:val="both"/>
    </w:pPr>
    <w:rPr>
      <w:rFonts w:ascii="Calibri" w:hAnsi="Calibri"/>
      <w:b/>
      <w:bCs/>
      <w:color w:val="4F81BD"/>
      <w:sz w:val="24"/>
      <w:szCs w:val="18"/>
    </w:rPr>
  </w:style>
  <w:style w:type="character" w:styleId="Znakapoznpodarou">
    <w:name w:val="footnote reference"/>
    <w:aliases w:val="BVI fnr,Footnote symbol,Footnote Reference Number,PGI Fußnote Ziffer,Footnote Reference Superscript,Appel note de bas de p,Appel note de bas de page,Légende,Char Car Car Car Car,Voetnootverwijzing,Légende;Char Car Car Car Car,fr"/>
    <w:uiPriority w:val="99"/>
    <w:rsid w:val="00F03E3C"/>
    <w:rPr>
      <w:vertAlign w:val="superscript"/>
    </w:rPr>
  </w:style>
  <w:style w:type="character" w:customStyle="1" w:styleId="ZkladntextChar">
    <w:name w:val="Základní text Char"/>
    <w:aliases w:val="Standard paragraph Char,Body Text1 Char,Char1 Char,Základní text Char Char Char Char Char Char Char"/>
    <w:link w:val="Zkladntext"/>
    <w:locked/>
    <w:rsid w:val="00F03E3C"/>
    <w:rPr>
      <w:b/>
      <w:bCs/>
      <w:sz w:val="24"/>
    </w:rPr>
  </w:style>
  <w:style w:type="paragraph" w:styleId="Zkladntext">
    <w:name w:val="Body Text"/>
    <w:aliases w:val="Standard paragraph,Body Text1,Char1,Základní text Char Char Char Char Char Char"/>
    <w:basedOn w:val="Normln"/>
    <w:link w:val="ZkladntextChar"/>
    <w:unhideWhenUsed/>
    <w:rsid w:val="00F03E3C"/>
    <w:pPr>
      <w:jc w:val="both"/>
      <w:textAlignment w:val="auto"/>
    </w:pPr>
    <w:rPr>
      <w:b/>
      <w:bCs/>
      <w:sz w:val="24"/>
    </w:rPr>
  </w:style>
  <w:style w:type="character" w:customStyle="1" w:styleId="ZkladntextChar1">
    <w:name w:val="Základní text Char1"/>
    <w:basedOn w:val="Standardnpsmoodstavce"/>
    <w:uiPriority w:val="99"/>
    <w:semiHidden/>
    <w:rsid w:val="00F03E3C"/>
  </w:style>
  <w:style w:type="paragraph" w:styleId="Obsah1">
    <w:name w:val="toc 1"/>
    <w:basedOn w:val="Normln"/>
    <w:next w:val="Normln"/>
    <w:autoRedefine/>
    <w:uiPriority w:val="39"/>
    <w:unhideWhenUsed/>
    <w:rsid w:val="002E4CA7"/>
    <w:pPr>
      <w:overflowPunct/>
      <w:autoSpaceDE/>
      <w:autoSpaceDN/>
      <w:adjustRightInd/>
      <w:spacing w:before="200" w:after="100" w:line="276" w:lineRule="auto"/>
      <w:jc w:val="both"/>
      <w:textAlignment w:val="auto"/>
    </w:pPr>
    <w:rPr>
      <w:rFonts w:ascii="Calibri" w:hAnsi="Calibri"/>
      <w:b/>
      <w:sz w:val="24"/>
    </w:rPr>
  </w:style>
  <w:style w:type="paragraph" w:styleId="Obsah3">
    <w:name w:val="toc 3"/>
    <w:basedOn w:val="Normln"/>
    <w:next w:val="Normln"/>
    <w:autoRedefine/>
    <w:uiPriority w:val="39"/>
    <w:unhideWhenUsed/>
    <w:rsid w:val="009031E4"/>
    <w:pPr>
      <w:tabs>
        <w:tab w:val="left" w:pos="1320"/>
        <w:tab w:val="right" w:leader="dot" w:pos="9202"/>
      </w:tabs>
      <w:overflowPunct/>
      <w:autoSpaceDE/>
      <w:autoSpaceDN/>
      <w:adjustRightInd/>
      <w:spacing w:before="200" w:after="100" w:line="276" w:lineRule="auto"/>
      <w:ind w:left="480"/>
      <w:jc w:val="both"/>
      <w:textAlignment w:val="auto"/>
    </w:pPr>
    <w:rPr>
      <w:rFonts w:ascii="Calibri" w:hAnsi="Calibri"/>
      <w:i/>
      <w:noProof/>
      <w:sz w:val="24"/>
    </w:rPr>
  </w:style>
  <w:style w:type="paragraph" w:styleId="Obsah2">
    <w:name w:val="toc 2"/>
    <w:basedOn w:val="Normln"/>
    <w:next w:val="Normln"/>
    <w:autoRedefine/>
    <w:uiPriority w:val="39"/>
    <w:unhideWhenUsed/>
    <w:rsid w:val="00F03E3C"/>
    <w:pPr>
      <w:overflowPunct/>
      <w:autoSpaceDE/>
      <w:autoSpaceDN/>
      <w:adjustRightInd/>
      <w:spacing w:before="200" w:after="100" w:line="276" w:lineRule="auto"/>
      <w:ind w:left="240"/>
      <w:jc w:val="both"/>
      <w:textAlignment w:val="auto"/>
    </w:pPr>
    <w:rPr>
      <w:rFonts w:ascii="Calibri" w:hAnsi="Calibri"/>
      <w:sz w:val="24"/>
    </w:rPr>
  </w:style>
  <w:style w:type="character" w:styleId="Hypertextovodkaz">
    <w:name w:val="Hyperlink"/>
    <w:uiPriority w:val="99"/>
    <w:unhideWhenUsed/>
    <w:rsid w:val="00F03E3C"/>
    <w:rPr>
      <w:color w:val="0000FF"/>
      <w:u w:val="single"/>
    </w:rPr>
  </w:style>
  <w:style w:type="paragraph" w:customStyle="1" w:styleId="Point0number">
    <w:name w:val="Point 0 (number)"/>
    <w:basedOn w:val="Normln"/>
    <w:rsid w:val="00F03E3C"/>
    <w:pPr>
      <w:tabs>
        <w:tab w:val="num" w:pos="850"/>
      </w:tabs>
      <w:overflowPunct/>
      <w:autoSpaceDE/>
      <w:autoSpaceDN/>
      <w:adjustRightInd/>
      <w:spacing w:before="120" w:after="120"/>
      <w:ind w:left="850" w:hanging="850"/>
      <w:jc w:val="both"/>
      <w:textAlignment w:val="auto"/>
    </w:pPr>
    <w:rPr>
      <w:sz w:val="24"/>
      <w:szCs w:val="24"/>
      <w:lang w:val="en-GB" w:eastAsia="en-US"/>
    </w:rPr>
  </w:style>
  <w:style w:type="paragraph" w:customStyle="1" w:styleId="Point1number">
    <w:name w:val="Point 1 (number)"/>
    <w:basedOn w:val="Normln"/>
    <w:rsid w:val="00F03E3C"/>
    <w:pPr>
      <w:tabs>
        <w:tab w:val="num" w:pos="1417"/>
      </w:tabs>
      <w:overflowPunct/>
      <w:autoSpaceDE/>
      <w:autoSpaceDN/>
      <w:adjustRightInd/>
      <w:spacing w:before="120" w:after="120"/>
      <w:ind w:left="1417" w:hanging="567"/>
      <w:jc w:val="both"/>
      <w:textAlignment w:val="auto"/>
    </w:pPr>
    <w:rPr>
      <w:sz w:val="24"/>
      <w:szCs w:val="24"/>
      <w:lang w:val="en-GB" w:eastAsia="en-US"/>
    </w:rPr>
  </w:style>
  <w:style w:type="paragraph" w:customStyle="1" w:styleId="Point2number">
    <w:name w:val="Point 2 (number)"/>
    <w:basedOn w:val="Normln"/>
    <w:rsid w:val="00F03E3C"/>
    <w:pPr>
      <w:tabs>
        <w:tab w:val="num" w:pos="1984"/>
      </w:tabs>
      <w:overflowPunct/>
      <w:autoSpaceDE/>
      <w:autoSpaceDN/>
      <w:adjustRightInd/>
      <w:spacing w:before="120" w:after="120"/>
      <w:ind w:left="1984" w:hanging="567"/>
      <w:jc w:val="both"/>
      <w:textAlignment w:val="auto"/>
    </w:pPr>
    <w:rPr>
      <w:sz w:val="24"/>
      <w:szCs w:val="24"/>
      <w:lang w:val="en-GB" w:eastAsia="en-US"/>
    </w:rPr>
  </w:style>
  <w:style w:type="paragraph" w:customStyle="1" w:styleId="Point3number">
    <w:name w:val="Point 3 (number)"/>
    <w:basedOn w:val="Normln"/>
    <w:rsid w:val="00F03E3C"/>
    <w:pPr>
      <w:tabs>
        <w:tab w:val="num" w:pos="2551"/>
      </w:tabs>
      <w:overflowPunct/>
      <w:autoSpaceDE/>
      <w:autoSpaceDN/>
      <w:adjustRightInd/>
      <w:spacing w:before="120" w:after="120"/>
      <w:ind w:left="2551" w:hanging="567"/>
      <w:jc w:val="both"/>
      <w:textAlignment w:val="auto"/>
    </w:pPr>
    <w:rPr>
      <w:sz w:val="24"/>
      <w:szCs w:val="24"/>
      <w:lang w:val="en-GB" w:eastAsia="en-US"/>
    </w:rPr>
  </w:style>
  <w:style w:type="paragraph" w:customStyle="1" w:styleId="Point0letter">
    <w:name w:val="Point 0 (letter)"/>
    <w:basedOn w:val="Normln"/>
    <w:rsid w:val="00F03E3C"/>
    <w:pPr>
      <w:tabs>
        <w:tab w:val="num" w:pos="850"/>
      </w:tabs>
      <w:overflowPunct/>
      <w:autoSpaceDE/>
      <w:autoSpaceDN/>
      <w:adjustRightInd/>
      <w:spacing w:before="120" w:after="120"/>
      <w:ind w:left="850" w:hanging="850"/>
      <w:jc w:val="both"/>
      <w:textAlignment w:val="auto"/>
    </w:pPr>
    <w:rPr>
      <w:sz w:val="24"/>
      <w:szCs w:val="24"/>
      <w:lang w:val="en-GB" w:eastAsia="en-US"/>
    </w:rPr>
  </w:style>
  <w:style w:type="paragraph" w:customStyle="1" w:styleId="Point1letter">
    <w:name w:val="Point 1 (letter)"/>
    <w:basedOn w:val="Normln"/>
    <w:rsid w:val="00F03E3C"/>
    <w:pPr>
      <w:tabs>
        <w:tab w:val="num" w:pos="1417"/>
      </w:tabs>
      <w:overflowPunct/>
      <w:autoSpaceDE/>
      <w:autoSpaceDN/>
      <w:adjustRightInd/>
      <w:spacing w:before="120" w:after="120"/>
      <w:ind w:left="1417" w:hanging="567"/>
      <w:jc w:val="both"/>
      <w:textAlignment w:val="auto"/>
    </w:pPr>
    <w:rPr>
      <w:sz w:val="24"/>
      <w:szCs w:val="24"/>
      <w:lang w:val="en-GB" w:eastAsia="en-US"/>
    </w:rPr>
  </w:style>
  <w:style w:type="paragraph" w:customStyle="1" w:styleId="Point2letter">
    <w:name w:val="Point 2 (letter)"/>
    <w:basedOn w:val="Normln"/>
    <w:rsid w:val="00F03E3C"/>
    <w:pPr>
      <w:tabs>
        <w:tab w:val="num" w:pos="1984"/>
      </w:tabs>
      <w:overflowPunct/>
      <w:autoSpaceDE/>
      <w:autoSpaceDN/>
      <w:adjustRightInd/>
      <w:spacing w:before="120" w:after="120"/>
      <w:ind w:left="1984" w:hanging="567"/>
      <w:jc w:val="both"/>
      <w:textAlignment w:val="auto"/>
    </w:pPr>
    <w:rPr>
      <w:sz w:val="24"/>
      <w:szCs w:val="24"/>
      <w:lang w:val="en-GB" w:eastAsia="en-US"/>
    </w:rPr>
  </w:style>
  <w:style w:type="paragraph" w:customStyle="1" w:styleId="Point3letter">
    <w:name w:val="Point 3 (letter)"/>
    <w:basedOn w:val="Normln"/>
    <w:rsid w:val="00F03E3C"/>
    <w:pPr>
      <w:tabs>
        <w:tab w:val="num" w:pos="2551"/>
      </w:tabs>
      <w:overflowPunct/>
      <w:autoSpaceDE/>
      <w:autoSpaceDN/>
      <w:adjustRightInd/>
      <w:spacing w:before="120" w:after="120"/>
      <w:ind w:left="2551" w:hanging="567"/>
      <w:jc w:val="both"/>
      <w:textAlignment w:val="auto"/>
    </w:pPr>
    <w:rPr>
      <w:sz w:val="24"/>
      <w:szCs w:val="24"/>
      <w:lang w:val="en-GB" w:eastAsia="en-US"/>
    </w:rPr>
  </w:style>
  <w:style w:type="paragraph" w:customStyle="1" w:styleId="Point4letter">
    <w:name w:val="Point 4 (letter)"/>
    <w:basedOn w:val="Normln"/>
    <w:rsid w:val="00F03E3C"/>
    <w:pPr>
      <w:tabs>
        <w:tab w:val="num" w:pos="3118"/>
      </w:tabs>
      <w:overflowPunct/>
      <w:autoSpaceDE/>
      <w:autoSpaceDN/>
      <w:adjustRightInd/>
      <w:spacing w:before="120" w:after="120"/>
      <w:ind w:left="3118" w:hanging="567"/>
      <w:jc w:val="both"/>
      <w:textAlignment w:val="auto"/>
    </w:pPr>
    <w:rPr>
      <w:sz w:val="24"/>
      <w:szCs w:val="24"/>
      <w:lang w:val="en-GB" w:eastAsia="en-US"/>
    </w:rPr>
  </w:style>
  <w:style w:type="paragraph" w:styleId="Normlnweb">
    <w:name w:val="Normal (Web)"/>
    <w:basedOn w:val="Normln"/>
    <w:uiPriority w:val="99"/>
    <w:unhideWhenUsed/>
    <w:rsid w:val="00F03E3C"/>
    <w:pPr>
      <w:overflowPunct/>
      <w:autoSpaceDE/>
      <w:autoSpaceDN/>
      <w:adjustRightInd/>
      <w:spacing w:before="100" w:beforeAutospacing="1" w:after="100" w:afterAutospacing="1"/>
      <w:textAlignment w:val="auto"/>
    </w:pPr>
    <w:rPr>
      <w:sz w:val="24"/>
      <w:szCs w:val="24"/>
    </w:rPr>
  </w:style>
  <w:style w:type="paragraph" w:customStyle="1" w:styleId="beznytext">
    <w:name w:val="bezny_text"/>
    <w:basedOn w:val="Normln"/>
    <w:rsid w:val="00F03E3C"/>
    <w:pPr>
      <w:overflowPunct/>
      <w:autoSpaceDE/>
      <w:autoSpaceDN/>
      <w:adjustRightInd/>
      <w:spacing w:before="100" w:beforeAutospacing="1" w:after="100" w:afterAutospacing="1"/>
      <w:textAlignment w:val="auto"/>
    </w:pPr>
    <w:rPr>
      <w:sz w:val="24"/>
      <w:szCs w:val="24"/>
    </w:rPr>
  </w:style>
  <w:style w:type="paragraph" w:styleId="Bezmezer">
    <w:name w:val="No Spacing"/>
    <w:link w:val="BezmezerChar"/>
    <w:uiPriority w:val="1"/>
    <w:qFormat/>
    <w:rsid w:val="00F03E3C"/>
    <w:rPr>
      <w:rFonts w:ascii="Calibri" w:hAnsi="Calibri"/>
      <w:sz w:val="22"/>
      <w:szCs w:val="22"/>
    </w:rPr>
  </w:style>
  <w:style w:type="character" w:customStyle="1" w:styleId="BezmezerChar">
    <w:name w:val="Bez mezer Char"/>
    <w:link w:val="Bezmezer"/>
    <w:uiPriority w:val="1"/>
    <w:rsid w:val="00F03E3C"/>
    <w:rPr>
      <w:rFonts w:ascii="Calibri" w:hAnsi="Calibri"/>
      <w:sz w:val="22"/>
      <w:szCs w:val="22"/>
      <w:lang w:bidi="ar-SA"/>
    </w:rPr>
  </w:style>
  <w:style w:type="paragraph" w:styleId="Zhlav">
    <w:name w:val="header"/>
    <w:basedOn w:val="Normln"/>
    <w:link w:val="ZhlavChar"/>
    <w:uiPriority w:val="99"/>
    <w:unhideWhenUsed/>
    <w:rsid w:val="00F03E3C"/>
    <w:pPr>
      <w:tabs>
        <w:tab w:val="center" w:pos="4536"/>
        <w:tab w:val="right" w:pos="9072"/>
      </w:tabs>
      <w:overflowPunct/>
      <w:autoSpaceDE/>
      <w:autoSpaceDN/>
      <w:adjustRightInd/>
      <w:jc w:val="both"/>
      <w:textAlignment w:val="auto"/>
    </w:pPr>
    <w:rPr>
      <w:rFonts w:ascii="Calibri" w:hAnsi="Calibri"/>
      <w:sz w:val="24"/>
    </w:rPr>
  </w:style>
  <w:style w:type="character" w:customStyle="1" w:styleId="ZhlavChar">
    <w:name w:val="Záhlaví Char"/>
    <w:link w:val="Zhlav"/>
    <w:uiPriority w:val="99"/>
    <w:rsid w:val="00F03E3C"/>
    <w:rPr>
      <w:rFonts w:ascii="Calibri" w:hAnsi="Calibri"/>
      <w:sz w:val="24"/>
    </w:rPr>
  </w:style>
  <w:style w:type="paragraph" w:styleId="Zpat">
    <w:name w:val="footer"/>
    <w:basedOn w:val="Normln"/>
    <w:link w:val="ZpatChar"/>
    <w:uiPriority w:val="99"/>
    <w:unhideWhenUsed/>
    <w:rsid w:val="00F03E3C"/>
    <w:pPr>
      <w:tabs>
        <w:tab w:val="center" w:pos="4536"/>
        <w:tab w:val="right" w:pos="9072"/>
      </w:tabs>
      <w:overflowPunct/>
      <w:autoSpaceDE/>
      <w:autoSpaceDN/>
      <w:adjustRightInd/>
      <w:jc w:val="both"/>
      <w:textAlignment w:val="auto"/>
    </w:pPr>
    <w:rPr>
      <w:rFonts w:ascii="Calibri" w:hAnsi="Calibri"/>
      <w:sz w:val="24"/>
    </w:rPr>
  </w:style>
  <w:style w:type="character" w:customStyle="1" w:styleId="ZpatChar">
    <w:name w:val="Zápatí Char"/>
    <w:link w:val="Zpat"/>
    <w:uiPriority w:val="99"/>
    <w:rsid w:val="00F03E3C"/>
    <w:rPr>
      <w:rFonts w:ascii="Calibri" w:hAnsi="Calibri"/>
      <w:sz w:val="24"/>
    </w:rPr>
  </w:style>
  <w:style w:type="character" w:customStyle="1" w:styleId="TextbublinyChar">
    <w:name w:val="Text bubliny Char"/>
    <w:link w:val="Textbubliny"/>
    <w:uiPriority w:val="99"/>
    <w:semiHidden/>
    <w:rsid w:val="00F03E3C"/>
    <w:rPr>
      <w:rFonts w:ascii="Tahoma" w:hAnsi="Tahoma" w:cs="Tahoma"/>
      <w:sz w:val="16"/>
      <w:szCs w:val="16"/>
    </w:rPr>
  </w:style>
  <w:style w:type="paragraph" w:styleId="Textbubliny">
    <w:name w:val="Balloon Text"/>
    <w:basedOn w:val="Normln"/>
    <w:link w:val="TextbublinyChar"/>
    <w:uiPriority w:val="99"/>
    <w:semiHidden/>
    <w:unhideWhenUsed/>
    <w:rsid w:val="00F03E3C"/>
    <w:pPr>
      <w:overflowPunct/>
      <w:autoSpaceDE/>
      <w:autoSpaceDN/>
      <w:adjustRightInd/>
      <w:jc w:val="both"/>
      <w:textAlignment w:val="auto"/>
    </w:pPr>
    <w:rPr>
      <w:rFonts w:ascii="Tahoma" w:hAnsi="Tahoma"/>
      <w:sz w:val="16"/>
      <w:szCs w:val="16"/>
    </w:rPr>
  </w:style>
  <w:style w:type="character" w:customStyle="1" w:styleId="TextkomenteChar">
    <w:name w:val="Text komentáře Char"/>
    <w:link w:val="Textkomente"/>
    <w:uiPriority w:val="99"/>
    <w:rsid w:val="00F03E3C"/>
    <w:rPr>
      <w:rFonts w:ascii="Calibri" w:hAnsi="Calibri"/>
    </w:rPr>
  </w:style>
  <w:style w:type="paragraph" w:styleId="Textkomente">
    <w:name w:val="annotation text"/>
    <w:basedOn w:val="Normln"/>
    <w:link w:val="TextkomenteChar"/>
    <w:uiPriority w:val="99"/>
    <w:unhideWhenUsed/>
    <w:rsid w:val="00F03E3C"/>
    <w:pPr>
      <w:overflowPunct/>
      <w:autoSpaceDE/>
      <w:autoSpaceDN/>
      <w:adjustRightInd/>
      <w:spacing w:before="200" w:after="200"/>
      <w:jc w:val="both"/>
      <w:textAlignment w:val="auto"/>
    </w:pPr>
    <w:rPr>
      <w:rFonts w:ascii="Calibri" w:hAnsi="Calibri"/>
    </w:rPr>
  </w:style>
  <w:style w:type="character" w:customStyle="1" w:styleId="PedmtkomenteChar">
    <w:name w:val="Předmět komentáře Char"/>
    <w:link w:val="Pedmtkomente"/>
    <w:uiPriority w:val="99"/>
    <w:semiHidden/>
    <w:rsid w:val="00F03E3C"/>
    <w:rPr>
      <w:rFonts w:ascii="Calibri" w:hAnsi="Calibri"/>
      <w:b/>
      <w:bCs/>
    </w:rPr>
  </w:style>
  <w:style w:type="paragraph" w:styleId="Pedmtkomente">
    <w:name w:val="annotation subject"/>
    <w:basedOn w:val="Textkomente"/>
    <w:next w:val="Textkomente"/>
    <w:link w:val="PedmtkomenteChar"/>
    <w:uiPriority w:val="99"/>
    <w:semiHidden/>
    <w:unhideWhenUsed/>
    <w:rsid w:val="00F03E3C"/>
    <w:rPr>
      <w:b/>
      <w:bCs/>
    </w:rPr>
  </w:style>
  <w:style w:type="paragraph" w:customStyle="1" w:styleId="Zdroj">
    <w:name w:val="Zdroj"/>
    <w:basedOn w:val="Normln"/>
    <w:next w:val="Normln"/>
    <w:link w:val="ZdrojChar"/>
    <w:rsid w:val="00F03E3C"/>
    <w:pPr>
      <w:overflowPunct/>
      <w:autoSpaceDE/>
      <w:autoSpaceDN/>
      <w:adjustRightInd/>
      <w:spacing w:after="120" w:line="288" w:lineRule="auto"/>
      <w:jc w:val="both"/>
      <w:textAlignment w:val="auto"/>
    </w:pPr>
    <w:rPr>
      <w:rFonts w:ascii="Arial" w:hAnsi="Arial"/>
      <w:sz w:val="18"/>
      <w:szCs w:val="24"/>
    </w:rPr>
  </w:style>
  <w:style w:type="character" w:customStyle="1" w:styleId="ZdrojChar">
    <w:name w:val="Zdroj Char"/>
    <w:link w:val="Zdroj"/>
    <w:rsid w:val="00F03E3C"/>
    <w:rPr>
      <w:rFonts w:ascii="Arial" w:hAnsi="Arial"/>
      <w:sz w:val="18"/>
      <w:szCs w:val="24"/>
    </w:rPr>
  </w:style>
  <w:style w:type="paragraph" w:styleId="Nzev">
    <w:name w:val="Title"/>
    <w:basedOn w:val="Normln"/>
    <w:link w:val="NzevChar"/>
    <w:qFormat/>
    <w:rsid w:val="00F03E3C"/>
    <w:pPr>
      <w:jc w:val="center"/>
    </w:pPr>
    <w:rPr>
      <w:b/>
      <w:bCs/>
      <w:sz w:val="24"/>
    </w:rPr>
  </w:style>
  <w:style w:type="character" w:customStyle="1" w:styleId="NzevChar">
    <w:name w:val="Název Char"/>
    <w:link w:val="Nzev"/>
    <w:rsid w:val="00F03E3C"/>
    <w:rPr>
      <w:b/>
      <w:bCs/>
      <w:sz w:val="24"/>
    </w:rPr>
  </w:style>
  <w:style w:type="paragraph" w:customStyle="1" w:styleId="OdrazkaIsouhlas">
    <w:name w:val="Odrazka_I_souhlas"/>
    <w:basedOn w:val="Normln"/>
    <w:rsid w:val="00F03E3C"/>
    <w:pPr>
      <w:tabs>
        <w:tab w:val="left" w:pos="284"/>
      </w:tabs>
      <w:overflowPunct/>
      <w:autoSpaceDE/>
      <w:autoSpaceDN/>
      <w:adjustRightInd/>
      <w:spacing w:before="40" w:after="40"/>
      <w:ind w:left="1069" w:hanging="360"/>
      <w:textAlignment w:val="auto"/>
    </w:pPr>
    <w:rPr>
      <w:rFonts w:ascii="Arial" w:hAnsi="Arial" w:cs="Arial"/>
    </w:rPr>
  </w:style>
  <w:style w:type="paragraph" w:customStyle="1" w:styleId="Default">
    <w:name w:val="Default"/>
    <w:link w:val="DefaultChar"/>
    <w:rsid w:val="00F03E3C"/>
    <w:pPr>
      <w:tabs>
        <w:tab w:val="left" w:pos="708"/>
      </w:tabs>
      <w:suppressAutoHyphens/>
      <w:overflowPunct w:val="0"/>
      <w:autoSpaceDE w:val="0"/>
      <w:spacing w:line="200" w:lineRule="atLeast"/>
      <w:textAlignment w:val="baseline"/>
    </w:pPr>
    <w:rPr>
      <w:rFonts w:ascii="Calibri" w:eastAsia="MS Mincho" w:hAnsi="Calibri" w:cs="Calibri"/>
      <w:lang w:eastAsia="en-US"/>
    </w:rPr>
  </w:style>
  <w:style w:type="paragraph" w:customStyle="1" w:styleId="bezmezer1">
    <w:name w:val="bezmezer1"/>
    <w:basedOn w:val="Bezmezer"/>
    <w:qFormat/>
    <w:rsid w:val="00F03E3C"/>
    <w:rPr>
      <w:rFonts w:ascii="Times New Roman" w:eastAsia="Calibri" w:hAnsi="Times New Roman"/>
      <w:sz w:val="24"/>
      <w:szCs w:val="24"/>
      <w:lang w:eastAsia="en-US"/>
    </w:rPr>
  </w:style>
  <w:style w:type="paragraph" w:styleId="Zkladntext3">
    <w:name w:val="Body Text 3"/>
    <w:basedOn w:val="Normln"/>
    <w:link w:val="Zkladntext3Char"/>
    <w:uiPriority w:val="99"/>
    <w:semiHidden/>
    <w:unhideWhenUsed/>
    <w:rsid w:val="00F03E3C"/>
    <w:pPr>
      <w:overflowPunct/>
      <w:autoSpaceDE/>
      <w:autoSpaceDN/>
      <w:adjustRightInd/>
      <w:spacing w:before="200" w:after="120" w:line="276" w:lineRule="auto"/>
      <w:jc w:val="both"/>
      <w:textAlignment w:val="auto"/>
    </w:pPr>
    <w:rPr>
      <w:rFonts w:ascii="Calibri" w:hAnsi="Calibri"/>
      <w:sz w:val="16"/>
      <w:szCs w:val="16"/>
    </w:rPr>
  </w:style>
  <w:style w:type="character" w:customStyle="1" w:styleId="Zkladntext3Char">
    <w:name w:val="Základní text 3 Char"/>
    <w:link w:val="Zkladntext3"/>
    <w:uiPriority w:val="99"/>
    <w:semiHidden/>
    <w:rsid w:val="00F03E3C"/>
    <w:rPr>
      <w:rFonts w:ascii="Calibri" w:hAnsi="Calibri"/>
      <w:sz w:val="16"/>
      <w:szCs w:val="16"/>
    </w:rPr>
  </w:style>
  <w:style w:type="paragraph" w:customStyle="1" w:styleId="normln0">
    <w:name w:val="normální"/>
    <w:basedOn w:val="Normln"/>
    <w:qFormat/>
    <w:rsid w:val="00F03E3C"/>
    <w:pPr>
      <w:overflowPunct/>
      <w:autoSpaceDE/>
      <w:autoSpaceDN/>
      <w:adjustRightInd/>
      <w:spacing w:after="200" w:line="276" w:lineRule="auto"/>
      <w:jc w:val="both"/>
      <w:textAlignment w:val="auto"/>
    </w:pPr>
    <w:rPr>
      <w:rFonts w:eastAsia="Calibri"/>
      <w:sz w:val="24"/>
      <w:szCs w:val="24"/>
      <w:lang w:eastAsia="en-US"/>
    </w:rPr>
  </w:style>
  <w:style w:type="paragraph" w:customStyle="1" w:styleId="Odstavecodsazen">
    <w:name w:val="Odstavec odsazený"/>
    <w:basedOn w:val="Normln"/>
    <w:rsid w:val="00F03E3C"/>
    <w:pPr>
      <w:tabs>
        <w:tab w:val="left" w:pos="709"/>
      </w:tabs>
      <w:overflowPunct/>
      <w:autoSpaceDE/>
      <w:autoSpaceDN/>
      <w:adjustRightInd/>
      <w:spacing w:after="120" w:line="360" w:lineRule="auto"/>
      <w:ind w:left="357" w:firstLine="352"/>
      <w:jc w:val="both"/>
      <w:textAlignment w:val="auto"/>
    </w:pPr>
    <w:rPr>
      <w:sz w:val="24"/>
    </w:rPr>
  </w:style>
  <w:style w:type="paragraph" w:styleId="Podpise-mailu">
    <w:name w:val="E-mail Signature"/>
    <w:basedOn w:val="Normln"/>
    <w:link w:val="Podpise-mailuChar"/>
    <w:rsid w:val="00F03E3C"/>
    <w:pPr>
      <w:tabs>
        <w:tab w:val="num" w:pos="720"/>
      </w:tabs>
      <w:overflowPunct/>
      <w:autoSpaceDE/>
      <w:autoSpaceDN/>
      <w:adjustRightInd/>
      <w:spacing w:before="40" w:after="120" w:line="288" w:lineRule="auto"/>
      <w:jc w:val="both"/>
      <w:textAlignment w:val="auto"/>
    </w:pPr>
    <w:rPr>
      <w:rFonts w:ascii="Arial" w:hAnsi="Arial"/>
      <w:szCs w:val="24"/>
    </w:rPr>
  </w:style>
  <w:style w:type="character" w:customStyle="1" w:styleId="Podpise-mailuChar">
    <w:name w:val="Podpis e-mailu Char"/>
    <w:link w:val="Podpise-mailu"/>
    <w:rsid w:val="00F03E3C"/>
    <w:rPr>
      <w:rFonts w:ascii="Arial" w:hAnsi="Arial"/>
      <w:szCs w:val="24"/>
    </w:rPr>
  </w:style>
  <w:style w:type="paragraph" w:styleId="Nadpisobsahu">
    <w:name w:val="TOC Heading"/>
    <w:basedOn w:val="Nadpis1"/>
    <w:next w:val="Normln"/>
    <w:uiPriority w:val="39"/>
    <w:qFormat/>
    <w:rsid w:val="005566D0"/>
    <w:pPr>
      <w:keepLines/>
      <w:pageBreakBefore w:val="0"/>
      <w:numPr>
        <w:numId w:val="0"/>
      </w:numPr>
      <w:spacing w:before="480" w:after="0"/>
      <w:jc w:val="left"/>
      <w:outlineLvl w:val="9"/>
    </w:pPr>
    <w:rPr>
      <w:color w:val="365F91"/>
      <w:kern w:val="0"/>
      <w:szCs w:val="28"/>
    </w:rPr>
  </w:style>
  <w:style w:type="paragraph" w:styleId="Obsah4">
    <w:name w:val="toc 4"/>
    <w:basedOn w:val="Normln"/>
    <w:next w:val="Normln"/>
    <w:autoRedefine/>
    <w:uiPriority w:val="39"/>
    <w:unhideWhenUsed/>
    <w:rsid w:val="005566D0"/>
    <w:pPr>
      <w:spacing w:after="100"/>
      <w:ind w:left="600"/>
    </w:pPr>
  </w:style>
  <w:style w:type="table" w:styleId="Mkatabulky">
    <w:name w:val="Table Grid"/>
    <w:basedOn w:val="Normlntabulka"/>
    <w:uiPriority w:val="59"/>
    <w:rsid w:val="009072F3"/>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uiPriority w:val="99"/>
    <w:rsid w:val="00604263"/>
    <w:rPr>
      <w:sz w:val="16"/>
      <w:szCs w:val="16"/>
    </w:rPr>
  </w:style>
  <w:style w:type="character" w:customStyle="1" w:styleId="CharChar5">
    <w:name w:val="Char Char5"/>
    <w:semiHidden/>
    <w:locked/>
    <w:rsid w:val="006D08D8"/>
    <w:rPr>
      <w:rFonts w:ascii="Calibri" w:hAnsi="Calibri"/>
      <w:lang w:bidi="ar-SA"/>
    </w:rPr>
  </w:style>
  <w:style w:type="paragraph" w:customStyle="1" w:styleId="Zdrojtabulkyobrzku">
    <w:name w:val="Zdroj tabulky/obrázku"/>
    <w:basedOn w:val="Normln"/>
    <w:link w:val="ZdrojtabulkyobrzkuChar"/>
    <w:qFormat/>
    <w:rsid w:val="00CB339B"/>
    <w:pPr>
      <w:overflowPunct/>
      <w:autoSpaceDE/>
      <w:autoSpaceDN/>
      <w:adjustRightInd/>
      <w:spacing w:before="120" w:after="240" w:line="288" w:lineRule="auto"/>
      <w:jc w:val="both"/>
      <w:textAlignment w:val="auto"/>
    </w:pPr>
    <w:rPr>
      <w:rFonts w:ascii="Arial" w:hAnsi="Arial"/>
      <w:szCs w:val="22"/>
    </w:rPr>
  </w:style>
  <w:style w:type="character" w:customStyle="1" w:styleId="ZdrojtabulkyobrzkuChar">
    <w:name w:val="Zdroj tabulky/obrázku Char"/>
    <w:link w:val="Zdrojtabulkyobrzku"/>
    <w:rsid w:val="00CB339B"/>
    <w:rPr>
      <w:rFonts w:ascii="Arial" w:hAnsi="Arial"/>
      <w:szCs w:val="22"/>
    </w:rPr>
  </w:style>
  <w:style w:type="character" w:customStyle="1" w:styleId="TextMetodikaChar">
    <w:name w:val="Text Metodika Char"/>
    <w:link w:val="TextMetodika"/>
    <w:uiPriority w:val="99"/>
    <w:locked/>
    <w:rsid w:val="004C042F"/>
    <w:rPr>
      <w:rFonts w:ascii="Arial" w:hAnsi="Arial"/>
      <w:lang w:bidi="ar-SA"/>
    </w:rPr>
  </w:style>
  <w:style w:type="paragraph" w:customStyle="1" w:styleId="TextMetodika">
    <w:name w:val="Text Metodika"/>
    <w:basedOn w:val="Normln"/>
    <w:link w:val="TextMetodikaChar"/>
    <w:uiPriority w:val="99"/>
    <w:qFormat/>
    <w:rsid w:val="004C042F"/>
    <w:pPr>
      <w:overflowPunct/>
      <w:autoSpaceDE/>
      <w:autoSpaceDN/>
      <w:adjustRightInd/>
      <w:spacing w:before="120" w:after="120" w:line="312" w:lineRule="auto"/>
      <w:jc w:val="both"/>
      <w:textAlignment w:val="auto"/>
    </w:pPr>
    <w:rPr>
      <w:rFonts w:ascii="Arial" w:hAnsi="Arial"/>
    </w:rPr>
  </w:style>
  <w:style w:type="paragraph" w:styleId="Seznamsodrkami">
    <w:name w:val="List Bullet"/>
    <w:basedOn w:val="Normln"/>
    <w:autoRedefine/>
    <w:rsid w:val="00E40039"/>
    <w:pPr>
      <w:overflowPunct/>
      <w:autoSpaceDE/>
      <w:autoSpaceDN/>
      <w:adjustRightInd/>
      <w:jc w:val="both"/>
      <w:textAlignment w:val="auto"/>
    </w:pPr>
    <w:rPr>
      <w:rFonts w:ascii="Calibri" w:hAnsi="Calibri" w:cs="Calibri"/>
      <w:sz w:val="24"/>
      <w:szCs w:val="24"/>
      <w:lang w:eastAsia="en-US"/>
    </w:rPr>
  </w:style>
  <w:style w:type="character" w:customStyle="1" w:styleId="OdstavecseseznamemChar">
    <w:name w:val="Odstavec se seznamem Char"/>
    <w:aliases w:val="Odstavec_muj Char,Nad Char"/>
    <w:link w:val="Odstavecseseznamem1"/>
    <w:uiPriority w:val="99"/>
    <w:rsid w:val="004B5A6C"/>
    <w:rPr>
      <w:lang w:val="cs-CZ" w:eastAsia="cs-CZ" w:bidi="ar-SA"/>
    </w:rPr>
  </w:style>
  <w:style w:type="character" w:customStyle="1" w:styleId="Char1Char1">
    <w:name w:val="Char1 Char1"/>
    <w:aliases w:val="Schriftart: 9 pt Char2,Schriftart: 10 pt Char2,Schriftart: 8 pt Char2,Text poznámky pod čiarou 007 Char2,Footnote Char2,Fußnotentextf Char2,Geneva 9 Char2,Font: Geneva 9 Char2,Boston 10 Char2,f Char2,pozn. pod čarou Char3,Char Char3"/>
    <w:uiPriority w:val="99"/>
    <w:rsid w:val="00E45000"/>
    <w:rPr>
      <w:lang w:val="cs-CZ" w:eastAsia="cs-CZ"/>
    </w:rPr>
  </w:style>
  <w:style w:type="paragraph" w:customStyle="1" w:styleId="NadpisNOK2">
    <w:name w:val="Nadpis NOK 2"/>
    <w:basedOn w:val="Nadpis2"/>
    <w:qFormat/>
    <w:rsid w:val="00AA5B29"/>
    <w:pPr>
      <w:numPr>
        <w:numId w:val="2"/>
      </w:numPr>
      <w:spacing w:line="240" w:lineRule="auto"/>
    </w:pPr>
    <w:rPr>
      <w:rFonts w:ascii="Arial Narrow" w:hAnsi="Arial Narrow" w:cs="Arial Narrow"/>
      <w:iCs w:val="0"/>
      <w:caps/>
      <w:color w:val="003366"/>
      <w:sz w:val="40"/>
      <w:szCs w:val="40"/>
    </w:rPr>
  </w:style>
  <w:style w:type="paragraph" w:customStyle="1" w:styleId="CM4">
    <w:name w:val="CM4"/>
    <w:basedOn w:val="Default"/>
    <w:next w:val="Default"/>
    <w:uiPriority w:val="99"/>
    <w:rsid w:val="00E10173"/>
    <w:pPr>
      <w:tabs>
        <w:tab w:val="clear" w:pos="708"/>
      </w:tabs>
      <w:suppressAutoHyphens w:val="0"/>
      <w:overflowPunct/>
      <w:autoSpaceDN w:val="0"/>
      <w:adjustRightInd w:val="0"/>
      <w:spacing w:line="240" w:lineRule="auto"/>
      <w:textAlignment w:val="auto"/>
    </w:pPr>
    <w:rPr>
      <w:rFonts w:ascii="EUAlbertina" w:eastAsia="Calibri" w:hAnsi="EUAlbertina" w:cs="Times New Roman"/>
      <w:sz w:val="24"/>
      <w:szCs w:val="24"/>
    </w:rPr>
  </w:style>
  <w:style w:type="paragraph" w:customStyle="1" w:styleId="TabNad">
    <w:name w:val="TabNad"/>
    <w:basedOn w:val="Normln"/>
    <w:uiPriority w:val="99"/>
    <w:rsid w:val="00415837"/>
    <w:pPr>
      <w:numPr>
        <w:numId w:val="3"/>
      </w:numPr>
      <w:tabs>
        <w:tab w:val="clear" w:pos="360"/>
      </w:tabs>
      <w:overflowPunct/>
      <w:autoSpaceDE/>
      <w:autoSpaceDN/>
      <w:adjustRightInd/>
      <w:ind w:left="907" w:hanging="907"/>
      <w:textAlignment w:val="auto"/>
    </w:pPr>
    <w:rPr>
      <w:b/>
      <w:bCs/>
      <w:sz w:val="22"/>
      <w:szCs w:val="22"/>
    </w:rPr>
  </w:style>
  <w:style w:type="paragraph" w:styleId="Revize">
    <w:name w:val="Revision"/>
    <w:hidden/>
    <w:uiPriority w:val="99"/>
    <w:semiHidden/>
    <w:rsid w:val="00977285"/>
  </w:style>
  <w:style w:type="character" w:styleId="Siln">
    <w:name w:val="Strong"/>
    <w:uiPriority w:val="22"/>
    <w:qFormat/>
    <w:rsid w:val="007F61BF"/>
    <w:rPr>
      <w:b/>
      <w:bCs/>
      <w:color w:val="58585A"/>
    </w:rPr>
  </w:style>
  <w:style w:type="paragraph" w:styleId="Obsah5">
    <w:name w:val="toc 5"/>
    <w:basedOn w:val="Normln"/>
    <w:next w:val="Normln"/>
    <w:autoRedefine/>
    <w:uiPriority w:val="39"/>
    <w:unhideWhenUsed/>
    <w:rsid w:val="00150B70"/>
    <w:pPr>
      <w:overflowPunct/>
      <w:autoSpaceDE/>
      <w:autoSpaceDN/>
      <w:adjustRightInd/>
      <w:spacing w:after="100" w:line="276" w:lineRule="auto"/>
      <w:ind w:left="880"/>
      <w:textAlignment w:val="auto"/>
    </w:pPr>
    <w:rPr>
      <w:rFonts w:ascii="Calibri" w:hAnsi="Calibri"/>
      <w:sz w:val="22"/>
      <w:szCs w:val="22"/>
    </w:rPr>
  </w:style>
  <w:style w:type="paragraph" w:styleId="Obsah6">
    <w:name w:val="toc 6"/>
    <w:basedOn w:val="Normln"/>
    <w:next w:val="Normln"/>
    <w:autoRedefine/>
    <w:uiPriority w:val="39"/>
    <w:unhideWhenUsed/>
    <w:rsid w:val="00150B70"/>
    <w:pPr>
      <w:overflowPunct/>
      <w:autoSpaceDE/>
      <w:autoSpaceDN/>
      <w:adjustRightInd/>
      <w:spacing w:after="100" w:line="276" w:lineRule="auto"/>
      <w:ind w:left="1100"/>
      <w:textAlignment w:val="auto"/>
    </w:pPr>
    <w:rPr>
      <w:rFonts w:ascii="Calibri" w:hAnsi="Calibri"/>
      <w:sz w:val="22"/>
      <w:szCs w:val="22"/>
    </w:rPr>
  </w:style>
  <w:style w:type="paragraph" w:styleId="Obsah7">
    <w:name w:val="toc 7"/>
    <w:basedOn w:val="Normln"/>
    <w:next w:val="Normln"/>
    <w:autoRedefine/>
    <w:uiPriority w:val="39"/>
    <w:unhideWhenUsed/>
    <w:rsid w:val="00150B70"/>
    <w:pPr>
      <w:overflowPunct/>
      <w:autoSpaceDE/>
      <w:autoSpaceDN/>
      <w:adjustRightInd/>
      <w:spacing w:after="100" w:line="276" w:lineRule="auto"/>
      <w:ind w:left="1320"/>
      <w:textAlignment w:val="auto"/>
    </w:pPr>
    <w:rPr>
      <w:rFonts w:ascii="Calibri" w:hAnsi="Calibri"/>
      <w:sz w:val="22"/>
      <w:szCs w:val="22"/>
    </w:rPr>
  </w:style>
  <w:style w:type="paragraph" w:styleId="Obsah8">
    <w:name w:val="toc 8"/>
    <w:basedOn w:val="Normln"/>
    <w:next w:val="Normln"/>
    <w:autoRedefine/>
    <w:uiPriority w:val="39"/>
    <w:unhideWhenUsed/>
    <w:rsid w:val="00150B70"/>
    <w:pPr>
      <w:overflowPunct/>
      <w:autoSpaceDE/>
      <w:autoSpaceDN/>
      <w:adjustRightInd/>
      <w:spacing w:after="100" w:line="276" w:lineRule="auto"/>
      <w:ind w:left="1540"/>
      <w:textAlignment w:val="auto"/>
    </w:pPr>
    <w:rPr>
      <w:rFonts w:ascii="Calibri" w:hAnsi="Calibri"/>
      <w:sz w:val="22"/>
      <w:szCs w:val="22"/>
    </w:rPr>
  </w:style>
  <w:style w:type="paragraph" w:styleId="Obsah9">
    <w:name w:val="toc 9"/>
    <w:basedOn w:val="Normln"/>
    <w:next w:val="Normln"/>
    <w:autoRedefine/>
    <w:uiPriority w:val="39"/>
    <w:unhideWhenUsed/>
    <w:rsid w:val="00150B70"/>
    <w:pPr>
      <w:overflowPunct/>
      <w:autoSpaceDE/>
      <w:autoSpaceDN/>
      <w:adjustRightInd/>
      <w:spacing w:after="100" w:line="276" w:lineRule="auto"/>
      <w:ind w:left="1760"/>
      <w:textAlignment w:val="auto"/>
    </w:pPr>
    <w:rPr>
      <w:rFonts w:ascii="Calibri" w:hAnsi="Calibri"/>
      <w:sz w:val="22"/>
      <w:szCs w:val="22"/>
    </w:rPr>
  </w:style>
  <w:style w:type="paragraph" w:styleId="Textvysvtlivek">
    <w:name w:val="endnote text"/>
    <w:basedOn w:val="Normln"/>
    <w:link w:val="TextvysvtlivekChar"/>
    <w:uiPriority w:val="99"/>
    <w:rsid w:val="00A72DFD"/>
  </w:style>
  <w:style w:type="character" w:customStyle="1" w:styleId="TextvysvtlivekChar">
    <w:name w:val="Text vysvětlivek Char"/>
    <w:basedOn w:val="Standardnpsmoodstavce"/>
    <w:link w:val="Textvysvtlivek"/>
    <w:uiPriority w:val="99"/>
    <w:rsid w:val="00A72DFD"/>
  </w:style>
  <w:style w:type="character" w:styleId="Odkaznavysvtlivky">
    <w:name w:val="endnote reference"/>
    <w:rsid w:val="00A72DFD"/>
    <w:rPr>
      <w:vertAlign w:val="superscript"/>
    </w:rPr>
  </w:style>
  <w:style w:type="character" w:customStyle="1" w:styleId="st1">
    <w:name w:val="st1"/>
    <w:basedOn w:val="Standardnpsmoodstavce"/>
    <w:rsid w:val="005275B9"/>
  </w:style>
  <w:style w:type="paragraph" w:customStyle="1" w:styleId="Poznmkapodarou">
    <w:name w:val="Poznámka pod čarou"/>
    <w:basedOn w:val="Default"/>
    <w:link w:val="PoznmkapodarouChar"/>
    <w:qFormat/>
    <w:rsid w:val="00B05905"/>
    <w:pPr>
      <w:spacing w:after="60"/>
      <w:jc w:val="both"/>
    </w:pPr>
    <w:rPr>
      <w:rFonts w:ascii="Times New Roman" w:eastAsia="Times New Roman" w:hAnsi="Times New Roman" w:cs="Times New Roman"/>
    </w:rPr>
  </w:style>
  <w:style w:type="paragraph" w:customStyle="1" w:styleId="Standardntext">
    <w:name w:val="Standardní text"/>
    <w:basedOn w:val="Normln"/>
    <w:link w:val="StandardntextChar"/>
    <w:qFormat/>
    <w:rsid w:val="00D20E3C"/>
    <w:pPr>
      <w:spacing w:after="120"/>
      <w:jc w:val="both"/>
    </w:pPr>
    <w:rPr>
      <w:sz w:val="24"/>
      <w:szCs w:val="24"/>
    </w:rPr>
  </w:style>
  <w:style w:type="character" w:customStyle="1" w:styleId="DefaultChar">
    <w:name w:val="Default Char"/>
    <w:link w:val="Default"/>
    <w:rsid w:val="00F362BC"/>
    <w:rPr>
      <w:rFonts w:ascii="Calibri" w:eastAsia="MS Mincho" w:hAnsi="Calibri" w:cs="Calibri"/>
      <w:lang w:eastAsia="en-US" w:bidi="ar-SA"/>
    </w:rPr>
  </w:style>
  <w:style w:type="character" w:customStyle="1" w:styleId="PoznmkapodarouChar">
    <w:name w:val="Poznámka pod čarou Char"/>
    <w:link w:val="Poznmkapodarou"/>
    <w:rsid w:val="00B05905"/>
    <w:rPr>
      <w:rFonts w:cs="Calibri"/>
    </w:rPr>
  </w:style>
  <w:style w:type="character" w:customStyle="1" w:styleId="StandardntextChar">
    <w:name w:val="Standardní text Char"/>
    <w:link w:val="Standardntext"/>
    <w:rsid w:val="00D20E3C"/>
    <w:rPr>
      <w:rFonts w:cs="Calibri"/>
      <w:sz w:val="24"/>
      <w:szCs w:val="24"/>
    </w:rPr>
  </w:style>
  <w:style w:type="character" w:styleId="Sledovanodkaz">
    <w:name w:val="FollowedHyperlink"/>
    <w:uiPriority w:val="99"/>
    <w:rsid w:val="00D703E0"/>
    <w:rPr>
      <w:color w:val="800080"/>
      <w:u w:val="single"/>
    </w:rPr>
  </w:style>
  <w:style w:type="paragraph" w:customStyle="1" w:styleId="ListDash">
    <w:name w:val="List Dash"/>
    <w:basedOn w:val="Normln"/>
    <w:uiPriority w:val="99"/>
    <w:rsid w:val="004E680E"/>
    <w:pPr>
      <w:numPr>
        <w:numId w:val="5"/>
      </w:numPr>
      <w:overflowPunct/>
      <w:autoSpaceDE/>
      <w:autoSpaceDN/>
      <w:adjustRightInd/>
      <w:spacing w:after="240"/>
      <w:jc w:val="both"/>
      <w:textAlignment w:val="auto"/>
    </w:pPr>
    <w:rPr>
      <w:sz w:val="24"/>
      <w:szCs w:val="24"/>
      <w:lang w:val="en-GB" w:eastAsia="en-US"/>
    </w:rPr>
  </w:style>
  <w:style w:type="paragraph" w:customStyle="1" w:styleId="DAVA">
    <w:name w:val="DAVA"/>
    <w:basedOn w:val="Normln"/>
    <w:link w:val="DAVAChar"/>
    <w:qFormat/>
    <w:rsid w:val="00635DFA"/>
    <w:pPr>
      <w:overflowPunct/>
      <w:autoSpaceDE/>
      <w:autoSpaceDN/>
      <w:adjustRightInd/>
      <w:spacing w:before="120"/>
      <w:textAlignment w:val="auto"/>
    </w:pPr>
    <w:rPr>
      <w:rFonts w:ascii="Arial" w:eastAsia="Calibri" w:hAnsi="Arial"/>
      <w:sz w:val="24"/>
      <w:szCs w:val="28"/>
      <w:lang w:eastAsia="en-US"/>
    </w:rPr>
  </w:style>
  <w:style w:type="character" w:customStyle="1" w:styleId="DAVAChar">
    <w:name w:val="DAVA Char"/>
    <w:link w:val="DAVA"/>
    <w:rsid w:val="00635DFA"/>
    <w:rPr>
      <w:rFonts w:ascii="Arial" w:eastAsia="Calibri" w:hAnsi="Arial" w:cs="Arial"/>
      <w:sz w:val="24"/>
      <w:szCs w:val="28"/>
      <w:lang w:eastAsia="en-US"/>
    </w:rPr>
  </w:style>
  <w:style w:type="paragraph" w:customStyle="1" w:styleId="Textdopisu">
    <w:name w:val="Text dopisu"/>
    <w:basedOn w:val="Normln"/>
    <w:rsid w:val="00635DFA"/>
    <w:pPr>
      <w:ind w:firstLine="544"/>
      <w:jc w:val="both"/>
    </w:pPr>
    <w:rPr>
      <w:sz w:val="24"/>
    </w:rPr>
  </w:style>
  <w:style w:type="paragraph" w:customStyle="1" w:styleId="kapitola2A">
    <w:name w:val="kapitola 2A"/>
    <w:basedOn w:val="Nadpis1"/>
    <w:link w:val="kapitola2AChar"/>
    <w:qFormat/>
    <w:rsid w:val="00017D76"/>
    <w:pPr>
      <w:keepNext w:val="0"/>
      <w:pageBreakBefore w:val="0"/>
      <w:numPr>
        <w:numId w:val="9"/>
      </w:numPr>
    </w:pPr>
  </w:style>
  <w:style w:type="paragraph" w:customStyle="1" w:styleId="kapitola2A0">
    <w:name w:val="kapitola 2A.0"/>
    <w:basedOn w:val="Nadpis3"/>
    <w:link w:val="kapitola2A0Char"/>
    <w:qFormat/>
    <w:rsid w:val="00F41B56"/>
    <w:pPr>
      <w:spacing w:after="120"/>
    </w:pPr>
  </w:style>
  <w:style w:type="character" w:customStyle="1" w:styleId="kapitola2AChar">
    <w:name w:val="kapitola 2A Char"/>
    <w:link w:val="kapitola2A"/>
    <w:rsid w:val="00017D76"/>
    <w:rPr>
      <w:rFonts w:ascii="Calibri" w:hAnsi="Calibri"/>
      <w:b/>
      <w:bCs/>
      <w:smallCaps/>
      <w:kern w:val="32"/>
      <w:sz w:val="28"/>
      <w:szCs w:val="32"/>
    </w:rPr>
  </w:style>
  <w:style w:type="paragraph" w:customStyle="1" w:styleId="Prioritnosa">
    <w:name w:val="Prioritní osa"/>
    <w:basedOn w:val="Nadpis2"/>
    <w:link w:val="PrioritnosaChar"/>
    <w:qFormat/>
    <w:rsid w:val="00D34C0F"/>
    <w:pPr>
      <w:numPr>
        <w:ilvl w:val="0"/>
        <w:numId w:val="0"/>
      </w:numPr>
      <w:pBdr>
        <w:top w:val="single" w:sz="24" w:space="2" w:color="95B3D7"/>
        <w:left w:val="single" w:sz="24" w:space="4" w:color="DBE5F1"/>
        <w:bottom w:val="single" w:sz="24" w:space="2" w:color="95B3D7"/>
        <w:right w:val="single" w:sz="24" w:space="4" w:color="DBE5F1"/>
      </w:pBdr>
      <w:shd w:val="clear" w:color="auto" w:fill="DBE5F1"/>
      <w:spacing w:before="360"/>
      <w:ind w:left="142" w:right="113" w:hanging="29"/>
    </w:pPr>
  </w:style>
  <w:style w:type="character" w:customStyle="1" w:styleId="kapitola2A0Char">
    <w:name w:val="kapitola 2A.0 Char"/>
    <w:link w:val="kapitola2A0"/>
    <w:rsid w:val="00F41B56"/>
    <w:rPr>
      <w:rFonts w:ascii="Calibri" w:hAnsi="Calibri"/>
      <w:b/>
      <w:bCs/>
      <w:color w:val="365F91"/>
      <w:sz w:val="24"/>
    </w:rPr>
  </w:style>
  <w:style w:type="paragraph" w:customStyle="1" w:styleId="Investinpriorita">
    <w:name w:val="Investiční priorita"/>
    <w:basedOn w:val="Prioritnosa"/>
    <w:link w:val="InvestinprioritaChar"/>
    <w:qFormat/>
    <w:rsid w:val="002A3493"/>
    <w:pPr>
      <w:pBdr>
        <w:left w:val="single" w:sz="24" w:space="4" w:color="EDF1F7"/>
        <w:right w:val="single" w:sz="24" w:space="4" w:color="EDF1F7"/>
      </w:pBdr>
      <w:shd w:val="clear" w:color="auto" w:fill="EDF1F7"/>
    </w:pPr>
    <w:rPr>
      <w:i/>
      <w:sz w:val="24"/>
    </w:rPr>
  </w:style>
  <w:style w:type="character" w:customStyle="1" w:styleId="PrioritnosaChar">
    <w:name w:val="Prioritní osa Char"/>
    <w:link w:val="Prioritnosa"/>
    <w:rsid w:val="00D34C0F"/>
    <w:rPr>
      <w:rFonts w:ascii="Calibri" w:hAnsi="Calibri"/>
      <w:b/>
      <w:bCs/>
      <w:iCs/>
      <w:sz w:val="26"/>
      <w:szCs w:val="28"/>
      <w:shd w:val="clear" w:color="auto" w:fill="DBE5F1"/>
    </w:rPr>
  </w:style>
  <w:style w:type="paragraph" w:customStyle="1" w:styleId="kapitola2B">
    <w:name w:val="kapitola 2.B"/>
    <w:basedOn w:val="kapitola2A0"/>
    <w:link w:val="kapitola2BChar"/>
    <w:qFormat/>
    <w:rsid w:val="005444BD"/>
  </w:style>
  <w:style w:type="character" w:customStyle="1" w:styleId="InvestinprioritaChar">
    <w:name w:val="Investiční priorita Char"/>
    <w:link w:val="Investinpriorita"/>
    <w:rsid w:val="002A3493"/>
    <w:rPr>
      <w:rFonts w:ascii="Calibri" w:hAnsi="Calibri"/>
      <w:b/>
      <w:bCs/>
      <w:i/>
      <w:iCs/>
      <w:sz w:val="24"/>
      <w:szCs w:val="28"/>
      <w:shd w:val="clear" w:color="auto" w:fill="EDF1F7"/>
    </w:rPr>
  </w:style>
  <w:style w:type="character" w:customStyle="1" w:styleId="kapitola2BChar">
    <w:name w:val="kapitola 2.B Char"/>
    <w:link w:val="kapitola2B"/>
    <w:rsid w:val="005444BD"/>
    <w:rPr>
      <w:rFonts w:ascii="Calibri" w:hAnsi="Calibri"/>
      <w:b/>
      <w:bCs/>
      <w:color w:val="365F91"/>
      <w:sz w:val="24"/>
    </w:rPr>
  </w:style>
  <w:style w:type="numbering" w:customStyle="1" w:styleId="Styl1">
    <w:name w:val="Styl1"/>
    <w:uiPriority w:val="99"/>
    <w:rsid w:val="009210DF"/>
    <w:pPr>
      <w:numPr>
        <w:numId w:val="14"/>
      </w:numPr>
    </w:pPr>
  </w:style>
  <w:style w:type="paragraph" w:customStyle="1" w:styleId="Modrnadpis">
    <w:name w:val="Modrý nadpis"/>
    <w:basedOn w:val="Nadpis4"/>
    <w:link w:val="ModrnadpisChar"/>
    <w:qFormat/>
    <w:rsid w:val="00396141"/>
    <w:pPr>
      <w:numPr>
        <w:ilvl w:val="0"/>
        <w:numId w:val="0"/>
      </w:numPr>
      <w:spacing w:before="240"/>
      <w:ind w:left="862" w:hanging="862"/>
    </w:pPr>
    <w:rPr>
      <w:rFonts w:ascii="Times New Roman" w:hAnsi="Times New Roman"/>
      <w:i w:val="0"/>
      <w:color w:val="548DD4"/>
    </w:rPr>
  </w:style>
  <w:style w:type="paragraph" w:customStyle="1" w:styleId="Tabulka">
    <w:name w:val="Tabulka"/>
    <w:basedOn w:val="Normln"/>
    <w:link w:val="TabulkaChar"/>
    <w:qFormat/>
    <w:rsid w:val="00BA1E1C"/>
    <w:pPr>
      <w:overflowPunct/>
      <w:spacing w:before="60" w:after="60"/>
      <w:jc w:val="center"/>
      <w:textAlignment w:val="auto"/>
    </w:pPr>
    <w:rPr>
      <w:sz w:val="22"/>
      <w:szCs w:val="22"/>
    </w:rPr>
  </w:style>
  <w:style w:type="character" w:customStyle="1" w:styleId="ModrnadpisChar">
    <w:name w:val="Modrý nadpis Char"/>
    <w:link w:val="Modrnadpis"/>
    <w:rsid w:val="00396141"/>
    <w:rPr>
      <w:b/>
      <w:bCs/>
      <w:iCs/>
      <w:color w:val="548DD4"/>
      <w:sz w:val="24"/>
    </w:rPr>
  </w:style>
  <w:style w:type="character" w:customStyle="1" w:styleId="TabulkaChar">
    <w:name w:val="Tabulka Char"/>
    <w:link w:val="Tabulka"/>
    <w:rsid w:val="00BA1E1C"/>
    <w:rPr>
      <w:rFonts w:cs="Calibri"/>
      <w:sz w:val="22"/>
      <w:szCs w:val="22"/>
    </w:rPr>
  </w:style>
  <w:style w:type="character" w:styleId="slostrnky">
    <w:name w:val="page number"/>
    <w:basedOn w:val="Standardnpsmoodstavce"/>
    <w:rsid w:val="00CB5EF1"/>
  </w:style>
  <w:style w:type="paragraph" w:styleId="Prosttext">
    <w:name w:val="Plain Text"/>
    <w:basedOn w:val="Normln"/>
    <w:link w:val="ProsttextChar"/>
    <w:uiPriority w:val="99"/>
    <w:unhideWhenUsed/>
    <w:rsid w:val="000C5A5B"/>
    <w:pPr>
      <w:overflowPunct/>
      <w:autoSpaceDE/>
      <w:autoSpaceDN/>
      <w:adjustRightInd/>
      <w:textAlignment w:val="auto"/>
    </w:pPr>
    <w:rPr>
      <w:rFonts w:ascii="Consolas" w:eastAsia="Calibri" w:hAnsi="Consolas"/>
      <w:sz w:val="21"/>
      <w:szCs w:val="21"/>
      <w:lang w:eastAsia="en-US"/>
    </w:rPr>
  </w:style>
  <w:style w:type="character" w:customStyle="1" w:styleId="ProsttextChar">
    <w:name w:val="Prostý text Char"/>
    <w:link w:val="Prosttext"/>
    <w:uiPriority w:val="99"/>
    <w:rsid w:val="000C5A5B"/>
    <w:rPr>
      <w:rFonts w:ascii="Consolas" w:eastAsia="Calibri" w:hAnsi="Consolas" w:cs="Times New Roman"/>
      <w:sz w:val="21"/>
      <w:szCs w:val="21"/>
      <w:lang w:eastAsia="en-US"/>
    </w:rPr>
  </w:style>
  <w:style w:type="paragraph" w:styleId="Zkladntextodsazen2">
    <w:name w:val="Body Text Indent 2"/>
    <w:basedOn w:val="Normln"/>
    <w:link w:val="Zkladntextodsazen2Char"/>
    <w:rsid w:val="00850113"/>
    <w:pPr>
      <w:spacing w:after="120" w:line="480" w:lineRule="auto"/>
      <w:ind w:left="283"/>
    </w:pPr>
  </w:style>
  <w:style w:type="character" w:customStyle="1" w:styleId="Zkladntextodsazen2Char">
    <w:name w:val="Základní text odsazený 2 Char"/>
    <w:basedOn w:val="Standardnpsmoodstavce"/>
    <w:link w:val="Zkladntextodsazen2"/>
    <w:rsid w:val="00850113"/>
  </w:style>
  <w:style w:type="paragraph" w:styleId="Citt">
    <w:name w:val="Quote"/>
    <w:basedOn w:val="Normln"/>
    <w:next w:val="Normln"/>
    <w:link w:val="CittChar"/>
    <w:uiPriority w:val="29"/>
    <w:qFormat/>
    <w:rsid w:val="003E654D"/>
    <w:rPr>
      <w:i/>
      <w:iCs/>
      <w:color w:val="000000"/>
    </w:rPr>
  </w:style>
  <w:style w:type="character" w:customStyle="1" w:styleId="CittChar">
    <w:name w:val="Citát Char"/>
    <w:link w:val="Citt"/>
    <w:uiPriority w:val="29"/>
    <w:rsid w:val="003E654D"/>
    <w:rPr>
      <w:i/>
      <w:iCs/>
      <w:color w:val="000000"/>
    </w:rPr>
  </w:style>
  <w:style w:type="paragraph" w:customStyle="1" w:styleId="ClOP">
    <w:name w:val="Cíl OP"/>
    <w:basedOn w:val="Citt"/>
    <w:link w:val="ClOPChar"/>
    <w:qFormat/>
    <w:rsid w:val="003E654D"/>
    <w:pPr>
      <w:pBdr>
        <w:top w:val="single" w:sz="24" w:space="4" w:color="95B3D7"/>
        <w:bottom w:val="single" w:sz="24" w:space="4" w:color="95B3D7"/>
      </w:pBdr>
      <w:spacing w:before="240" w:after="240"/>
      <w:jc w:val="center"/>
    </w:pPr>
    <w:rPr>
      <w:b/>
      <w:i w:val="0"/>
      <w:sz w:val="24"/>
      <w:szCs w:val="24"/>
    </w:rPr>
  </w:style>
  <w:style w:type="character" w:customStyle="1" w:styleId="ClOPChar">
    <w:name w:val="Cíl OP Char"/>
    <w:link w:val="ClOP"/>
    <w:rsid w:val="003E654D"/>
    <w:rPr>
      <w:b/>
      <w:i w:val="0"/>
      <w:iCs/>
      <w:color w:val="000000"/>
      <w:sz w:val="24"/>
      <w:szCs w:val="24"/>
    </w:rPr>
  </w:style>
  <w:style w:type="table" w:customStyle="1" w:styleId="Svtlmka1">
    <w:name w:val="Světlá mřížka1"/>
    <w:basedOn w:val="Normlntabulka"/>
    <w:uiPriority w:val="62"/>
    <w:rsid w:val="005746C1"/>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TextkomenteChar1">
    <w:name w:val="Text komentáře Char1"/>
    <w:uiPriority w:val="99"/>
    <w:semiHidden/>
    <w:rsid w:val="005746C1"/>
    <w:rPr>
      <w:rFonts w:ascii="Calibri" w:hAnsi="Calibri"/>
    </w:rPr>
  </w:style>
  <w:style w:type="paragraph" w:customStyle="1" w:styleId="TextNOK">
    <w:name w:val="Text NOK"/>
    <w:basedOn w:val="Normln"/>
    <w:link w:val="TextNOKChar"/>
    <w:qFormat/>
    <w:rsid w:val="00B91AC2"/>
    <w:pPr>
      <w:overflowPunct/>
      <w:autoSpaceDE/>
      <w:autoSpaceDN/>
      <w:adjustRightInd/>
      <w:spacing w:after="120" w:line="288" w:lineRule="auto"/>
      <w:jc w:val="both"/>
      <w:textAlignment w:val="auto"/>
    </w:pPr>
    <w:rPr>
      <w:rFonts w:ascii="Arial" w:hAnsi="Arial"/>
      <w:szCs w:val="22"/>
    </w:rPr>
  </w:style>
  <w:style w:type="character" w:customStyle="1" w:styleId="TextNOKChar">
    <w:name w:val="Text NOK Char"/>
    <w:link w:val="TextNOK"/>
    <w:rsid w:val="00B91AC2"/>
    <w:rPr>
      <w:rFonts w:ascii="Arial" w:hAnsi="Arial"/>
      <w:szCs w:val="22"/>
    </w:rPr>
  </w:style>
  <w:style w:type="paragraph" w:customStyle="1" w:styleId="Tiret0">
    <w:name w:val="Tiret 0"/>
    <w:basedOn w:val="Normln"/>
    <w:rsid w:val="0035272A"/>
    <w:pPr>
      <w:numPr>
        <w:numId w:val="58"/>
      </w:numPr>
      <w:overflowPunct/>
      <w:autoSpaceDE/>
      <w:autoSpaceDN/>
      <w:adjustRightInd/>
      <w:spacing w:before="120" w:after="120"/>
      <w:jc w:val="both"/>
      <w:textAlignment w:val="auto"/>
    </w:pPr>
    <w:rPr>
      <w:sz w:val="24"/>
      <w:szCs w:val="24"/>
      <w:lang w:eastAsia="en-US"/>
    </w:rPr>
  </w:style>
  <w:style w:type="paragraph" w:styleId="Textpoznpodarou">
    <w:name w:val="footnote text"/>
    <w:aliases w:val="Schriftart: 9 pt,Schriftart: 10 pt,Schriftart: 8 pt,Text poznámky pod čiarou 007,Footnote,Fußnotentextf,Geneva 9,Font: Geneva 9,Boston 10,f,pozn. pod čarou,Char,Text pozn. pod čarou1,Char Char Char1,Footnote Text Char1,o,Char Char1"/>
    <w:basedOn w:val="Normln"/>
    <w:link w:val="TextpoznpodarouChar"/>
    <w:uiPriority w:val="99"/>
    <w:qFormat/>
    <w:rsid w:val="004E6DD3"/>
    <w:pPr>
      <w:jc w:val="both"/>
    </w:pPr>
  </w:style>
  <w:style w:type="character" w:customStyle="1" w:styleId="TextpoznpodarouChar">
    <w:name w:val="Text pozn. pod čarou Char"/>
    <w:aliases w:val="Schriftart: 9 pt Char,Schriftart: 10 pt Char,Schriftart: 8 pt Char,Text poznámky pod čiarou 007 Char,Footnote Char,Fußnotentextf Char,Geneva 9 Char,Font: Geneva 9 Char,Boston 10 Char,f Char,pozn. pod čarou Char,Char Char,o Char"/>
    <w:basedOn w:val="Standardnpsmoodstavce"/>
    <w:link w:val="Textpoznpodarou"/>
    <w:uiPriority w:val="99"/>
    <w:rsid w:val="004E6DD3"/>
  </w:style>
  <w:style w:type="character" w:styleId="Zdraznn">
    <w:name w:val="Emphasis"/>
    <w:uiPriority w:val="20"/>
    <w:qFormat/>
    <w:rsid w:val="00F37CF9"/>
    <w:rPr>
      <w:b/>
      <w:bCs/>
      <w:i w:val="0"/>
      <w:iCs w:val="0"/>
    </w:rPr>
  </w:style>
  <w:style w:type="paragraph" w:customStyle="1" w:styleId="Text1">
    <w:name w:val="Text 1"/>
    <w:basedOn w:val="Normln"/>
    <w:link w:val="Text1Char"/>
    <w:uiPriority w:val="99"/>
    <w:rsid w:val="00E517C6"/>
    <w:pPr>
      <w:overflowPunct/>
      <w:autoSpaceDE/>
      <w:autoSpaceDN/>
      <w:adjustRightInd/>
      <w:spacing w:after="240"/>
      <w:ind w:left="482"/>
      <w:jc w:val="both"/>
      <w:textAlignment w:val="auto"/>
    </w:pPr>
    <w:rPr>
      <w:sz w:val="24"/>
      <w:lang w:val="en-GB" w:eastAsia="en-US"/>
    </w:rPr>
  </w:style>
  <w:style w:type="character" w:customStyle="1" w:styleId="Text1Char">
    <w:name w:val="Text 1 Char"/>
    <w:link w:val="Text1"/>
    <w:uiPriority w:val="99"/>
    <w:locked/>
    <w:rsid w:val="00E517C6"/>
    <w:rPr>
      <w:sz w:val="24"/>
      <w:lang w:val="en-GB" w:eastAsia="en-US"/>
    </w:rPr>
  </w:style>
  <w:style w:type="paragraph" w:customStyle="1" w:styleId="CM1">
    <w:name w:val="CM1"/>
    <w:basedOn w:val="Default"/>
    <w:next w:val="Default"/>
    <w:uiPriority w:val="99"/>
    <w:rsid w:val="00146DC1"/>
    <w:pPr>
      <w:tabs>
        <w:tab w:val="clear" w:pos="708"/>
      </w:tabs>
      <w:suppressAutoHyphens w:val="0"/>
      <w:overflowPunct/>
      <w:autoSpaceDN w:val="0"/>
      <w:adjustRightInd w:val="0"/>
      <w:spacing w:line="240" w:lineRule="auto"/>
      <w:textAlignment w:val="auto"/>
    </w:pPr>
    <w:rPr>
      <w:rFonts w:ascii="EUAlbertina" w:eastAsia="Times New Roman" w:hAnsi="EUAlbertina" w:cs="Times New Roman"/>
      <w:sz w:val="24"/>
      <w:szCs w:val="24"/>
      <w:lang w:eastAsia="cs-CZ"/>
    </w:rPr>
  </w:style>
  <w:style w:type="paragraph" w:customStyle="1" w:styleId="CM3">
    <w:name w:val="CM3"/>
    <w:basedOn w:val="Default"/>
    <w:next w:val="Default"/>
    <w:uiPriority w:val="99"/>
    <w:rsid w:val="00146DC1"/>
    <w:pPr>
      <w:tabs>
        <w:tab w:val="clear" w:pos="708"/>
      </w:tabs>
      <w:suppressAutoHyphens w:val="0"/>
      <w:overflowPunct/>
      <w:autoSpaceDN w:val="0"/>
      <w:adjustRightInd w:val="0"/>
      <w:spacing w:line="240" w:lineRule="auto"/>
      <w:textAlignment w:val="auto"/>
    </w:pPr>
    <w:rPr>
      <w:rFonts w:ascii="EUAlbertina" w:eastAsia="Times New Roman" w:hAnsi="EUAlbertina" w:cs="Times New Roman"/>
      <w:sz w:val="24"/>
      <w:szCs w:val="24"/>
      <w:lang w:eastAsia="cs-CZ"/>
    </w:rPr>
  </w:style>
  <w:style w:type="character" w:customStyle="1" w:styleId="TextbublinyChar1">
    <w:name w:val="Text bubliny Char1"/>
    <w:uiPriority w:val="99"/>
    <w:semiHidden/>
    <w:rsid w:val="00B02CDE"/>
    <w:rPr>
      <w:rFonts w:ascii="Tahoma" w:eastAsia="Times New Roman" w:hAnsi="Tahoma" w:cs="Tahoma"/>
      <w:sz w:val="16"/>
      <w:szCs w:val="16"/>
      <w:lang w:eastAsia="cs-CZ"/>
    </w:rPr>
  </w:style>
  <w:style w:type="character" w:customStyle="1" w:styleId="PedmtkomenteChar1">
    <w:name w:val="Předmět komentáře Char1"/>
    <w:uiPriority w:val="99"/>
    <w:semiHidden/>
    <w:rsid w:val="00B02CDE"/>
    <w:rPr>
      <w:rFonts w:ascii="Times New Roman" w:eastAsia="Times New Roman" w:hAnsi="Times New Roman" w:cs="Times New Roman"/>
      <w:b/>
      <w:bCs/>
      <w:sz w:val="20"/>
      <w:szCs w:val="20"/>
      <w:lang w:eastAsia="cs-CZ"/>
    </w:rPr>
  </w:style>
  <w:style w:type="paragraph" w:customStyle="1" w:styleId="Text3">
    <w:name w:val="Text 3"/>
    <w:basedOn w:val="Normln"/>
    <w:rsid w:val="000534DA"/>
    <w:pPr>
      <w:overflowPunct/>
      <w:autoSpaceDE/>
      <w:autoSpaceDN/>
      <w:adjustRightInd/>
      <w:spacing w:before="120" w:after="120"/>
      <w:ind w:left="1984"/>
      <w:jc w:val="both"/>
      <w:textAlignment w:val="auto"/>
    </w:pPr>
    <w:rPr>
      <w:rFonts w:eastAsia="Calibri"/>
      <w:sz w:val="24"/>
      <w:lang w:eastAsia="en-GB"/>
    </w:rPr>
  </w:style>
  <w:style w:type="paragraph" w:customStyle="1" w:styleId="ZZNormln">
    <w:name w:val="ZZ Normální"/>
    <w:basedOn w:val="Normln"/>
    <w:rsid w:val="000A44AF"/>
    <w:pPr>
      <w:spacing w:after="120"/>
      <w:jc w:val="both"/>
    </w:pPr>
    <w:rPr>
      <w:rFonts w:ascii="Arial" w:hAnsi="Arial" w:cs="Arial"/>
      <w:sz w:val="24"/>
    </w:rPr>
  </w:style>
  <w:style w:type="paragraph" w:customStyle="1" w:styleId="StylArial11bZarovnatdoblokuVlevo063cm">
    <w:name w:val="Styl Arial 11 b. Zarovnat do bloku Vlevo:  063 cm"/>
    <w:basedOn w:val="Normln"/>
    <w:rsid w:val="00D973E4"/>
    <w:pPr>
      <w:overflowPunct/>
      <w:autoSpaceDE/>
      <w:autoSpaceDN/>
      <w:adjustRightInd/>
      <w:spacing w:before="120"/>
      <w:ind w:left="357"/>
      <w:jc w:val="both"/>
      <w:textAlignment w:val="auto"/>
    </w:pPr>
    <w:rPr>
      <w:rFonts w:ascii="Arial" w:hAnsi="Arial"/>
      <w:sz w:val="22"/>
    </w:rPr>
  </w:style>
  <w:style w:type="paragraph" w:customStyle="1" w:styleId="Normln1">
    <w:name w:val="Normální1"/>
    <w:basedOn w:val="Normln"/>
    <w:rsid w:val="00D973E4"/>
    <w:pPr>
      <w:overflowPunct/>
      <w:autoSpaceDE/>
      <w:autoSpaceDN/>
      <w:adjustRightInd/>
      <w:spacing w:before="100" w:beforeAutospacing="1" w:after="100" w:afterAutospacing="1"/>
      <w:textAlignment w:val="auto"/>
    </w:pPr>
    <w:rPr>
      <w:sz w:val="24"/>
      <w:szCs w:val="24"/>
    </w:rPr>
  </w:style>
  <w:style w:type="paragraph" w:customStyle="1" w:styleId="Specifickcl">
    <w:name w:val="Specifický cíl"/>
    <w:basedOn w:val="Nadpis4"/>
    <w:link w:val="SpecifickclChar"/>
    <w:qFormat/>
    <w:rsid w:val="00D973E4"/>
    <w:pPr>
      <w:numPr>
        <w:ilvl w:val="0"/>
        <w:numId w:val="0"/>
      </w:numPr>
      <w:ind w:left="862" w:hanging="862"/>
    </w:pPr>
    <w:rPr>
      <w:i w:val="0"/>
      <w:color w:val="548DD4"/>
    </w:rPr>
  </w:style>
  <w:style w:type="character" w:customStyle="1" w:styleId="SpecifickclChar">
    <w:name w:val="Specifický cíl Char"/>
    <w:link w:val="Specifickcl"/>
    <w:rsid w:val="00D973E4"/>
    <w:rPr>
      <w:rFonts w:ascii="Calibri" w:hAnsi="Calibri"/>
      <w:b/>
      <w:bCs/>
      <w:i w:val="0"/>
      <w:iCs/>
      <w:color w:val="548DD4"/>
      <w:sz w:val="24"/>
    </w:rPr>
  </w:style>
  <w:style w:type="character" w:customStyle="1" w:styleId="st">
    <w:name w:val="st"/>
    <w:basedOn w:val="Standardnpsmoodstavce"/>
    <w:rsid w:val="00D973E4"/>
  </w:style>
  <w:style w:type="paragraph" w:customStyle="1" w:styleId="Char4CharCharCharCharCharCharCharCharChar">
    <w:name w:val="Char4 Char Char Char Char Char Char Char Char Char"/>
    <w:basedOn w:val="Normln"/>
    <w:rsid w:val="00D973E4"/>
    <w:pPr>
      <w:overflowPunct/>
      <w:autoSpaceDE/>
      <w:autoSpaceDN/>
      <w:adjustRightInd/>
      <w:spacing w:after="160" w:line="240" w:lineRule="exact"/>
      <w:textAlignment w:val="auto"/>
    </w:pPr>
    <w:rPr>
      <w:rFonts w:ascii="Times New Roman Bold" w:hAnsi="Times New Roman Bold"/>
      <w:sz w:val="22"/>
      <w:szCs w:val="26"/>
      <w:lang w:val="sk-SK" w:eastAsia="en-US"/>
    </w:rPr>
  </w:style>
  <w:style w:type="numbering" w:customStyle="1" w:styleId="Bezseznamu1">
    <w:name w:val="Bez seznamu1"/>
    <w:next w:val="Bezseznamu"/>
    <w:uiPriority w:val="99"/>
    <w:semiHidden/>
    <w:unhideWhenUsed/>
    <w:rsid w:val="00BD3D1A"/>
  </w:style>
  <w:style w:type="table" w:customStyle="1" w:styleId="Mkatabulky1">
    <w:name w:val="Mřížka tabulky1"/>
    <w:basedOn w:val="Normlntabulka"/>
    <w:next w:val="Mkatabulky"/>
    <w:uiPriority w:val="59"/>
    <w:rsid w:val="00BD3D1A"/>
    <w:pPr>
      <w:jc w:val="both"/>
    </w:pPr>
    <w:rPr>
      <w:rFonts w:ascii="Tahoma" w:eastAsia="Calibri" w:hAnsi="Tahoma"/>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vysvtlivekChar1">
    <w:name w:val="Text vysvětlivek Char1"/>
    <w:uiPriority w:val="99"/>
    <w:semiHidden/>
    <w:rsid w:val="00BD3D1A"/>
    <w:rPr>
      <w:szCs w:val="20"/>
    </w:rPr>
  </w:style>
  <w:style w:type="character" w:customStyle="1" w:styleId="TextpoznpodarouChar1">
    <w:name w:val="Text pozn. pod čarou Char1"/>
    <w:uiPriority w:val="99"/>
    <w:semiHidden/>
    <w:rsid w:val="00BD3D1A"/>
    <w:rPr>
      <w:szCs w:val="20"/>
    </w:rPr>
  </w:style>
  <w:style w:type="table" w:customStyle="1" w:styleId="Stednstnovn2zvraznn11">
    <w:name w:val="Střední stínování 2 – zvýraznění 11"/>
    <w:basedOn w:val="Normlntabulka"/>
    <w:uiPriority w:val="64"/>
    <w:rsid w:val="00B551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longtext">
    <w:name w:val="long_text"/>
    <w:basedOn w:val="Standardnpsmoodstavce"/>
    <w:rsid w:val="002A7237"/>
  </w:style>
  <w:style w:type="character" w:customStyle="1" w:styleId="hps">
    <w:name w:val="hps"/>
    <w:basedOn w:val="Standardnpsmoodstavce"/>
    <w:rsid w:val="002A7237"/>
  </w:style>
  <w:style w:type="character" w:customStyle="1" w:styleId="CharChar7">
    <w:name w:val="Char Char7"/>
    <w:locked/>
    <w:rsid w:val="0083211D"/>
    <w:rPr>
      <w:rFonts w:ascii="Calibri" w:hAnsi="Calibri"/>
      <w:lang w:bidi="ar-SA"/>
    </w:rPr>
  </w:style>
  <w:style w:type="paragraph" w:styleId="Odstavecseseznamem">
    <w:name w:val="List Paragraph"/>
    <w:aliases w:val="Nad"/>
    <w:basedOn w:val="Normln"/>
    <w:uiPriority w:val="34"/>
    <w:qFormat/>
    <w:rsid w:val="00722D7B"/>
    <w:pPr>
      <w:ind w:left="720"/>
      <w:contextualSpacing/>
    </w:pPr>
  </w:style>
  <w:style w:type="paragraph" w:customStyle="1" w:styleId="tabodr">
    <w:name w:val="tabodr"/>
    <w:basedOn w:val="Normln"/>
    <w:rsid w:val="00FC57A0"/>
    <w:pPr>
      <w:tabs>
        <w:tab w:val="num" w:pos="360"/>
      </w:tabs>
      <w:overflowPunct/>
      <w:autoSpaceDE/>
      <w:autoSpaceDN/>
      <w:adjustRightInd/>
      <w:spacing w:before="120" w:after="20"/>
      <w:ind w:left="360" w:hanging="360"/>
      <w:jc w:val="both"/>
      <w:textAlignment w:val="auto"/>
    </w:pPr>
    <w:rPr>
      <w:rFonts w:ascii="Verdana" w:hAnsi="Verdana"/>
      <w:sz w:val="24"/>
      <w:szCs w:val="24"/>
    </w:rPr>
  </w:style>
  <w:style w:type="paragraph" w:customStyle="1" w:styleId="xl52">
    <w:name w:val="xl52"/>
    <w:basedOn w:val="Normln"/>
    <w:rsid w:val="00933C64"/>
    <w:pPr>
      <w:pBdr>
        <w:top w:val="single" w:sz="4" w:space="0" w:color="auto"/>
        <w:left w:val="single" w:sz="4" w:space="0" w:color="auto"/>
        <w:bottom w:val="single" w:sz="4"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eastAsia="Arial Unicode MS" w:hAnsi="Arial" w:cs="Arial Unicode M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9701">
      <w:bodyDiv w:val="1"/>
      <w:marLeft w:val="0"/>
      <w:marRight w:val="0"/>
      <w:marTop w:val="0"/>
      <w:marBottom w:val="0"/>
      <w:divBdr>
        <w:top w:val="none" w:sz="0" w:space="0" w:color="auto"/>
        <w:left w:val="none" w:sz="0" w:space="0" w:color="auto"/>
        <w:bottom w:val="none" w:sz="0" w:space="0" w:color="auto"/>
        <w:right w:val="none" w:sz="0" w:space="0" w:color="auto"/>
      </w:divBdr>
    </w:div>
    <w:div w:id="111752168">
      <w:bodyDiv w:val="1"/>
      <w:marLeft w:val="0"/>
      <w:marRight w:val="0"/>
      <w:marTop w:val="0"/>
      <w:marBottom w:val="0"/>
      <w:divBdr>
        <w:top w:val="none" w:sz="0" w:space="0" w:color="auto"/>
        <w:left w:val="none" w:sz="0" w:space="0" w:color="auto"/>
        <w:bottom w:val="none" w:sz="0" w:space="0" w:color="auto"/>
        <w:right w:val="none" w:sz="0" w:space="0" w:color="auto"/>
      </w:divBdr>
    </w:div>
    <w:div w:id="138571116">
      <w:bodyDiv w:val="1"/>
      <w:marLeft w:val="0"/>
      <w:marRight w:val="0"/>
      <w:marTop w:val="0"/>
      <w:marBottom w:val="0"/>
      <w:divBdr>
        <w:top w:val="none" w:sz="0" w:space="0" w:color="auto"/>
        <w:left w:val="none" w:sz="0" w:space="0" w:color="auto"/>
        <w:bottom w:val="none" w:sz="0" w:space="0" w:color="auto"/>
        <w:right w:val="none" w:sz="0" w:space="0" w:color="auto"/>
      </w:divBdr>
      <w:divsChild>
        <w:div w:id="960303252">
          <w:marLeft w:val="1685"/>
          <w:marRight w:val="0"/>
          <w:marTop w:val="120"/>
          <w:marBottom w:val="0"/>
          <w:divBdr>
            <w:top w:val="none" w:sz="0" w:space="0" w:color="auto"/>
            <w:left w:val="none" w:sz="0" w:space="0" w:color="auto"/>
            <w:bottom w:val="none" w:sz="0" w:space="0" w:color="auto"/>
            <w:right w:val="none" w:sz="0" w:space="0" w:color="auto"/>
          </w:divBdr>
        </w:div>
        <w:div w:id="1566333408">
          <w:marLeft w:val="1685"/>
          <w:marRight w:val="0"/>
          <w:marTop w:val="96"/>
          <w:marBottom w:val="120"/>
          <w:divBdr>
            <w:top w:val="none" w:sz="0" w:space="0" w:color="auto"/>
            <w:left w:val="none" w:sz="0" w:space="0" w:color="auto"/>
            <w:bottom w:val="none" w:sz="0" w:space="0" w:color="auto"/>
            <w:right w:val="none" w:sz="0" w:space="0" w:color="auto"/>
          </w:divBdr>
        </w:div>
      </w:divsChild>
    </w:div>
    <w:div w:id="167330240">
      <w:bodyDiv w:val="1"/>
      <w:marLeft w:val="0"/>
      <w:marRight w:val="0"/>
      <w:marTop w:val="0"/>
      <w:marBottom w:val="0"/>
      <w:divBdr>
        <w:top w:val="none" w:sz="0" w:space="0" w:color="auto"/>
        <w:left w:val="none" w:sz="0" w:space="0" w:color="auto"/>
        <w:bottom w:val="none" w:sz="0" w:space="0" w:color="auto"/>
        <w:right w:val="none" w:sz="0" w:space="0" w:color="auto"/>
      </w:divBdr>
    </w:div>
    <w:div w:id="168642100">
      <w:bodyDiv w:val="1"/>
      <w:marLeft w:val="0"/>
      <w:marRight w:val="0"/>
      <w:marTop w:val="0"/>
      <w:marBottom w:val="0"/>
      <w:divBdr>
        <w:top w:val="none" w:sz="0" w:space="0" w:color="auto"/>
        <w:left w:val="none" w:sz="0" w:space="0" w:color="auto"/>
        <w:bottom w:val="none" w:sz="0" w:space="0" w:color="auto"/>
        <w:right w:val="none" w:sz="0" w:space="0" w:color="auto"/>
      </w:divBdr>
    </w:div>
    <w:div w:id="172425380">
      <w:bodyDiv w:val="1"/>
      <w:marLeft w:val="0"/>
      <w:marRight w:val="0"/>
      <w:marTop w:val="0"/>
      <w:marBottom w:val="0"/>
      <w:divBdr>
        <w:top w:val="none" w:sz="0" w:space="0" w:color="auto"/>
        <w:left w:val="none" w:sz="0" w:space="0" w:color="auto"/>
        <w:bottom w:val="none" w:sz="0" w:space="0" w:color="auto"/>
        <w:right w:val="none" w:sz="0" w:space="0" w:color="auto"/>
      </w:divBdr>
    </w:div>
    <w:div w:id="179197756">
      <w:bodyDiv w:val="1"/>
      <w:marLeft w:val="0"/>
      <w:marRight w:val="0"/>
      <w:marTop w:val="0"/>
      <w:marBottom w:val="0"/>
      <w:divBdr>
        <w:top w:val="none" w:sz="0" w:space="0" w:color="auto"/>
        <w:left w:val="none" w:sz="0" w:space="0" w:color="auto"/>
        <w:bottom w:val="none" w:sz="0" w:space="0" w:color="auto"/>
        <w:right w:val="none" w:sz="0" w:space="0" w:color="auto"/>
      </w:divBdr>
    </w:div>
    <w:div w:id="205797738">
      <w:bodyDiv w:val="1"/>
      <w:marLeft w:val="0"/>
      <w:marRight w:val="0"/>
      <w:marTop w:val="0"/>
      <w:marBottom w:val="0"/>
      <w:divBdr>
        <w:top w:val="none" w:sz="0" w:space="0" w:color="auto"/>
        <w:left w:val="none" w:sz="0" w:space="0" w:color="auto"/>
        <w:bottom w:val="none" w:sz="0" w:space="0" w:color="auto"/>
        <w:right w:val="none" w:sz="0" w:space="0" w:color="auto"/>
      </w:divBdr>
    </w:div>
    <w:div w:id="214776869">
      <w:bodyDiv w:val="1"/>
      <w:marLeft w:val="0"/>
      <w:marRight w:val="0"/>
      <w:marTop w:val="0"/>
      <w:marBottom w:val="0"/>
      <w:divBdr>
        <w:top w:val="none" w:sz="0" w:space="0" w:color="auto"/>
        <w:left w:val="none" w:sz="0" w:space="0" w:color="auto"/>
        <w:bottom w:val="none" w:sz="0" w:space="0" w:color="auto"/>
        <w:right w:val="none" w:sz="0" w:space="0" w:color="auto"/>
      </w:divBdr>
    </w:div>
    <w:div w:id="271130281">
      <w:bodyDiv w:val="1"/>
      <w:marLeft w:val="0"/>
      <w:marRight w:val="0"/>
      <w:marTop w:val="0"/>
      <w:marBottom w:val="0"/>
      <w:divBdr>
        <w:top w:val="none" w:sz="0" w:space="0" w:color="auto"/>
        <w:left w:val="none" w:sz="0" w:space="0" w:color="auto"/>
        <w:bottom w:val="none" w:sz="0" w:space="0" w:color="auto"/>
        <w:right w:val="none" w:sz="0" w:space="0" w:color="auto"/>
      </w:divBdr>
    </w:div>
    <w:div w:id="275530898">
      <w:bodyDiv w:val="1"/>
      <w:marLeft w:val="0"/>
      <w:marRight w:val="0"/>
      <w:marTop w:val="0"/>
      <w:marBottom w:val="0"/>
      <w:divBdr>
        <w:top w:val="none" w:sz="0" w:space="0" w:color="auto"/>
        <w:left w:val="none" w:sz="0" w:space="0" w:color="auto"/>
        <w:bottom w:val="none" w:sz="0" w:space="0" w:color="auto"/>
        <w:right w:val="none" w:sz="0" w:space="0" w:color="auto"/>
      </w:divBdr>
    </w:div>
    <w:div w:id="311176680">
      <w:bodyDiv w:val="1"/>
      <w:marLeft w:val="0"/>
      <w:marRight w:val="0"/>
      <w:marTop w:val="0"/>
      <w:marBottom w:val="0"/>
      <w:divBdr>
        <w:top w:val="none" w:sz="0" w:space="0" w:color="auto"/>
        <w:left w:val="none" w:sz="0" w:space="0" w:color="auto"/>
        <w:bottom w:val="none" w:sz="0" w:space="0" w:color="auto"/>
        <w:right w:val="none" w:sz="0" w:space="0" w:color="auto"/>
      </w:divBdr>
    </w:div>
    <w:div w:id="339703314">
      <w:bodyDiv w:val="1"/>
      <w:marLeft w:val="0"/>
      <w:marRight w:val="0"/>
      <w:marTop w:val="0"/>
      <w:marBottom w:val="0"/>
      <w:divBdr>
        <w:top w:val="none" w:sz="0" w:space="0" w:color="auto"/>
        <w:left w:val="none" w:sz="0" w:space="0" w:color="auto"/>
        <w:bottom w:val="none" w:sz="0" w:space="0" w:color="auto"/>
        <w:right w:val="none" w:sz="0" w:space="0" w:color="auto"/>
      </w:divBdr>
    </w:div>
    <w:div w:id="350231787">
      <w:bodyDiv w:val="1"/>
      <w:marLeft w:val="0"/>
      <w:marRight w:val="0"/>
      <w:marTop w:val="0"/>
      <w:marBottom w:val="0"/>
      <w:divBdr>
        <w:top w:val="none" w:sz="0" w:space="0" w:color="auto"/>
        <w:left w:val="none" w:sz="0" w:space="0" w:color="auto"/>
        <w:bottom w:val="none" w:sz="0" w:space="0" w:color="auto"/>
        <w:right w:val="none" w:sz="0" w:space="0" w:color="auto"/>
      </w:divBdr>
    </w:div>
    <w:div w:id="388504413">
      <w:bodyDiv w:val="1"/>
      <w:marLeft w:val="0"/>
      <w:marRight w:val="0"/>
      <w:marTop w:val="0"/>
      <w:marBottom w:val="0"/>
      <w:divBdr>
        <w:top w:val="none" w:sz="0" w:space="0" w:color="auto"/>
        <w:left w:val="none" w:sz="0" w:space="0" w:color="auto"/>
        <w:bottom w:val="none" w:sz="0" w:space="0" w:color="auto"/>
        <w:right w:val="none" w:sz="0" w:space="0" w:color="auto"/>
      </w:divBdr>
    </w:div>
    <w:div w:id="411466775">
      <w:bodyDiv w:val="1"/>
      <w:marLeft w:val="0"/>
      <w:marRight w:val="0"/>
      <w:marTop w:val="0"/>
      <w:marBottom w:val="0"/>
      <w:divBdr>
        <w:top w:val="none" w:sz="0" w:space="0" w:color="auto"/>
        <w:left w:val="none" w:sz="0" w:space="0" w:color="auto"/>
        <w:bottom w:val="none" w:sz="0" w:space="0" w:color="auto"/>
        <w:right w:val="none" w:sz="0" w:space="0" w:color="auto"/>
      </w:divBdr>
      <w:divsChild>
        <w:div w:id="141361170">
          <w:marLeft w:val="1987"/>
          <w:marRight w:val="0"/>
          <w:marTop w:val="228"/>
          <w:marBottom w:val="0"/>
          <w:divBdr>
            <w:top w:val="none" w:sz="0" w:space="0" w:color="auto"/>
            <w:left w:val="none" w:sz="0" w:space="0" w:color="auto"/>
            <w:bottom w:val="none" w:sz="0" w:space="0" w:color="auto"/>
            <w:right w:val="none" w:sz="0" w:space="0" w:color="auto"/>
          </w:divBdr>
        </w:div>
        <w:div w:id="237520919">
          <w:marLeft w:val="1987"/>
          <w:marRight w:val="0"/>
          <w:marTop w:val="228"/>
          <w:marBottom w:val="0"/>
          <w:divBdr>
            <w:top w:val="none" w:sz="0" w:space="0" w:color="auto"/>
            <w:left w:val="none" w:sz="0" w:space="0" w:color="auto"/>
            <w:bottom w:val="none" w:sz="0" w:space="0" w:color="auto"/>
            <w:right w:val="none" w:sz="0" w:space="0" w:color="auto"/>
          </w:divBdr>
        </w:div>
        <w:div w:id="400713405">
          <w:marLeft w:val="1987"/>
          <w:marRight w:val="0"/>
          <w:marTop w:val="228"/>
          <w:marBottom w:val="0"/>
          <w:divBdr>
            <w:top w:val="none" w:sz="0" w:space="0" w:color="auto"/>
            <w:left w:val="none" w:sz="0" w:space="0" w:color="auto"/>
            <w:bottom w:val="none" w:sz="0" w:space="0" w:color="auto"/>
            <w:right w:val="none" w:sz="0" w:space="0" w:color="auto"/>
          </w:divBdr>
        </w:div>
        <w:div w:id="1011222477">
          <w:marLeft w:val="1987"/>
          <w:marRight w:val="0"/>
          <w:marTop w:val="228"/>
          <w:marBottom w:val="0"/>
          <w:divBdr>
            <w:top w:val="none" w:sz="0" w:space="0" w:color="auto"/>
            <w:left w:val="none" w:sz="0" w:space="0" w:color="auto"/>
            <w:bottom w:val="none" w:sz="0" w:space="0" w:color="auto"/>
            <w:right w:val="none" w:sz="0" w:space="0" w:color="auto"/>
          </w:divBdr>
        </w:div>
        <w:div w:id="1522472095">
          <w:marLeft w:val="1987"/>
          <w:marRight w:val="0"/>
          <w:marTop w:val="228"/>
          <w:marBottom w:val="0"/>
          <w:divBdr>
            <w:top w:val="none" w:sz="0" w:space="0" w:color="auto"/>
            <w:left w:val="none" w:sz="0" w:space="0" w:color="auto"/>
            <w:bottom w:val="none" w:sz="0" w:space="0" w:color="auto"/>
            <w:right w:val="none" w:sz="0" w:space="0" w:color="auto"/>
          </w:divBdr>
        </w:div>
      </w:divsChild>
    </w:div>
    <w:div w:id="430514860">
      <w:bodyDiv w:val="1"/>
      <w:marLeft w:val="0"/>
      <w:marRight w:val="0"/>
      <w:marTop w:val="0"/>
      <w:marBottom w:val="0"/>
      <w:divBdr>
        <w:top w:val="none" w:sz="0" w:space="0" w:color="auto"/>
        <w:left w:val="none" w:sz="0" w:space="0" w:color="auto"/>
        <w:bottom w:val="none" w:sz="0" w:space="0" w:color="auto"/>
        <w:right w:val="none" w:sz="0" w:space="0" w:color="auto"/>
      </w:divBdr>
    </w:div>
    <w:div w:id="448166915">
      <w:bodyDiv w:val="1"/>
      <w:marLeft w:val="0"/>
      <w:marRight w:val="0"/>
      <w:marTop w:val="0"/>
      <w:marBottom w:val="0"/>
      <w:divBdr>
        <w:top w:val="none" w:sz="0" w:space="0" w:color="auto"/>
        <w:left w:val="none" w:sz="0" w:space="0" w:color="auto"/>
        <w:bottom w:val="none" w:sz="0" w:space="0" w:color="auto"/>
        <w:right w:val="none" w:sz="0" w:space="0" w:color="auto"/>
      </w:divBdr>
    </w:div>
    <w:div w:id="451824781">
      <w:bodyDiv w:val="1"/>
      <w:marLeft w:val="0"/>
      <w:marRight w:val="0"/>
      <w:marTop w:val="0"/>
      <w:marBottom w:val="0"/>
      <w:divBdr>
        <w:top w:val="none" w:sz="0" w:space="0" w:color="auto"/>
        <w:left w:val="none" w:sz="0" w:space="0" w:color="auto"/>
        <w:bottom w:val="none" w:sz="0" w:space="0" w:color="auto"/>
        <w:right w:val="none" w:sz="0" w:space="0" w:color="auto"/>
      </w:divBdr>
    </w:div>
    <w:div w:id="465784517">
      <w:bodyDiv w:val="1"/>
      <w:marLeft w:val="0"/>
      <w:marRight w:val="0"/>
      <w:marTop w:val="0"/>
      <w:marBottom w:val="0"/>
      <w:divBdr>
        <w:top w:val="none" w:sz="0" w:space="0" w:color="auto"/>
        <w:left w:val="none" w:sz="0" w:space="0" w:color="auto"/>
        <w:bottom w:val="none" w:sz="0" w:space="0" w:color="auto"/>
        <w:right w:val="none" w:sz="0" w:space="0" w:color="auto"/>
      </w:divBdr>
    </w:div>
    <w:div w:id="488182249">
      <w:bodyDiv w:val="1"/>
      <w:marLeft w:val="0"/>
      <w:marRight w:val="0"/>
      <w:marTop w:val="0"/>
      <w:marBottom w:val="0"/>
      <w:divBdr>
        <w:top w:val="none" w:sz="0" w:space="0" w:color="auto"/>
        <w:left w:val="none" w:sz="0" w:space="0" w:color="auto"/>
        <w:bottom w:val="none" w:sz="0" w:space="0" w:color="auto"/>
        <w:right w:val="none" w:sz="0" w:space="0" w:color="auto"/>
      </w:divBdr>
    </w:div>
    <w:div w:id="518350909">
      <w:bodyDiv w:val="1"/>
      <w:marLeft w:val="0"/>
      <w:marRight w:val="0"/>
      <w:marTop w:val="0"/>
      <w:marBottom w:val="0"/>
      <w:divBdr>
        <w:top w:val="none" w:sz="0" w:space="0" w:color="auto"/>
        <w:left w:val="none" w:sz="0" w:space="0" w:color="auto"/>
        <w:bottom w:val="none" w:sz="0" w:space="0" w:color="auto"/>
        <w:right w:val="none" w:sz="0" w:space="0" w:color="auto"/>
      </w:divBdr>
    </w:div>
    <w:div w:id="529151670">
      <w:bodyDiv w:val="1"/>
      <w:marLeft w:val="0"/>
      <w:marRight w:val="0"/>
      <w:marTop w:val="0"/>
      <w:marBottom w:val="0"/>
      <w:divBdr>
        <w:top w:val="none" w:sz="0" w:space="0" w:color="auto"/>
        <w:left w:val="none" w:sz="0" w:space="0" w:color="auto"/>
        <w:bottom w:val="none" w:sz="0" w:space="0" w:color="auto"/>
        <w:right w:val="none" w:sz="0" w:space="0" w:color="auto"/>
      </w:divBdr>
    </w:div>
    <w:div w:id="569123853">
      <w:bodyDiv w:val="1"/>
      <w:marLeft w:val="0"/>
      <w:marRight w:val="0"/>
      <w:marTop w:val="0"/>
      <w:marBottom w:val="0"/>
      <w:divBdr>
        <w:top w:val="none" w:sz="0" w:space="0" w:color="auto"/>
        <w:left w:val="none" w:sz="0" w:space="0" w:color="auto"/>
        <w:bottom w:val="none" w:sz="0" w:space="0" w:color="auto"/>
        <w:right w:val="none" w:sz="0" w:space="0" w:color="auto"/>
      </w:divBdr>
    </w:div>
    <w:div w:id="613631012">
      <w:bodyDiv w:val="1"/>
      <w:marLeft w:val="0"/>
      <w:marRight w:val="0"/>
      <w:marTop w:val="0"/>
      <w:marBottom w:val="0"/>
      <w:divBdr>
        <w:top w:val="none" w:sz="0" w:space="0" w:color="auto"/>
        <w:left w:val="none" w:sz="0" w:space="0" w:color="auto"/>
        <w:bottom w:val="none" w:sz="0" w:space="0" w:color="auto"/>
        <w:right w:val="none" w:sz="0" w:space="0" w:color="auto"/>
      </w:divBdr>
    </w:div>
    <w:div w:id="668169545">
      <w:bodyDiv w:val="1"/>
      <w:marLeft w:val="0"/>
      <w:marRight w:val="0"/>
      <w:marTop w:val="0"/>
      <w:marBottom w:val="0"/>
      <w:divBdr>
        <w:top w:val="none" w:sz="0" w:space="0" w:color="auto"/>
        <w:left w:val="none" w:sz="0" w:space="0" w:color="auto"/>
        <w:bottom w:val="none" w:sz="0" w:space="0" w:color="auto"/>
        <w:right w:val="none" w:sz="0" w:space="0" w:color="auto"/>
      </w:divBdr>
    </w:div>
    <w:div w:id="738017219">
      <w:bodyDiv w:val="1"/>
      <w:marLeft w:val="0"/>
      <w:marRight w:val="0"/>
      <w:marTop w:val="0"/>
      <w:marBottom w:val="0"/>
      <w:divBdr>
        <w:top w:val="none" w:sz="0" w:space="0" w:color="auto"/>
        <w:left w:val="none" w:sz="0" w:space="0" w:color="auto"/>
        <w:bottom w:val="none" w:sz="0" w:space="0" w:color="auto"/>
        <w:right w:val="none" w:sz="0" w:space="0" w:color="auto"/>
      </w:divBdr>
    </w:div>
    <w:div w:id="782650553">
      <w:bodyDiv w:val="1"/>
      <w:marLeft w:val="0"/>
      <w:marRight w:val="0"/>
      <w:marTop w:val="0"/>
      <w:marBottom w:val="0"/>
      <w:divBdr>
        <w:top w:val="none" w:sz="0" w:space="0" w:color="auto"/>
        <w:left w:val="none" w:sz="0" w:space="0" w:color="auto"/>
        <w:bottom w:val="none" w:sz="0" w:space="0" w:color="auto"/>
        <w:right w:val="none" w:sz="0" w:space="0" w:color="auto"/>
      </w:divBdr>
    </w:div>
    <w:div w:id="785153185">
      <w:bodyDiv w:val="1"/>
      <w:marLeft w:val="0"/>
      <w:marRight w:val="0"/>
      <w:marTop w:val="0"/>
      <w:marBottom w:val="0"/>
      <w:divBdr>
        <w:top w:val="none" w:sz="0" w:space="0" w:color="auto"/>
        <w:left w:val="none" w:sz="0" w:space="0" w:color="auto"/>
        <w:bottom w:val="none" w:sz="0" w:space="0" w:color="auto"/>
        <w:right w:val="none" w:sz="0" w:space="0" w:color="auto"/>
      </w:divBdr>
    </w:div>
    <w:div w:id="803934705">
      <w:bodyDiv w:val="1"/>
      <w:marLeft w:val="0"/>
      <w:marRight w:val="0"/>
      <w:marTop w:val="0"/>
      <w:marBottom w:val="0"/>
      <w:divBdr>
        <w:top w:val="none" w:sz="0" w:space="0" w:color="auto"/>
        <w:left w:val="none" w:sz="0" w:space="0" w:color="auto"/>
        <w:bottom w:val="none" w:sz="0" w:space="0" w:color="auto"/>
        <w:right w:val="none" w:sz="0" w:space="0" w:color="auto"/>
      </w:divBdr>
      <w:divsChild>
        <w:div w:id="748574360">
          <w:marLeft w:val="562"/>
          <w:marRight w:val="0"/>
          <w:marTop w:val="67"/>
          <w:marBottom w:val="120"/>
          <w:divBdr>
            <w:top w:val="none" w:sz="0" w:space="0" w:color="auto"/>
            <w:left w:val="none" w:sz="0" w:space="0" w:color="auto"/>
            <w:bottom w:val="none" w:sz="0" w:space="0" w:color="auto"/>
            <w:right w:val="none" w:sz="0" w:space="0" w:color="auto"/>
          </w:divBdr>
        </w:div>
        <w:div w:id="872111083">
          <w:marLeft w:val="562"/>
          <w:marRight w:val="0"/>
          <w:marTop w:val="67"/>
          <w:marBottom w:val="120"/>
          <w:divBdr>
            <w:top w:val="none" w:sz="0" w:space="0" w:color="auto"/>
            <w:left w:val="none" w:sz="0" w:space="0" w:color="auto"/>
            <w:bottom w:val="none" w:sz="0" w:space="0" w:color="auto"/>
            <w:right w:val="none" w:sz="0" w:space="0" w:color="auto"/>
          </w:divBdr>
        </w:div>
        <w:div w:id="1067074890">
          <w:marLeft w:val="562"/>
          <w:marRight w:val="0"/>
          <w:marTop w:val="67"/>
          <w:marBottom w:val="360"/>
          <w:divBdr>
            <w:top w:val="none" w:sz="0" w:space="0" w:color="auto"/>
            <w:left w:val="none" w:sz="0" w:space="0" w:color="auto"/>
            <w:bottom w:val="none" w:sz="0" w:space="0" w:color="auto"/>
            <w:right w:val="none" w:sz="0" w:space="0" w:color="auto"/>
          </w:divBdr>
        </w:div>
        <w:div w:id="1467045074">
          <w:marLeft w:val="562"/>
          <w:marRight w:val="0"/>
          <w:marTop w:val="67"/>
          <w:marBottom w:val="0"/>
          <w:divBdr>
            <w:top w:val="none" w:sz="0" w:space="0" w:color="auto"/>
            <w:left w:val="none" w:sz="0" w:space="0" w:color="auto"/>
            <w:bottom w:val="none" w:sz="0" w:space="0" w:color="auto"/>
            <w:right w:val="none" w:sz="0" w:space="0" w:color="auto"/>
          </w:divBdr>
        </w:div>
      </w:divsChild>
    </w:div>
    <w:div w:id="830682930">
      <w:bodyDiv w:val="1"/>
      <w:marLeft w:val="0"/>
      <w:marRight w:val="0"/>
      <w:marTop w:val="0"/>
      <w:marBottom w:val="0"/>
      <w:divBdr>
        <w:top w:val="none" w:sz="0" w:space="0" w:color="auto"/>
        <w:left w:val="none" w:sz="0" w:space="0" w:color="auto"/>
        <w:bottom w:val="none" w:sz="0" w:space="0" w:color="auto"/>
        <w:right w:val="none" w:sz="0" w:space="0" w:color="auto"/>
      </w:divBdr>
    </w:div>
    <w:div w:id="836187954">
      <w:bodyDiv w:val="1"/>
      <w:marLeft w:val="0"/>
      <w:marRight w:val="0"/>
      <w:marTop w:val="0"/>
      <w:marBottom w:val="0"/>
      <w:divBdr>
        <w:top w:val="none" w:sz="0" w:space="0" w:color="auto"/>
        <w:left w:val="none" w:sz="0" w:space="0" w:color="auto"/>
        <w:bottom w:val="none" w:sz="0" w:space="0" w:color="auto"/>
        <w:right w:val="none" w:sz="0" w:space="0" w:color="auto"/>
      </w:divBdr>
      <w:divsChild>
        <w:div w:id="90976804">
          <w:marLeft w:val="1699"/>
          <w:marRight w:val="0"/>
          <w:marTop w:val="0"/>
          <w:marBottom w:val="60"/>
          <w:divBdr>
            <w:top w:val="none" w:sz="0" w:space="0" w:color="auto"/>
            <w:left w:val="none" w:sz="0" w:space="0" w:color="auto"/>
            <w:bottom w:val="none" w:sz="0" w:space="0" w:color="auto"/>
            <w:right w:val="none" w:sz="0" w:space="0" w:color="auto"/>
          </w:divBdr>
        </w:div>
        <w:div w:id="209417843">
          <w:marLeft w:val="2722"/>
          <w:marRight w:val="0"/>
          <w:marTop w:val="0"/>
          <w:marBottom w:val="60"/>
          <w:divBdr>
            <w:top w:val="none" w:sz="0" w:space="0" w:color="auto"/>
            <w:left w:val="none" w:sz="0" w:space="0" w:color="auto"/>
            <w:bottom w:val="none" w:sz="0" w:space="0" w:color="auto"/>
            <w:right w:val="none" w:sz="0" w:space="0" w:color="auto"/>
          </w:divBdr>
        </w:div>
        <w:div w:id="337779817">
          <w:marLeft w:val="1699"/>
          <w:marRight w:val="0"/>
          <w:marTop w:val="0"/>
          <w:marBottom w:val="60"/>
          <w:divBdr>
            <w:top w:val="none" w:sz="0" w:space="0" w:color="auto"/>
            <w:left w:val="none" w:sz="0" w:space="0" w:color="auto"/>
            <w:bottom w:val="none" w:sz="0" w:space="0" w:color="auto"/>
            <w:right w:val="none" w:sz="0" w:space="0" w:color="auto"/>
          </w:divBdr>
        </w:div>
        <w:div w:id="499084814">
          <w:marLeft w:val="1699"/>
          <w:marRight w:val="0"/>
          <w:marTop w:val="0"/>
          <w:marBottom w:val="60"/>
          <w:divBdr>
            <w:top w:val="none" w:sz="0" w:space="0" w:color="auto"/>
            <w:left w:val="none" w:sz="0" w:space="0" w:color="auto"/>
            <w:bottom w:val="none" w:sz="0" w:space="0" w:color="auto"/>
            <w:right w:val="none" w:sz="0" w:space="0" w:color="auto"/>
          </w:divBdr>
        </w:div>
        <w:div w:id="848060796">
          <w:marLeft w:val="562"/>
          <w:marRight w:val="0"/>
          <w:marTop w:val="0"/>
          <w:marBottom w:val="60"/>
          <w:divBdr>
            <w:top w:val="none" w:sz="0" w:space="0" w:color="auto"/>
            <w:left w:val="none" w:sz="0" w:space="0" w:color="auto"/>
            <w:bottom w:val="none" w:sz="0" w:space="0" w:color="auto"/>
            <w:right w:val="none" w:sz="0" w:space="0" w:color="auto"/>
          </w:divBdr>
        </w:div>
        <w:div w:id="875773003">
          <w:marLeft w:val="1699"/>
          <w:marRight w:val="0"/>
          <w:marTop w:val="0"/>
          <w:marBottom w:val="60"/>
          <w:divBdr>
            <w:top w:val="none" w:sz="0" w:space="0" w:color="auto"/>
            <w:left w:val="none" w:sz="0" w:space="0" w:color="auto"/>
            <w:bottom w:val="none" w:sz="0" w:space="0" w:color="auto"/>
            <w:right w:val="none" w:sz="0" w:space="0" w:color="auto"/>
          </w:divBdr>
        </w:div>
        <w:div w:id="875850436">
          <w:marLeft w:val="1699"/>
          <w:marRight w:val="0"/>
          <w:marTop w:val="0"/>
          <w:marBottom w:val="60"/>
          <w:divBdr>
            <w:top w:val="none" w:sz="0" w:space="0" w:color="auto"/>
            <w:left w:val="none" w:sz="0" w:space="0" w:color="auto"/>
            <w:bottom w:val="none" w:sz="0" w:space="0" w:color="auto"/>
            <w:right w:val="none" w:sz="0" w:space="0" w:color="auto"/>
          </w:divBdr>
        </w:div>
        <w:div w:id="960067483">
          <w:marLeft w:val="1699"/>
          <w:marRight w:val="0"/>
          <w:marTop w:val="0"/>
          <w:marBottom w:val="60"/>
          <w:divBdr>
            <w:top w:val="none" w:sz="0" w:space="0" w:color="auto"/>
            <w:left w:val="none" w:sz="0" w:space="0" w:color="auto"/>
            <w:bottom w:val="none" w:sz="0" w:space="0" w:color="auto"/>
            <w:right w:val="none" w:sz="0" w:space="0" w:color="auto"/>
          </w:divBdr>
        </w:div>
        <w:div w:id="1101415409">
          <w:marLeft w:val="1699"/>
          <w:marRight w:val="0"/>
          <w:marTop w:val="0"/>
          <w:marBottom w:val="60"/>
          <w:divBdr>
            <w:top w:val="none" w:sz="0" w:space="0" w:color="auto"/>
            <w:left w:val="none" w:sz="0" w:space="0" w:color="auto"/>
            <w:bottom w:val="none" w:sz="0" w:space="0" w:color="auto"/>
            <w:right w:val="none" w:sz="0" w:space="0" w:color="auto"/>
          </w:divBdr>
        </w:div>
        <w:div w:id="1993676406">
          <w:marLeft w:val="2722"/>
          <w:marRight w:val="0"/>
          <w:marTop w:val="0"/>
          <w:marBottom w:val="60"/>
          <w:divBdr>
            <w:top w:val="none" w:sz="0" w:space="0" w:color="auto"/>
            <w:left w:val="none" w:sz="0" w:space="0" w:color="auto"/>
            <w:bottom w:val="none" w:sz="0" w:space="0" w:color="auto"/>
            <w:right w:val="none" w:sz="0" w:space="0" w:color="auto"/>
          </w:divBdr>
        </w:div>
        <w:div w:id="2040466794">
          <w:marLeft w:val="2722"/>
          <w:marRight w:val="0"/>
          <w:marTop w:val="0"/>
          <w:marBottom w:val="60"/>
          <w:divBdr>
            <w:top w:val="none" w:sz="0" w:space="0" w:color="auto"/>
            <w:left w:val="none" w:sz="0" w:space="0" w:color="auto"/>
            <w:bottom w:val="none" w:sz="0" w:space="0" w:color="auto"/>
            <w:right w:val="none" w:sz="0" w:space="0" w:color="auto"/>
          </w:divBdr>
        </w:div>
      </w:divsChild>
    </w:div>
    <w:div w:id="838498915">
      <w:bodyDiv w:val="1"/>
      <w:marLeft w:val="0"/>
      <w:marRight w:val="0"/>
      <w:marTop w:val="0"/>
      <w:marBottom w:val="0"/>
      <w:divBdr>
        <w:top w:val="none" w:sz="0" w:space="0" w:color="auto"/>
        <w:left w:val="none" w:sz="0" w:space="0" w:color="auto"/>
        <w:bottom w:val="none" w:sz="0" w:space="0" w:color="auto"/>
        <w:right w:val="none" w:sz="0" w:space="0" w:color="auto"/>
      </w:divBdr>
    </w:div>
    <w:div w:id="844709348">
      <w:bodyDiv w:val="1"/>
      <w:marLeft w:val="0"/>
      <w:marRight w:val="0"/>
      <w:marTop w:val="0"/>
      <w:marBottom w:val="0"/>
      <w:divBdr>
        <w:top w:val="none" w:sz="0" w:space="0" w:color="auto"/>
        <w:left w:val="none" w:sz="0" w:space="0" w:color="auto"/>
        <w:bottom w:val="none" w:sz="0" w:space="0" w:color="auto"/>
        <w:right w:val="none" w:sz="0" w:space="0" w:color="auto"/>
      </w:divBdr>
    </w:div>
    <w:div w:id="859777190">
      <w:bodyDiv w:val="1"/>
      <w:marLeft w:val="0"/>
      <w:marRight w:val="0"/>
      <w:marTop w:val="0"/>
      <w:marBottom w:val="0"/>
      <w:divBdr>
        <w:top w:val="none" w:sz="0" w:space="0" w:color="auto"/>
        <w:left w:val="none" w:sz="0" w:space="0" w:color="auto"/>
        <w:bottom w:val="none" w:sz="0" w:space="0" w:color="auto"/>
        <w:right w:val="none" w:sz="0" w:space="0" w:color="auto"/>
      </w:divBdr>
    </w:div>
    <w:div w:id="920455268">
      <w:bodyDiv w:val="1"/>
      <w:marLeft w:val="0"/>
      <w:marRight w:val="0"/>
      <w:marTop w:val="0"/>
      <w:marBottom w:val="0"/>
      <w:divBdr>
        <w:top w:val="none" w:sz="0" w:space="0" w:color="auto"/>
        <w:left w:val="none" w:sz="0" w:space="0" w:color="auto"/>
        <w:bottom w:val="none" w:sz="0" w:space="0" w:color="auto"/>
        <w:right w:val="none" w:sz="0" w:space="0" w:color="auto"/>
      </w:divBdr>
    </w:div>
    <w:div w:id="923996636">
      <w:bodyDiv w:val="1"/>
      <w:marLeft w:val="0"/>
      <w:marRight w:val="0"/>
      <w:marTop w:val="0"/>
      <w:marBottom w:val="0"/>
      <w:divBdr>
        <w:top w:val="none" w:sz="0" w:space="0" w:color="auto"/>
        <w:left w:val="none" w:sz="0" w:space="0" w:color="auto"/>
        <w:bottom w:val="none" w:sz="0" w:space="0" w:color="auto"/>
        <w:right w:val="none" w:sz="0" w:space="0" w:color="auto"/>
      </w:divBdr>
    </w:div>
    <w:div w:id="990255667">
      <w:bodyDiv w:val="1"/>
      <w:marLeft w:val="0"/>
      <w:marRight w:val="0"/>
      <w:marTop w:val="0"/>
      <w:marBottom w:val="0"/>
      <w:divBdr>
        <w:top w:val="none" w:sz="0" w:space="0" w:color="auto"/>
        <w:left w:val="none" w:sz="0" w:space="0" w:color="auto"/>
        <w:bottom w:val="none" w:sz="0" w:space="0" w:color="auto"/>
        <w:right w:val="none" w:sz="0" w:space="0" w:color="auto"/>
      </w:divBdr>
    </w:div>
    <w:div w:id="994457477">
      <w:bodyDiv w:val="1"/>
      <w:marLeft w:val="0"/>
      <w:marRight w:val="0"/>
      <w:marTop w:val="0"/>
      <w:marBottom w:val="0"/>
      <w:divBdr>
        <w:top w:val="none" w:sz="0" w:space="0" w:color="auto"/>
        <w:left w:val="none" w:sz="0" w:space="0" w:color="auto"/>
        <w:bottom w:val="none" w:sz="0" w:space="0" w:color="auto"/>
        <w:right w:val="none" w:sz="0" w:space="0" w:color="auto"/>
      </w:divBdr>
    </w:div>
    <w:div w:id="1024331544">
      <w:bodyDiv w:val="1"/>
      <w:marLeft w:val="0"/>
      <w:marRight w:val="0"/>
      <w:marTop w:val="0"/>
      <w:marBottom w:val="0"/>
      <w:divBdr>
        <w:top w:val="none" w:sz="0" w:space="0" w:color="auto"/>
        <w:left w:val="none" w:sz="0" w:space="0" w:color="auto"/>
        <w:bottom w:val="none" w:sz="0" w:space="0" w:color="auto"/>
        <w:right w:val="none" w:sz="0" w:space="0" w:color="auto"/>
      </w:divBdr>
    </w:div>
    <w:div w:id="1050155281">
      <w:bodyDiv w:val="1"/>
      <w:marLeft w:val="0"/>
      <w:marRight w:val="0"/>
      <w:marTop w:val="0"/>
      <w:marBottom w:val="0"/>
      <w:divBdr>
        <w:top w:val="none" w:sz="0" w:space="0" w:color="auto"/>
        <w:left w:val="none" w:sz="0" w:space="0" w:color="auto"/>
        <w:bottom w:val="none" w:sz="0" w:space="0" w:color="auto"/>
        <w:right w:val="none" w:sz="0" w:space="0" w:color="auto"/>
      </w:divBdr>
    </w:div>
    <w:div w:id="1086654157">
      <w:bodyDiv w:val="1"/>
      <w:marLeft w:val="0"/>
      <w:marRight w:val="0"/>
      <w:marTop w:val="0"/>
      <w:marBottom w:val="0"/>
      <w:divBdr>
        <w:top w:val="none" w:sz="0" w:space="0" w:color="auto"/>
        <w:left w:val="none" w:sz="0" w:space="0" w:color="auto"/>
        <w:bottom w:val="none" w:sz="0" w:space="0" w:color="auto"/>
        <w:right w:val="none" w:sz="0" w:space="0" w:color="auto"/>
      </w:divBdr>
    </w:div>
    <w:div w:id="1089423084">
      <w:bodyDiv w:val="1"/>
      <w:marLeft w:val="0"/>
      <w:marRight w:val="0"/>
      <w:marTop w:val="0"/>
      <w:marBottom w:val="0"/>
      <w:divBdr>
        <w:top w:val="none" w:sz="0" w:space="0" w:color="auto"/>
        <w:left w:val="none" w:sz="0" w:space="0" w:color="auto"/>
        <w:bottom w:val="none" w:sz="0" w:space="0" w:color="auto"/>
        <w:right w:val="none" w:sz="0" w:space="0" w:color="auto"/>
      </w:divBdr>
      <w:divsChild>
        <w:div w:id="382216221">
          <w:marLeft w:val="562"/>
          <w:marRight w:val="0"/>
          <w:marTop w:val="0"/>
          <w:marBottom w:val="0"/>
          <w:divBdr>
            <w:top w:val="none" w:sz="0" w:space="0" w:color="auto"/>
            <w:left w:val="none" w:sz="0" w:space="0" w:color="auto"/>
            <w:bottom w:val="none" w:sz="0" w:space="0" w:color="auto"/>
            <w:right w:val="none" w:sz="0" w:space="0" w:color="auto"/>
          </w:divBdr>
        </w:div>
        <w:div w:id="1302688625">
          <w:marLeft w:val="562"/>
          <w:marRight w:val="0"/>
          <w:marTop w:val="0"/>
          <w:marBottom w:val="120"/>
          <w:divBdr>
            <w:top w:val="none" w:sz="0" w:space="0" w:color="auto"/>
            <w:left w:val="none" w:sz="0" w:space="0" w:color="auto"/>
            <w:bottom w:val="none" w:sz="0" w:space="0" w:color="auto"/>
            <w:right w:val="none" w:sz="0" w:space="0" w:color="auto"/>
          </w:divBdr>
        </w:div>
        <w:div w:id="1510949561">
          <w:marLeft w:val="562"/>
          <w:marRight w:val="0"/>
          <w:marTop w:val="0"/>
          <w:marBottom w:val="120"/>
          <w:divBdr>
            <w:top w:val="none" w:sz="0" w:space="0" w:color="auto"/>
            <w:left w:val="none" w:sz="0" w:space="0" w:color="auto"/>
            <w:bottom w:val="none" w:sz="0" w:space="0" w:color="auto"/>
            <w:right w:val="none" w:sz="0" w:space="0" w:color="auto"/>
          </w:divBdr>
        </w:div>
        <w:div w:id="1676300609">
          <w:marLeft w:val="562"/>
          <w:marRight w:val="0"/>
          <w:marTop w:val="0"/>
          <w:marBottom w:val="0"/>
          <w:divBdr>
            <w:top w:val="none" w:sz="0" w:space="0" w:color="auto"/>
            <w:left w:val="none" w:sz="0" w:space="0" w:color="auto"/>
            <w:bottom w:val="none" w:sz="0" w:space="0" w:color="auto"/>
            <w:right w:val="none" w:sz="0" w:space="0" w:color="auto"/>
          </w:divBdr>
        </w:div>
        <w:div w:id="1879321270">
          <w:marLeft w:val="562"/>
          <w:marRight w:val="0"/>
          <w:marTop w:val="0"/>
          <w:marBottom w:val="0"/>
          <w:divBdr>
            <w:top w:val="none" w:sz="0" w:space="0" w:color="auto"/>
            <w:left w:val="none" w:sz="0" w:space="0" w:color="auto"/>
            <w:bottom w:val="none" w:sz="0" w:space="0" w:color="auto"/>
            <w:right w:val="none" w:sz="0" w:space="0" w:color="auto"/>
          </w:divBdr>
        </w:div>
        <w:div w:id="2126657276">
          <w:marLeft w:val="562"/>
          <w:marRight w:val="0"/>
          <w:marTop w:val="0"/>
          <w:marBottom w:val="0"/>
          <w:divBdr>
            <w:top w:val="none" w:sz="0" w:space="0" w:color="auto"/>
            <w:left w:val="none" w:sz="0" w:space="0" w:color="auto"/>
            <w:bottom w:val="none" w:sz="0" w:space="0" w:color="auto"/>
            <w:right w:val="none" w:sz="0" w:space="0" w:color="auto"/>
          </w:divBdr>
        </w:div>
      </w:divsChild>
    </w:div>
    <w:div w:id="1143347891">
      <w:bodyDiv w:val="1"/>
      <w:marLeft w:val="0"/>
      <w:marRight w:val="0"/>
      <w:marTop w:val="0"/>
      <w:marBottom w:val="0"/>
      <w:divBdr>
        <w:top w:val="none" w:sz="0" w:space="0" w:color="auto"/>
        <w:left w:val="none" w:sz="0" w:space="0" w:color="auto"/>
        <w:bottom w:val="none" w:sz="0" w:space="0" w:color="auto"/>
        <w:right w:val="none" w:sz="0" w:space="0" w:color="auto"/>
      </w:divBdr>
      <w:divsChild>
        <w:div w:id="98107742">
          <w:marLeft w:val="562"/>
          <w:marRight w:val="0"/>
          <w:marTop w:val="96"/>
          <w:marBottom w:val="360"/>
          <w:divBdr>
            <w:top w:val="none" w:sz="0" w:space="0" w:color="auto"/>
            <w:left w:val="none" w:sz="0" w:space="0" w:color="auto"/>
            <w:bottom w:val="none" w:sz="0" w:space="0" w:color="auto"/>
            <w:right w:val="none" w:sz="0" w:space="0" w:color="auto"/>
          </w:divBdr>
        </w:div>
        <w:div w:id="359554486">
          <w:marLeft w:val="562"/>
          <w:marRight w:val="0"/>
          <w:marTop w:val="96"/>
          <w:marBottom w:val="360"/>
          <w:divBdr>
            <w:top w:val="none" w:sz="0" w:space="0" w:color="auto"/>
            <w:left w:val="none" w:sz="0" w:space="0" w:color="auto"/>
            <w:bottom w:val="none" w:sz="0" w:space="0" w:color="auto"/>
            <w:right w:val="none" w:sz="0" w:space="0" w:color="auto"/>
          </w:divBdr>
        </w:div>
        <w:div w:id="1676306237">
          <w:marLeft w:val="562"/>
          <w:marRight w:val="0"/>
          <w:marTop w:val="96"/>
          <w:marBottom w:val="360"/>
          <w:divBdr>
            <w:top w:val="none" w:sz="0" w:space="0" w:color="auto"/>
            <w:left w:val="none" w:sz="0" w:space="0" w:color="auto"/>
            <w:bottom w:val="none" w:sz="0" w:space="0" w:color="auto"/>
            <w:right w:val="none" w:sz="0" w:space="0" w:color="auto"/>
          </w:divBdr>
        </w:div>
        <w:div w:id="1904020358">
          <w:marLeft w:val="562"/>
          <w:marRight w:val="0"/>
          <w:marTop w:val="96"/>
          <w:marBottom w:val="360"/>
          <w:divBdr>
            <w:top w:val="none" w:sz="0" w:space="0" w:color="auto"/>
            <w:left w:val="none" w:sz="0" w:space="0" w:color="auto"/>
            <w:bottom w:val="none" w:sz="0" w:space="0" w:color="auto"/>
            <w:right w:val="none" w:sz="0" w:space="0" w:color="auto"/>
          </w:divBdr>
        </w:div>
      </w:divsChild>
    </w:div>
    <w:div w:id="1174149870">
      <w:bodyDiv w:val="1"/>
      <w:marLeft w:val="0"/>
      <w:marRight w:val="0"/>
      <w:marTop w:val="0"/>
      <w:marBottom w:val="0"/>
      <w:divBdr>
        <w:top w:val="none" w:sz="0" w:space="0" w:color="auto"/>
        <w:left w:val="none" w:sz="0" w:space="0" w:color="auto"/>
        <w:bottom w:val="none" w:sz="0" w:space="0" w:color="auto"/>
        <w:right w:val="none" w:sz="0" w:space="0" w:color="auto"/>
      </w:divBdr>
    </w:div>
    <w:div w:id="1214660370">
      <w:bodyDiv w:val="1"/>
      <w:marLeft w:val="0"/>
      <w:marRight w:val="0"/>
      <w:marTop w:val="0"/>
      <w:marBottom w:val="0"/>
      <w:divBdr>
        <w:top w:val="none" w:sz="0" w:space="0" w:color="auto"/>
        <w:left w:val="none" w:sz="0" w:space="0" w:color="auto"/>
        <w:bottom w:val="none" w:sz="0" w:space="0" w:color="auto"/>
        <w:right w:val="none" w:sz="0" w:space="0" w:color="auto"/>
      </w:divBdr>
      <w:divsChild>
        <w:div w:id="2115587479">
          <w:marLeft w:val="0"/>
          <w:marRight w:val="0"/>
          <w:marTop w:val="0"/>
          <w:marBottom w:val="0"/>
          <w:divBdr>
            <w:top w:val="none" w:sz="0" w:space="0" w:color="auto"/>
            <w:left w:val="single" w:sz="24" w:space="0" w:color="FFFFFF"/>
            <w:bottom w:val="none" w:sz="0" w:space="0" w:color="auto"/>
            <w:right w:val="single" w:sz="24" w:space="0" w:color="FFFFFF"/>
          </w:divBdr>
          <w:divsChild>
            <w:div w:id="350844496">
              <w:marLeft w:val="0"/>
              <w:marRight w:val="0"/>
              <w:marTop w:val="0"/>
              <w:marBottom w:val="0"/>
              <w:divBdr>
                <w:top w:val="none" w:sz="0" w:space="0" w:color="auto"/>
                <w:left w:val="none" w:sz="0" w:space="0" w:color="auto"/>
                <w:bottom w:val="none" w:sz="0" w:space="0" w:color="auto"/>
                <w:right w:val="none" w:sz="0" w:space="0" w:color="auto"/>
              </w:divBdr>
              <w:divsChild>
                <w:div w:id="1164778265">
                  <w:marLeft w:val="0"/>
                  <w:marRight w:val="0"/>
                  <w:marTop w:val="0"/>
                  <w:marBottom w:val="0"/>
                  <w:divBdr>
                    <w:top w:val="none" w:sz="0" w:space="0" w:color="auto"/>
                    <w:left w:val="none" w:sz="0" w:space="0" w:color="auto"/>
                    <w:bottom w:val="none" w:sz="0" w:space="0" w:color="auto"/>
                    <w:right w:val="none" w:sz="0" w:space="0" w:color="auto"/>
                  </w:divBdr>
                  <w:divsChild>
                    <w:div w:id="145817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806174">
      <w:bodyDiv w:val="1"/>
      <w:marLeft w:val="0"/>
      <w:marRight w:val="0"/>
      <w:marTop w:val="0"/>
      <w:marBottom w:val="0"/>
      <w:divBdr>
        <w:top w:val="none" w:sz="0" w:space="0" w:color="auto"/>
        <w:left w:val="none" w:sz="0" w:space="0" w:color="auto"/>
        <w:bottom w:val="none" w:sz="0" w:space="0" w:color="auto"/>
        <w:right w:val="none" w:sz="0" w:space="0" w:color="auto"/>
      </w:divBdr>
    </w:div>
    <w:div w:id="1284195790">
      <w:bodyDiv w:val="1"/>
      <w:marLeft w:val="0"/>
      <w:marRight w:val="0"/>
      <w:marTop w:val="0"/>
      <w:marBottom w:val="0"/>
      <w:divBdr>
        <w:top w:val="none" w:sz="0" w:space="0" w:color="auto"/>
        <w:left w:val="none" w:sz="0" w:space="0" w:color="auto"/>
        <w:bottom w:val="none" w:sz="0" w:space="0" w:color="auto"/>
        <w:right w:val="none" w:sz="0" w:space="0" w:color="auto"/>
      </w:divBdr>
    </w:div>
    <w:div w:id="1306163954">
      <w:bodyDiv w:val="1"/>
      <w:marLeft w:val="0"/>
      <w:marRight w:val="0"/>
      <w:marTop w:val="0"/>
      <w:marBottom w:val="0"/>
      <w:divBdr>
        <w:top w:val="none" w:sz="0" w:space="0" w:color="auto"/>
        <w:left w:val="none" w:sz="0" w:space="0" w:color="auto"/>
        <w:bottom w:val="none" w:sz="0" w:space="0" w:color="auto"/>
        <w:right w:val="none" w:sz="0" w:space="0" w:color="auto"/>
      </w:divBdr>
    </w:div>
    <w:div w:id="1320421357">
      <w:bodyDiv w:val="1"/>
      <w:marLeft w:val="0"/>
      <w:marRight w:val="0"/>
      <w:marTop w:val="0"/>
      <w:marBottom w:val="0"/>
      <w:divBdr>
        <w:top w:val="none" w:sz="0" w:space="0" w:color="auto"/>
        <w:left w:val="none" w:sz="0" w:space="0" w:color="auto"/>
        <w:bottom w:val="none" w:sz="0" w:space="0" w:color="auto"/>
        <w:right w:val="none" w:sz="0" w:space="0" w:color="auto"/>
      </w:divBdr>
    </w:div>
    <w:div w:id="1371954644">
      <w:bodyDiv w:val="1"/>
      <w:marLeft w:val="0"/>
      <w:marRight w:val="0"/>
      <w:marTop w:val="0"/>
      <w:marBottom w:val="0"/>
      <w:divBdr>
        <w:top w:val="none" w:sz="0" w:space="0" w:color="auto"/>
        <w:left w:val="none" w:sz="0" w:space="0" w:color="auto"/>
        <w:bottom w:val="none" w:sz="0" w:space="0" w:color="auto"/>
        <w:right w:val="none" w:sz="0" w:space="0" w:color="auto"/>
      </w:divBdr>
    </w:div>
    <w:div w:id="1431388884">
      <w:bodyDiv w:val="1"/>
      <w:marLeft w:val="0"/>
      <w:marRight w:val="0"/>
      <w:marTop w:val="0"/>
      <w:marBottom w:val="0"/>
      <w:divBdr>
        <w:top w:val="none" w:sz="0" w:space="0" w:color="auto"/>
        <w:left w:val="none" w:sz="0" w:space="0" w:color="auto"/>
        <w:bottom w:val="none" w:sz="0" w:space="0" w:color="auto"/>
        <w:right w:val="none" w:sz="0" w:space="0" w:color="auto"/>
      </w:divBdr>
    </w:div>
    <w:div w:id="1450663639">
      <w:bodyDiv w:val="1"/>
      <w:marLeft w:val="0"/>
      <w:marRight w:val="0"/>
      <w:marTop w:val="0"/>
      <w:marBottom w:val="0"/>
      <w:divBdr>
        <w:top w:val="none" w:sz="0" w:space="0" w:color="auto"/>
        <w:left w:val="none" w:sz="0" w:space="0" w:color="auto"/>
        <w:bottom w:val="none" w:sz="0" w:space="0" w:color="auto"/>
        <w:right w:val="none" w:sz="0" w:space="0" w:color="auto"/>
      </w:divBdr>
    </w:div>
    <w:div w:id="1458067721">
      <w:bodyDiv w:val="1"/>
      <w:marLeft w:val="0"/>
      <w:marRight w:val="0"/>
      <w:marTop w:val="0"/>
      <w:marBottom w:val="0"/>
      <w:divBdr>
        <w:top w:val="none" w:sz="0" w:space="0" w:color="auto"/>
        <w:left w:val="none" w:sz="0" w:space="0" w:color="auto"/>
        <w:bottom w:val="none" w:sz="0" w:space="0" w:color="auto"/>
        <w:right w:val="none" w:sz="0" w:space="0" w:color="auto"/>
      </w:divBdr>
      <w:divsChild>
        <w:div w:id="31612164">
          <w:marLeft w:val="2261"/>
          <w:marRight w:val="0"/>
          <w:marTop w:val="0"/>
          <w:marBottom w:val="120"/>
          <w:divBdr>
            <w:top w:val="none" w:sz="0" w:space="0" w:color="auto"/>
            <w:left w:val="none" w:sz="0" w:space="0" w:color="auto"/>
            <w:bottom w:val="none" w:sz="0" w:space="0" w:color="auto"/>
            <w:right w:val="none" w:sz="0" w:space="0" w:color="auto"/>
          </w:divBdr>
        </w:div>
        <w:div w:id="61946796">
          <w:marLeft w:val="2261"/>
          <w:marRight w:val="0"/>
          <w:marTop w:val="0"/>
          <w:marBottom w:val="120"/>
          <w:divBdr>
            <w:top w:val="none" w:sz="0" w:space="0" w:color="auto"/>
            <w:left w:val="none" w:sz="0" w:space="0" w:color="auto"/>
            <w:bottom w:val="none" w:sz="0" w:space="0" w:color="auto"/>
            <w:right w:val="none" w:sz="0" w:space="0" w:color="auto"/>
          </w:divBdr>
        </w:div>
        <w:div w:id="510606023">
          <w:marLeft w:val="2261"/>
          <w:marRight w:val="0"/>
          <w:marTop w:val="0"/>
          <w:marBottom w:val="120"/>
          <w:divBdr>
            <w:top w:val="none" w:sz="0" w:space="0" w:color="auto"/>
            <w:left w:val="none" w:sz="0" w:space="0" w:color="auto"/>
            <w:bottom w:val="none" w:sz="0" w:space="0" w:color="auto"/>
            <w:right w:val="none" w:sz="0" w:space="0" w:color="auto"/>
          </w:divBdr>
        </w:div>
        <w:div w:id="546533241">
          <w:marLeft w:val="2261"/>
          <w:marRight w:val="0"/>
          <w:marTop w:val="0"/>
          <w:marBottom w:val="120"/>
          <w:divBdr>
            <w:top w:val="none" w:sz="0" w:space="0" w:color="auto"/>
            <w:left w:val="none" w:sz="0" w:space="0" w:color="auto"/>
            <w:bottom w:val="none" w:sz="0" w:space="0" w:color="auto"/>
            <w:right w:val="none" w:sz="0" w:space="0" w:color="auto"/>
          </w:divBdr>
        </w:div>
        <w:div w:id="601961455">
          <w:marLeft w:val="1195"/>
          <w:marRight w:val="0"/>
          <w:marTop w:val="0"/>
          <w:marBottom w:val="120"/>
          <w:divBdr>
            <w:top w:val="none" w:sz="0" w:space="0" w:color="auto"/>
            <w:left w:val="none" w:sz="0" w:space="0" w:color="auto"/>
            <w:bottom w:val="none" w:sz="0" w:space="0" w:color="auto"/>
            <w:right w:val="none" w:sz="0" w:space="0" w:color="auto"/>
          </w:divBdr>
        </w:div>
        <w:div w:id="807288348">
          <w:marLeft w:val="2261"/>
          <w:marRight w:val="0"/>
          <w:marTop w:val="0"/>
          <w:marBottom w:val="120"/>
          <w:divBdr>
            <w:top w:val="none" w:sz="0" w:space="0" w:color="auto"/>
            <w:left w:val="none" w:sz="0" w:space="0" w:color="auto"/>
            <w:bottom w:val="none" w:sz="0" w:space="0" w:color="auto"/>
            <w:right w:val="none" w:sz="0" w:space="0" w:color="auto"/>
          </w:divBdr>
        </w:div>
        <w:div w:id="863326715">
          <w:marLeft w:val="2261"/>
          <w:marRight w:val="0"/>
          <w:marTop w:val="0"/>
          <w:marBottom w:val="120"/>
          <w:divBdr>
            <w:top w:val="none" w:sz="0" w:space="0" w:color="auto"/>
            <w:left w:val="none" w:sz="0" w:space="0" w:color="auto"/>
            <w:bottom w:val="none" w:sz="0" w:space="0" w:color="auto"/>
            <w:right w:val="none" w:sz="0" w:space="0" w:color="auto"/>
          </w:divBdr>
        </w:div>
        <w:div w:id="972826549">
          <w:marLeft w:val="1166"/>
          <w:marRight w:val="0"/>
          <w:marTop w:val="0"/>
          <w:marBottom w:val="120"/>
          <w:divBdr>
            <w:top w:val="none" w:sz="0" w:space="0" w:color="auto"/>
            <w:left w:val="none" w:sz="0" w:space="0" w:color="auto"/>
            <w:bottom w:val="none" w:sz="0" w:space="0" w:color="auto"/>
            <w:right w:val="none" w:sz="0" w:space="0" w:color="auto"/>
          </w:divBdr>
        </w:div>
        <w:div w:id="1168248050">
          <w:marLeft w:val="2261"/>
          <w:marRight w:val="0"/>
          <w:marTop w:val="0"/>
          <w:marBottom w:val="120"/>
          <w:divBdr>
            <w:top w:val="none" w:sz="0" w:space="0" w:color="auto"/>
            <w:left w:val="none" w:sz="0" w:space="0" w:color="auto"/>
            <w:bottom w:val="none" w:sz="0" w:space="0" w:color="auto"/>
            <w:right w:val="none" w:sz="0" w:space="0" w:color="auto"/>
          </w:divBdr>
        </w:div>
        <w:div w:id="1244800753">
          <w:marLeft w:val="2261"/>
          <w:marRight w:val="0"/>
          <w:marTop w:val="0"/>
          <w:marBottom w:val="120"/>
          <w:divBdr>
            <w:top w:val="none" w:sz="0" w:space="0" w:color="auto"/>
            <w:left w:val="none" w:sz="0" w:space="0" w:color="auto"/>
            <w:bottom w:val="none" w:sz="0" w:space="0" w:color="auto"/>
            <w:right w:val="none" w:sz="0" w:space="0" w:color="auto"/>
          </w:divBdr>
        </w:div>
        <w:div w:id="1767847728">
          <w:marLeft w:val="1195"/>
          <w:marRight w:val="0"/>
          <w:marTop w:val="0"/>
          <w:marBottom w:val="120"/>
          <w:divBdr>
            <w:top w:val="none" w:sz="0" w:space="0" w:color="auto"/>
            <w:left w:val="none" w:sz="0" w:space="0" w:color="auto"/>
            <w:bottom w:val="none" w:sz="0" w:space="0" w:color="auto"/>
            <w:right w:val="none" w:sz="0" w:space="0" w:color="auto"/>
          </w:divBdr>
        </w:div>
      </w:divsChild>
    </w:div>
    <w:div w:id="1461877691">
      <w:bodyDiv w:val="1"/>
      <w:marLeft w:val="0"/>
      <w:marRight w:val="0"/>
      <w:marTop w:val="0"/>
      <w:marBottom w:val="0"/>
      <w:divBdr>
        <w:top w:val="none" w:sz="0" w:space="0" w:color="auto"/>
        <w:left w:val="none" w:sz="0" w:space="0" w:color="auto"/>
        <w:bottom w:val="none" w:sz="0" w:space="0" w:color="auto"/>
        <w:right w:val="none" w:sz="0" w:space="0" w:color="auto"/>
      </w:divBdr>
    </w:div>
    <w:div w:id="1508867195">
      <w:bodyDiv w:val="1"/>
      <w:marLeft w:val="0"/>
      <w:marRight w:val="0"/>
      <w:marTop w:val="0"/>
      <w:marBottom w:val="0"/>
      <w:divBdr>
        <w:top w:val="none" w:sz="0" w:space="0" w:color="auto"/>
        <w:left w:val="none" w:sz="0" w:space="0" w:color="auto"/>
        <w:bottom w:val="none" w:sz="0" w:space="0" w:color="auto"/>
        <w:right w:val="none" w:sz="0" w:space="0" w:color="auto"/>
      </w:divBdr>
    </w:div>
    <w:div w:id="1523326377">
      <w:bodyDiv w:val="1"/>
      <w:marLeft w:val="0"/>
      <w:marRight w:val="0"/>
      <w:marTop w:val="0"/>
      <w:marBottom w:val="0"/>
      <w:divBdr>
        <w:top w:val="none" w:sz="0" w:space="0" w:color="auto"/>
        <w:left w:val="none" w:sz="0" w:space="0" w:color="auto"/>
        <w:bottom w:val="none" w:sz="0" w:space="0" w:color="auto"/>
        <w:right w:val="none" w:sz="0" w:space="0" w:color="auto"/>
      </w:divBdr>
      <w:divsChild>
        <w:div w:id="128935599">
          <w:marLeft w:val="1080"/>
          <w:marRight w:val="0"/>
          <w:marTop w:val="77"/>
          <w:marBottom w:val="120"/>
          <w:divBdr>
            <w:top w:val="none" w:sz="0" w:space="0" w:color="auto"/>
            <w:left w:val="none" w:sz="0" w:space="0" w:color="auto"/>
            <w:bottom w:val="none" w:sz="0" w:space="0" w:color="auto"/>
            <w:right w:val="none" w:sz="0" w:space="0" w:color="auto"/>
          </w:divBdr>
        </w:div>
        <w:div w:id="1216967177">
          <w:marLeft w:val="965"/>
          <w:marRight w:val="0"/>
          <w:marTop w:val="77"/>
          <w:marBottom w:val="120"/>
          <w:divBdr>
            <w:top w:val="none" w:sz="0" w:space="0" w:color="auto"/>
            <w:left w:val="none" w:sz="0" w:space="0" w:color="auto"/>
            <w:bottom w:val="none" w:sz="0" w:space="0" w:color="auto"/>
            <w:right w:val="none" w:sz="0" w:space="0" w:color="auto"/>
          </w:divBdr>
        </w:div>
        <w:div w:id="1229535951">
          <w:marLeft w:val="562"/>
          <w:marRight w:val="0"/>
          <w:marTop w:val="77"/>
          <w:marBottom w:val="120"/>
          <w:divBdr>
            <w:top w:val="none" w:sz="0" w:space="0" w:color="auto"/>
            <w:left w:val="none" w:sz="0" w:space="0" w:color="auto"/>
            <w:bottom w:val="none" w:sz="0" w:space="0" w:color="auto"/>
            <w:right w:val="none" w:sz="0" w:space="0" w:color="auto"/>
          </w:divBdr>
        </w:div>
        <w:div w:id="1519543239">
          <w:marLeft w:val="562"/>
          <w:marRight w:val="0"/>
          <w:marTop w:val="77"/>
          <w:marBottom w:val="120"/>
          <w:divBdr>
            <w:top w:val="none" w:sz="0" w:space="0" w:color="auto"/>
            <w:left w:val="none" w:sz="0" w:space="0" w:color="auto"/>
            <w:bottom w:val="none" w:sz="0" w:space="0" w:color="auto"/>
            <w:right w:val="none" w:sz="0" w:space="0" w:color="auto"/>
          </w:divBdr>
        </w:div>
      </w:divsChild>
    </w:div>
    <w:div w:id="1592542310">
      <w:bodyDiv w:val="1"/>
      <w:marLeft w:val="0"/>
      <w:marRight w:val="0"/>
      <w:marTop w:val="0"/>
      <w:marBottom w:val="0"/>
      <w:divBdr>
        <w:top w:val="none" w:sz="0" w:space="0" w:color="auto"/>
        <w:left w:val="none" w:sz="0" w:space="0" w:color="auto"/>
        <w:bottom w:val="none" w:sz="0" w:space="0" w:color="auto"/>
        <w:right w:val="none" w:sz="0" w:space="0" w:color="auto"/>
      </w:divBdr>
    </w:div>
    <w:div w:id="1596330478">
      <w:bodyDiv w:val="1"/>
      <w:marLeft w:val="0"/>
      <w:marRight w:val="0"/>
      <w:marTop w:val="0"/>
      <w:marBottom w:val="0"/>
      <w:divBdr>
        <w:top w:val="none" w:sz="0" w:space="0" w:color="auto"/>
        <w:left w:val="none" w:sz="0" w:space="0" w:color="auto"/>
        <w:bottom w:val="none" w:sz="0" w:space="0" w:color="auto"/>
        <w:right w:val="none" w:sz="0" w:space="0" w:color="auto"/>
      </w:divBdr>
    </w:div>
    <w:div w:id="1618637417">
      <w:bodyDiv w:val="1"/>
      <w:marLeft w:val="0"/>
      <w:marRight w:val="0"/>
      <w:marTop w:val="0"/>
      <w:marBottom w:val="0"/>
      <w:divBdr>
        <w:top w:val="none" w:sz="0" w:space="0" w:color="auto"/>
        <w:left w:val="none" w:sz="0" w:space="0" w:color="auto"/>
        <w:bottom w:val="none" w:sz="0" w:space="0" w:color="auto"/>
        <w:right w:val="none" w:sz="0" w:space="0" w:color="auto"/>
      </w:divBdr>
    </w:div>
    <w:div w:id="1633441463">
      <w:bodyDiv w:val="1"/>
      <w:marLeft w:val="0"/>
      <w:marRight w:val="0"/>
      <w:marTop w:val="0"/>
      <w:marBottom w:val="0"/>
      <w:divBdr>
        <w:top w:val="none" w:sz="0" w:space="0" w:color="auto"/>
        <w:left w:val="none" w:sz="0" w:space="0" w:color="auto"/>
        <w:bottom w:val="none" w:sz="0" w:space="0" w:color="auto"/>
        <w:right w:val="none" w:sz="0" w:space="0" w:color="auto"/>
      </w:divBdr>
    </w:div>
    <w:div w:id="1649480290">
      <w:bodyDiv w:val="1"/>
      <w:marLeft w:val="0"/>
      <w:marRight w:val="0"/>
      <w:marTop w:val="0"/>
      <w:marBottom w:val="0"/>
      <w:divBdr>
        <w:top w:val="none" w:sz="0" w:space="0" w:color="auto"/>
        <w:left w:val="none" w:sz="0" w:space="0" w:color="auto"/>
        <w:bottom w:val="none" w:sz="0" w:space="0" w:color="auto"/>
        <w:right w:val="none" w:sz="0" w:space="0" w:color="auto"/>
      </w:divBdr>
    </w:div>
    <w:div w:id="1676029974">
      <w:bodyDiv w:val="1"/>
      <w:marLeft w:val="0"/>
      <w:marRight w:val="0"/>
      <w:marTop w:val="0"/>
      <w:marBottom w:val="0"/>
      <w:divBdr>
        <w:top w:val="none" w:sz="0" w:space="0" w:color="auto"/>
        <w:left w:val="none" w:sz="0" w:space="0" w:color="auto"/>
        <w:bottom w:val="none" w:sz="0" w:space="0" w:color="auto"/>
        <w:right w:val="none" w:sz="0" w:space="0" w:color="auto"/>
      </w:divBdr>
    </w:div>
    <w:div w:id="1711689371">
      <w:bodyDiv w:val="1"/>
      <w:marLeft w:val="0"/>
      <w:marRight w:val="0"/>
      <w:marTop w:val="0"/>
      <w:marBottom w:val="0"/>
      <w:divBdr>
        <w:top w:val="none" w:sz="0" w:space="0" w:color="auto"/>
        <w:left w:val="none" w:sz="0" w:space="0" w:color="auto"/>
        <w:bottom w:val="none" w:sz="0" w:space="0" w:color="auto"/>
        <w:right w:val="none" w:sz="0" w:space="0" w:color="auto"/>
      </w:divBdr>
    </w:div>
    <w:div w:id="1725637011">
      <w:bodyDiv w:val="1"/>
      <w:marLeft w:val="0"/>
      <w:marRight w:val="0"/>
      <w:marTop w:val="0"/>
      <w:marBottom w:val="0"/>
      <w:divBdr>
        <w:top w:val="none" w:sz="0" w:space="0" w:color="auto"/>
        <w:left w:val="none" w:sz="0" w:space="0" w:color="auto"/>
        <w:bottom w:val="none" w:sz="0" w:space="0" w:color="auto"/>
        <w:right w:val="none" w:sz="0" w:space="0" w:color="auto"/>
      </w:divBdr>
    </w:div>
    <w:div w:id="1727606290">
      <w:bodyDiv w:val="1"/>
      <w:marLeft w:val="0"/>
      <w:marRight w:val="0"/>
      <w:marTop w:val="0"/>
      <w:marBottom w:val="0"/>
      <w:divBdr>
        <w:top w:val="none" w:sz="0" w:space="0" w:color="auto"/>
        <w:left w:val="none" w:sz="0" w:space="0" w:color="auto"/>
        <w:bottom w:val="none" w:sz="0" w:space="0" w:color="auto"/>
        <w:right w:val="none" w:sz="0" w:space="0" w:color="auto"/>
      </w:divBdr>
    </w:div>
    <w:div w:id="1755468816">
      <w:bodyDiv w:val="1"/>
      <w:marLeft w:val="0"/>
      <w:marRight w:val="0"/>
      <w:marTop w:val="0"/>
      <w:marBottom w:val="0"/>
      <w:divBdr>
        <w:top w:val="none" w:sz="0" w:space="0" w:color="auto"/>
        <w:left w:val="none" w:sz="0" w:space="0" w:color="auto"/>
        <w:bottom w:val="none" w:sz="0" w:space="0" w:color="auto"/>
        <w:right w:val="none" w:sz="0" w:space="0" w:color="auto"/>
      </w:divBdr>
    </w:div>
    <w:div w:id="1789005425">
      <w:bodyDiv w:val="1"/>
      <w:marLeft w:val="0"/>
      <w:marRight w:val="0"/>
      <w:marTop w:val="0"/>
      <w:marBottom w:val="0"/>
      <w:divBdr>
        <w:top w:val="none" w:sz="0" w:space="0" w:color="auto"/>
        <w:left w:val="none" w:sz="0" w:space="0" w:color="auto"/>
        <w:bottom w:val="none" w:sz="0" w:space="0" w:color="auto"/>
        <w:right w:val="none" w:sz="0" w:space="0" w:color="auto"/>
      </w:divBdr>
    </w:div>
    <w:div w:id="1796094503">
      <w:bodyDiv w:val="1"/>
      <w:marLeft w:val="0"/>
      <w:marRight w:val="0"/>
      <w:marTop w:val="0"/>
      <w:marBottom w:val="0"/>
      <w:divBdr>
        <w:top w:val="none" w:sz="0" w:space="0" w:color="auto"/>
        <w:left w:val="none" w:sz="0" w:space="0" w:color="auto"/>
        <w:bottom w:val="none" w:sz="0" w:space="0" w:color="auto"/>
        <w:right w:val="none" w:sz="0" w:space="0" w:color="auto"/>
      </w:divBdr>
    </w:div>
    <w:div w:id="1817531369">
      <w:bodyDiv w:val="1"/>
      <w:marLeft w:val="0"/>
      <w:marRight w:val="0"/>
      <w:marTop w:val="0"/>
      <w:marBottom w:val="0"/>
      <w:divBdr>
        <w:top w:val="none" w:sz="0" w:space="0" w:color="auto"/>
        <w:left w:val="none" w:sz="0" w:space="0" w:color="auto"/>
        <w:bottom w:val="none" w:sz="0" w:space="0" w:color="auto"/>
        <w:right w:val="none" w:sz="0" w:space="0" w:color="auto"/>
      </w:divBdr>
    </w:div>
    <w:div w:id="1859738365">
      <w:bodyDiv w:val="1"/>
      <w:marLeft w:val="0"/>
      <w:marRight w:val="0"/>
      <w:marTop w:val="0"/>
      <w:marBottom w:val="0"/>
      <w:divBdr>
        <w:top w:val="none" w:sz="0" w:space="0" w:color="auto"/>
        <w:left w:val="none" w:sz="0" w:space="0" w:color="auto"/>
        <w:bottom w:val="none" w:sz="0" w:space="0" w:color="auto"/>
        <w:right w:val="none" w:sz="0" w:space="0" w:color="auto"/>
      </w:divBdr>
    </w:div>
    <w:div w:id="1876309185">
      <w:bodyDiv w:val="1"/>
      <w:marLeft w:val="0"/>
      <w:marRight w:val="0"/>
      <w:marTop w:val="0"/>
      <w:marBottom w:val="0"/>
      <w:divBdr>
        <w:top w:val="none" w:sz="0" w:space="0" w:color="auto"/>
        <w:left w:val="none" w:sz="0" w:space="0" w:color="auto"/>
        <w:bottom w:val="none" w:sz="0" w:space="0" w:color="auto"/>
        <w:right w:val="none" w:sz="0" w:space="0" w:color="auto"/>
      </w:divBdr>
    </w:div>
    <w:div w:id="1881476421">
      <w:bodyDiv w:val="1"/>
      <w:marLeft w:val="0"/>
      <w:marRight w:val="0"/>
      <w:marTop w:val="0"/>
      <w:marBottom w:val="0"/>
      <w:divBdr>
        <w:top w:val="none" w:sz="0" w:space="0" w:color="auto"/>
        <w:left w:val="none" w:sz="0" w:space="0" w:color="auto"/>
        <w:bottom w:val="none" w:sz="0" w:space="0" w:color="auto"/>
        <w:right w:val="none" w:sz="0" w:space="0" w:color="auto"/>
      </w:divBdr>
    </w:div>
    <w:div w:id="1892691129">
      <w:bodyDiv w:val="1"/>
      <w:marLeft w:val="0"/>
      <w:marRight w:val="0"/>
      <w:marTop w:val="0"/>
      <w:marBottom w:val="0"/>
      <w:divBdr>
        <w:top w:val="none" w:sz="0" w:space="0" w:color="auto"/>
        <w:left w:val="none" w:sz="0" w:space="0" w:color="auto"/>
        <w:bottom w:val="none" w:sz="0" w:space="0" w:color="auto"/>
        <w:right w:val="none" w:sz="0" w:space="0" w:color="auto"/>
      </w:divBdr>
    </w:div>
    <w:div w:id="1975212706">
      <w:bodyDiv w:val="1"/>
      <w:marLeft w:val="0"/>
      <w:marRight w:val="0"/>
      <w:marTop w:val="0"/>
      <w:marBottom w:val="0"/>
      <w:divBdr>
        <w:top w:val="none" w:sz="0" w:space="0" w:color="auto"/>
        <w:left w:val="none" w:sz="0" w:space="0" w:color="auto"/>
        <w:bottom w:val="none" w:sz="0" w:space="0" w:color="auto"/>
        <w:right w:val="none" w:sz="0" w:space="0" w:color="auto"/>
      </w:divBdr>
    </w:div>
    <w:div w:id="1999571660">
      <w:bodyDiv w:val="1"/>
      <w:marLeft w:val="0"/>
      <w:marRight w:val="0"/>
      <w:marTop w:val="0"/>
      <w:marBottom w:val="0"/>
      <w:divBdr>
        <w:top w:val="none" w:sz="0" w:space="0" w:color="auto"/>
        <w:left w:val="none" w:sz="0" w:space="0" w:color="auto"/>
        <w:bottom w:val="none" w:sz="0" w:space="0" w:color="auto"/>
        <w:right w:val="none" w:sz="0" w:space="0" w:color="auto"/>
      </w:divBdr>
      <w:divsChild>
        <w:div w:id="81685245">
          <w:marLeft w:val="562"/>
          <w:marRight w:val="0"/>
          <w:marTop w:val="91"/>
          <w:marBottom w:val="0"/>
          <w:divBdr>
            <w:top w:val="none" w:sz="0" w:space="0" w:color="auto"/>
            <w:left w:val="none" w:sz="0" w:space="0" w:color="auto"/>
            <w:bottom w:val="none" w:sz="0" w:space="0" w:color="auto"/>
            <w:right w:val="none" w:sz="0" w:space="0" w:color="auto"/>
          </w:divBdr>
        </w:div>
        <w:div w:id="231744886">
          <w:marLeft w:val="2822"/>
          <w:marRight w:val="0"/>
          <w:marTop w:val="91"/>
          <w:marBottom w:val="0"/>
          <w:divBdr>
            <w:top w:val="none" w:sz="0" w:space="0" w:color="auto"/>
            <w:left w:val="none" w:sz="0" w:space="0" w:color="auto"/>
            <w:bottom w:val="none" w:sz="0" w:space="0" w:color="auto"/>
            <w:right w:val="none" w:sz="0" w:space="0" w:color="auto"/>
          </w:divBdr>
        </w:div>
        <w:div w:id="485827489">
          <w:marLeft w:val="2822"/>
          <w:marRight w:val="0"/>
          <w:marTop w:val="91"/>
          <w:marBottom w:val="0"/>
          <w:divBdr>
            <w:top w:val="none" w:sz="0" w:space="0" w:color="auto"/>
            <w:left w:val="none" w:sz="0" w:space="0" w:color="auto"/>
            <w:bottom w:val="none" w:sz="0" w:space="0" w:color="auto"/>
            <w:right w:val="none" w:sz="0" w:space="0" w:color="auto"/>
          </w:divBdr>
        </w:div>
        <w:div w:id="678041625">
          <w:marLeft w:val="562"/>
          <w:marRight w:val="0"/>
          <w:marTop w:val="91"/>
          <w:marBottom w:val="0"/>
          <w:divBdr>
            <w:top w:val="none" w:sz="0" w:space="0" w:color="auto"/>
            <w:left w:val="none" w:sz="0" w:space="0" w:color="auto"/>
            <w:bottom w:val="none" w:sz="0" w:space="0" w:color="auto"/>
            <w:right w:val="none" w:sz="0" w:space="0" w:color="auto"/>
          </w:divBdr>
        </w:div>
        <w:div w:id="831799393">
          <w:marLeft w:val="562"/>
          <w:marRight w:val="0"/>
          <w:marTop w:val="91"/>
          <w:marBottom w:val="0"/>
          <w:divBdr>
            <w:top w:val="none" w:sz="0" w:space="0" w:color="auto"/>
            <w:left w:val="none" w:sz="0" w:space="0" w:color="auto"/>
            <w:bottom w:val="none" w:sz="0" w:space="0" w:color="auto"/>
            <w:right w:val="none" w:sz="0" w:space="0" w:color="auto"/>
          </w:divBdr>
        </w:div>
        <w:div w:id="1064176988">
          <w:marLeft w:val="562"/>
          <w:marRight w:val="0"/>
          <w:marTop w:val="91"/>
          <w:marBottom w:val="0"/>
          <w:divBdr>
            <w:top w:val="none" w:sz="0" w:space="0" w:color="auto"/>
            <w:left w:val="none" w:sz="0" w:space="0" w:color="auto"/>
            <w:bottom w:val="none" w:sz="0" w:space="0" w:color="auto"/>
            <w:right w:val="none" w:sz="0" w:space="0" w:color="auto"/>
          </w:divBdr>
        </w:div>
        <w:div w:id="1241330548">
          <w:marLeft w:val="2822"/>
          <w:marRight w:val="0"/>
          <w:marTop w:val="91"/>
          <w:marBottom w:val="0"/>
          <w:divBdr>
            <w:top w:val="none" w:sz="0" w:space="0" w:color="auto"/>
            <w:left w:val="none" w:sz="0" w:space="0" w:color="auto"/>
            <w:bottom w:val="none" w:sz="0" w:space="0" w:color="auto"/>
            <w:right w:val="none" w:sz="0" w:space="0" w:color="auto"/>
          </w:divBdr>
        </w:div>
        <w:div w:id="2034570952">
          <w:marLeft w:val="562"/>
          <w:marRight w:val="0"/>
          <w:marTop w:val="91"/>
          <w:marBottom w:val="0"/>
          <w:divBdr>
            <w:top w:val="none" w:sz="0" w:space="0" w:color="auto"/>
            <w:left w:val="none" w:sz="0" w:space="0" w:color="auto"/>
            <w:bottom w:val="none" w:sz="0" w:space="0" w:color="auto"/>
            <w:right w:val="none" w:sz="0" w:space="0" w:color="auto"/>
          </w:divBdr>
        </w:div>
      </w:divsChild>
    </w:div>
    <w:div w:id="2020541995">
      <w:bodyDiv w:val="1"/>
      <w:marLeft w:val="0"/>
      <w:marRight w:val="0"/>
      <w:marTop w:val="0"/>
      <w:marBottom w:val="0"/>
      <w:divBdr>
        <w:top w:val="none" w:sz="0" w:space="0" w:color="auto"/>
        <w:left w:val="none" w:sz="0" w:space="0" w:color="auto"/>
        <w:bottom w:val="none" w:sz="0" w:space="0" w:color="auto"/>
        <w:right w:val="none" w:sz="0" w:space="0" w:color="auto"/>
      </w:divBdr>
    </w:div>
    <w:div w:id="2132818399">
      <w:bodyDiv w:val="1"/>
      <w:marLeft w:val="0"/>
      <w:marRight w:val="0"/>
      <w:marTop w:val="0"/>
      <w:marBottom w:val="0"/>
      <w:divBdr>
        <w:top w:val="none" w:sz="0" w:space="0" w:color="auto"/>
        <w:left w:val="none" w:sz="0" w:space="0" w:color="auto"/>
        <w:bottom w:val="none" w:sz="0" w:space="0" w:color="auto"/>
        <w:right w:val="none" w:sz="0" w:space="0" w:color="auto"/>
      </w:divBdr>
      <w:divsChild>
        <w:div w:id="569736426">
          <w:marLeft w:val="1987"/>
          <w:marRight w:val="0"/>
          <w:marTop w:val="228"/>
          <w:marBottom w:val="0"/>
          <w:divBdr>
            <w:top w:val="none" w:sz="0" w:space="0" w:color="auto"/>
            <w:left w:val="none" w:sz="0" w:space="0" w:color="auto"/>
            <w:bottom w:val="none" w:sz="0" w:space="0" w:color="auto"/>
            <w:right w:val="none" w:sz="0" w:space="0" w:color="auto"/>
          </w:divBdr>
        </w:div>
        <w:div w:id="583880020">
          <w:marLeft w:val="1987"/>
          <w:marRight w:val="0"/>
          <w:marTop w:val="228"/>
          <w:marBottom w:val="0"/>
          <w:divBdr>
            <w:top w:val="none" w:sz="0" w:space="0" w:color="auto"/>
            <w:left w:val="none" w:sz="0" w:space="0" w:color="auto"/>
            <w:bottom w:val="none" w:sz="0" w:space="0" w:color="auto"/>
            <w:right w:val="none" w:sz="0" w:space="0" w:color="auto"/>
          </w:divBdr>
        </w:div>
        <w:div w:id="1471560481">
          <w:marLeft w:val="1987"/>
          <w:marRight w:val="0"/>
          <w:marTop w:val="228"/>
          <w:marBottom w:val="0"/>
          <w:divBdr>
            <w:top w:val="none" w:sz="0" w:space="0" w:color="auto"/>
            <w:left w:val="none" w:sz="0" w:space="0" w:color="auto"/>
            <w:bottom w:val="none" w:sz="0" w:space="0" w:color="auto"/>
            <w:right w:val="none" w:sz="0" w:space="0" w:color="auto"/>
          </w:divBdr>
        </w:div>
        <w:div w:id="1779831768">
          <w:marLeft w:val="1987"/>
          <w:marRight w:val="0"/>
          <w:marTop w:val="228"/>
          <w:marBottom w:val="0"/>
          <w:divBdr>
            <w:top w:val="none" w:sz="0" w:space="0" w:color="auto"/>
            <w:left w:val="none" w:sz="0" w:space="0" w:color="auto"/>
            <w:bottom w:val="none" w:sz="0" w:space="0" w:color="auto"/>
            <w:right w:val="none" w:sz="0" w:space="0" w:color="auto"/>
          </w:divBdr>
        </w:div>
        <w:div w:id="2120250191">
          <w:marLeft w:val="1987"/>
          <w:marRight w:val="0"/>
          <w:marTop w:val="22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po.cz/assets/cz/e-komunikace-a-posta/Internet/2013/4/Digi_esko_v.2.0.pdf" TargetMode="External"/><Relationship Id="rId21" Type="http://schemas.openxmlformats.org/officeDocument/2006/relationships/header" Target="header3.xml"/><Relationship Id="rId42" Type="http://schemas.openxmlformats.org/officeDocument/2006/relationships/footer" Target="footer13.xml"/><Relationship Id="rId63" Type="http://schemas.openxmlformats.org/officeDocument/2006/relationships/hyperlink" Target="http://www.strukturalni-fondy.cz/cs/Fondy-EU/2014-2020/Metodicke-pokyny/Metodika-rozvoje-lidskych-zdroju" TargetMode="External"/><Relationship Id="rId84" Type="http://schemas.openxmlformats.org/officeDocument/2006/relationships/hyperlink" Target="http://www.mfcr.cz/cs/legislativa/metodiky/2014/metodika-financnich-toku-a-kontroly-prog-17121" TargetMode="External"/><Relationship Id="rId138" Type="http://schemas.openxmlformats.org/officeDocument/2006/relationships/hyperlink" Target="http://www.sbirka.cz/POSL4TYD/NOVE/13-304.htm" TargetMode="External"/><Relationship Id="rId159" Type="http://schemas.openxmlformats.org/officeDocument/2006/relationships/hyperlink" Target="http://portal.gov.cz/app/zakony/zakonPar.jsp?idBiblio=49962&amp;fulltext=&amp;nr=458~2F2000&amp;part=&amp;name=&amp;rpp=15" TargetMode="External"/><Relationship Id="rId170" Type="http://schemas.openxmlformats.org/officeDocument/2006/relationships/footer" Target="footer20.xml"/><Relationship Id="rId191" Type="http://schemas.openxmlformats.org/officeDocument/2006/relationships/hyperlink" Target="http://www.amsp.cz/" TargetMode="External"/><Relationship Id="rId205" Type="http://schemas.openxmlformats.org/officeDocument/2006/relationships/hyperlink" Target="http://www.spcr.cz/" TargetMode="External"/><Relationship Id="rId226" Type="http://schemas.openxmlformats.org/officeDocument/2006/relationships/hyperlink" Target="http://www.socr.cz/" TargetMode="External"/><Relationship Id="rId247" Type="http://schemas.openxmlformats.org/officeDocument/2006/relationships/hyperlink" Target="http://nsmascr.cz/o-nas/mistni-akncni-skupiny/" TargetMode="External"/><Relationship Id="rId107" Type="http://schemas.openxmlformats.org/officeDocument/2006/relationships/hyperlink" Target="http://www.s-f.cz/cs/Fondy-EU/2014-2020/Metodicke-pokyny" TargetMode="External"/><Relationship Id="rId268" Type="http://schemas.openxmlformats.org/officeDocument/2006/relationships/hyperlink" Target="http://www.mmr.cz/cs/Uvodni-strana" TargetMode="External"/><Relationship Id="rId11" Type="http://schemas.openxmlformats.org/officeDocument/2006/relationships/footer" Target="footer2.xml"/><Relationship Id="rId32" Type="http://schemas.openxmlformats.org/officeDocument/2006/relationships/footer" Target="footer8.xml"/><Relationship Id="rId53" Type="http://schemas.openxmlformats.org/officeDocument/2006/relationships/hyperlink" Target="http://www.mpo.cz/cz/podpora-podnikani/oppik/" TargetMode="External"/><Relationship Id="rId74" Type="http://schemas.openxmlformats.org/officeDocument/2006/relationships/hyperlink" Target="http://mmr.cz/cs/Ministerstvo/Ministerstvo/Pro-media/Tiskove-zpravy/2014/Zakon-o-verejnych-zakazkach-pripravuje-siroke-kole" TargetMode="External"/><Relationship Id="rId128" Type="http://schemas.openxmlformats.org/officeDocument/2006/relationships/hyperlink" Target="http://www.mpo.cz/dokument83642.html" TargetMode="External"/><Relationship Id="rId149" Type="http://schemas.openxmlformats.org/officeDocument/2006/relationships/hyperlink" Target="http://portal.gov.cz/app/zakony/zakonPar.jsp?idBiblio=49857&amp;fulltext=&amp;nr=406~2F2000&amp;part=&amp;name=&amp;rpp=15" TargetMode="External"/><Relationship Id="rId5" Type="http://schemas.openxmlformats.org/officeDocument/2006/relationships/webSettings" Target="webSettings.xml"/><Relationship Id="rId95" Type="http://schemas.openxmlformats.org/officeDocument/2006/relationships/hyperlink" Target="http://www.strukturalni-fondy.cz" TargetMode="External"/><Relationship Id="rId160" Type="http://schemas.openxmlformats.org/officeDocument/2006/relationships/hyperlink" Target="http://www.vlada.cz/assets/media-centrum/aktualne/Strategie-mezinarodni-konkurenceschopnosti-Ceske-republiky.pdf" TargetMode="External"/><Relationship Id="rId181" Type="http://schemas.openxmlformats.org/officeDocument/2006/relationships/hyperlink" Target="http://tacr.cz/" TargetMode="External"/><Relationship Id="rId216" Type="http://schemas.openxmlformats.org/officeDocument/2006/relationships/hyperlink" Target="http://www.praha.eu/jnp/cz/home/index.html" TargetMode="External"/><Relationship Id="rId237" Type="http://schemas.openxmlformats.org/officeDocument/2006/relationships/hyperlink" Target="http://www.agrocr.cz/" TargetMode="External"/><Relationship Id="rId258" Type="http://schemas.openxmlformats.org/officeDocument/2006/relationships/hyperlink" Target="http://www.asociacenno.cz/" TargetMode="External"/><Relationship Id="rId22" Type="http://schemas.openxmlformats.org/officeDocument/2006/relationships/footer" Target="footer3.xml"/><Relationship Id="rId43" Type="http://schemas.openxmlformats.org/officeDocument/2006/relationships/header" Target="header14.xml"/><Relationship Id="rId64" Type="http://schemas.openxmlformats.org/officeDocument/2006/relationships/hyperlink" Target="http://www.vlada.cz/cz/ppov/vvzpo/dokumenty/narodni-plan-vytvareni-rovnych-prilezitosti-pro-osoby-se-zdravotnim-postizenim-na-obdobi-2010---2014-70026/" TargetMode="External"/><Relationship Id="rId118" Type="http://schemas.openxmlformats.org/officeDocument/2006/relationships/hyperlink" Target="http://www.mpo.cz/dokument119071.html" TargetMode="External"/><Relationship Id="rId139" Type="http://schemas.openxmlformats.org/officeDocument/2006/relationships/hyperlink" Target="http://www.mpo.cz/dokument144140.html" TargetMode="External"/><Relationship Id="rId85" Type="http://schemas.openxmlformats.org/officeDocument/2006/relationships/hyperlink" Target="http://www.uohs.cz/cs/verejna-podpora/manualy-metodiky-a-dalsi-dokumenty.html" TargetMode="External"/><Relationship Id="rId150" Type="http://schemas.openxmlformats.org/officeDocument/2006/relationships/hyperlink" Target="http://portal.gov.cz/app/zakony/zakonPar.jsp?idBiblio=49962&amp;fulltext=&amp;nr=458~2F2000&amp;part=&amp;name=&amp;rpp=15" TargetMode="External"/><Relationship Id="rId171" Type="http://schemas.openxmlformats.org/officeDocument/2006/relationships/hyperlink" Target="http://www.mmr.cz/cs/Uvodni-strana" TargetMode="External"/><Relationship Id="rId192" Type="http://schemas.openxmlformats.org/officeDocument/2006/relationships/hyperlink" Target="http://www.asociacekraju.cz/" TargetMode="External"/><Relationship Id="rId206" Type="http://schemas.openxmlformats.org/officeDocument/2006/relationships/hyperlink" Target="http://www.socr.cz/" TargetMode="External"/><Relationship Id="rId227" Type="http://schemas.openxmlformats.org/officeDocument/2006/relationships/hyperlink" Target="http://www.sps.cz/index.ASP" TargetMode="External"/><Relationship Id="rId248" Type="http://schemas.openxmlformats.org/officeDocument/2006/relationships/hyperlink" Target="http://www.kzps.cz/" TargetMode="External"/><Relationship Id="rId269" Type="http://schemas.openxmlformats.org/officeDocument/2006/relationships/hyperlink" Target="http://www.smocr.cz/" TargetMode="External"/><Relationship Id="rId12" Type="http://schemas.openxmlformats.org/officeDocument/2006/relationships/image" Target="media/image4.emf"/><Relationship Id="rId33" Type="http://schemas.openxmlformats.org/officeDocument/2006/relationships/header" Target="header9.xml"/><Relationship Id="rId108" Type="http://schemas.openxmlformats.org/officeDocument/2006/relationships/hyperlink" Target="http://www.msmt.cz/strukturalni-fondy/ris3-strategie-cr" TargetMode="External"/><Relationship Id="rId129" Type="http://schemas.openxmlformats.org/officeDocument/2006/relationships/hyperlink" Target="http://www.mpo.cz/assets/cz/e-komunikace-a-posta/Internet/2013/4/Digi_esko_v.2.0.pdf" TargetMode="External"/><Relationship Id="rId54" Type="http://schemas.openxmlformats.org/officeDocument/2006/relationships/header" Target="header18.xml"/><Relationship Id="rId75" Type="http://schemas.openxmlformats.org/officeDocument/2006/relationships/hyperlink" Target="http://www.portal-vz.cz/cs/Jak-na-zadavani-verejnych-zakazek/Legislativa-a-Judikatura/Legislativa/Narodni-legislativa-aktualni-a-uplne-zneni-z-(1)" TargetMode="External"/><Relationship Id="rId96" Type="http://schemas.openxmlformats.org/officeDocument/2006/relationships/hyperlink" Target="http://portal.cenia.cz/eiasea/static/sea_legislativa" TargetMode="External"/><Relationship Id="rId140" Type="http://schemas.openxmlformats.org/officeDocument/2006/relationships/hyperlink" Target="http://www.vlada.cz/assets/ppov/lrv/ria/metodiky/Uplne-zneni-Obecnych-zasad-_ucinnost-od-1-2--2014_.pdf" TargetMode="External"/><Relationship Id="rId161" Type="http://schemas.openxmlformats.org/officeDocument/2006/relationships/hyperlink" Target="http://www.mpo.cz/dokument119071.html" TargetMode="External"/><Relationship Id="rId182" Type="http://schemas.openxmlformats.org/officeDocument/2006/relationships/hyperlink" Target="http://www.cmzrb.cz/" TargetMode="External"/><Relationship Id="rId217" Type="http://schemas.openxmlformats.org/officeDocument/2006/relationships/hyperlink" Target="http://www.msmt.cz/" TargetMode="External"/><Relationship Id="rId6" Type="http://schemas.openxmlformats.org/officeDocument/2006/relationships/footnotes" Target="footnotes.xml"/><Relationship Id="rId238" Type="http://schemas.openxmlformats.org/officeDocument/2006/relationships/hyperlink" Target="http://www.spcr.cz/" TargetMode="External"/><Relationship Id="rId259" Type="http://schemas.openxmlformats.org/officeDocument/2006/relationships/hyperlink" Target="http://nsmascr.cz/o-nas/mistni-akncni-skupiny/" TargetMode="External"/><Relationship Id="rId23" Type="http://schemas.openxmlformats.org/officeDocument/2006/relationships/header" Target="header4.xml"/><Relationship Id="rId119" Type="http://schemas.openxmlformats.org/officeDocument/2006/relationships/hyperlink" Target="http://www.mpo.cz/dokument83642.html" TargetMode="External"/><Relationship Id="rId270" Type="http://schemas.openxmlformats.org/officeDocument/2006/relationships/hyperlink" Target="https://www.czech-ba.cz/" TargetMode="External"/><Relationship Id="rId44" Type="http://schemas.openxmlformats.org/officeDocument/2006/relationships/footer" Target="footer14.xml"/><Relationship Id="rId60" Type="http://schemas.openxmlformats.org/officeDocument/2006/relationships/hyperlink" Target="http://www.strukturalni-fondy.cz/cs/Fondy-EU/2014-2020/Metodicke-pokyny/Metodika-rozvoje-lidskych-zdroju" TargetMode="External"/><Relationship Id="rId65" Type="http://schemas.openxmlformats.org/officeDocument/2006/relationships/hyperlink" Target="http://www.vlada.cz/cz/ppov/vvzpo/dokumenty/zprava-o-plneni-opatreni-narodniho-planu-vytvareni-rovnych-prilezitosti-pro-osoby-se-zdravotnim-postizenim-na-obdobi-2010-2014-v-roce-2012-110987/" TargetMode="External"/><Relationship Id="rId81" Type="http://schemas.openxmlformats.org/officeDocument/2006/relationships/hyperlink" Target="http://www.strukturalni-fondy.cz/cs/Fondy-EU/2014-2020/Metodicke-pokyny/Metodika-rozvoje-lidskych-zdroju" TargetMode="External"/><Relationship Id="rId86" Type="http://schemas.openxmlformats.org/officeDocument/2006/relationships/hyperlink" Target="http://eagri.cz/public/web/mze/farmar/registr-podpor-de-minimis/" TargetMode="External"/><Relationship Id="rId130" Type="http://schemas.openxmlformats.org/officeDocument/2006/relationships/hyperlink" Target="http://www.mpo.cz/dokument119071.html" TargetMode="External"/><Relationship Id="rId135" Type="http://schemas.openxmlformats.org/officeDocument/2006/relationships/hyperlink" Target="http://www.vlada.cz/assets/media-centrum/aktualne/Strategie-mezinarodni-konkurenceschopnosti-Ceske-republiky.pdf" TargetMode="External"/><Relationship Id="rId151" Type="http://schemas.openxmlformats.org/officeDocument/2006/relationships/hyperlink" Target="http://www.eru.cz/dias-browse_articles.php?parentId=91&amp;deep=off&amp;type=" TargetMode="External"/><Relationship Id="rId156" Type="http://schemas.openxmlformats.org/officeDocument/2006/relationships/hyperlink" Target="http://portal.gov.cz/app/zakony/zakonPar.jsp?idBiblio=49962&amp;fulltext=&amp;nr=458~2F2000&amp;part=&amp;name=&amp;rpp=15" TargetMode="External"/><Relationship Id="rId177" Type="http://schemas.openxmlformats.org/officeDocument/2006/relationships/hyperlink" Target="http://www.mdcr.cz/cs/default.htm" TargetMode="External"/><Relationship Id="rId198" Type="http://schemas.openxmlformats.org/officeDocument/2006/relationships/hyperlink" Target="http://www.mkcr.cz/" TargetMode="External"/><Relationship Id="rId172" Type="http://schemas.openxmlformats.org/officeDocument/2006/relationships/hyperlink" Target="http://www.mfcr.cz/cps/rde/xchg/" TargetMode="External"/><Relationship Id="rId193" Type="http://schemas.openxmlformats.org/officeDocument/2006/relationships/hyperlink" Target="http://www.asociacenno.cz/" TargetMode="External"/><Relationship Id="rId202" Type="http://schemas.openxmlformats.org/officeDocument/2006/relationships/hyperlink" Target="http://www.jic.cz/" TargetMode="External"/><Relationship Id="rId207" Type="http://schemas.openxmlformats.org/officeDocument/2006/relationships/hyperlink" Target="http://www.smocr.cz/" TargetMode="External"/><Relationship Id="rId223" Type="http://schemas.openxmlformats.org/officeDocument/2006/relationships/hyperlink" Target="http://www.komora.cz/" TargetMode="External"/><Relationship Id="rId228" Type="http://schemas.openxmlformats.org/officeDocument/2006/relationships/hyperlink" Target="http://www.scmvd.cz/" TargetMode="External"/><Relationship Id="rId244" Type="http://schemas.openxmlformats.org/officeDocument/2006/relationships/hyperlink" Target="http://apes.cz/" TargetMode="External"/><Relationship Id="rId249" Type="http://schemas.openxmlformats.org/officeDocument/2006/relationships/hyperlink" Target="http://www.tscr.cz/" TargetMode="External"/><Relationship Id="rId13" Type="http://schemas.openxmlformats.org/officeDocument/2006/relationships/image" Target="media/image5.emf"/><Relationship Id="rId18" Type="http://schemas.openxmlformats.org/officeDocument/2006/relationships/chart" Target="charts/chart4.xml"/><Relationship Id="rId39" Type="http://schemas.openxmlformats.org/officeDocument/2006/relationships/header" Target="header12.xml"/><Relationship Id="rId109" Type="http://schemas.openxmlformats.org/officeDocument/2006/relationships/hyperlink" Target="http://www.msmt.cz/strukturalni-fondy/ris3-strategie-cr" TargetMode="External"/><Relationship Id="rId260" Type="http://schemas.openxmlformats.org/officeDocument/2006/relationships/hyperlink" Target="http://www.ctu.cz/" TargetMode="External"/><Relationship Id="rId265" Type="http://schemas.openxmlformats.org/officeDocument/2006/relationships/hyperlink" Target="http://www.smocr.cz/" TargetMode="External"/><Relationship Id="rId34" Type="http://schemas.openxmlformats.org/officeDocument/2006/relationships/footer" Target="footer9.xml"/><Relationship Id="rId50" Type="http://schemas.openxmlformats.org/officeDocument/2006/relationships/header" Target="header17.xml"/><Relationship Id="rId55" Type="http://schemas.openxmlformats.org/officeDocument/2006/relationships/footer" Target="footer18.xml"/><Relationship Id="rId76" Type="http://schemas.openxmlformats.org/officeDocument/2006/relationships/hyperlink" Target="http://www.portal-vz.cz/cs/Jak-na-zadavani-verejnych-zakazek/Metodiky-stanoviska/Metodicke-pokyny" TargetMode="External"/><Relationship Id="rId97" Type="http://schemas.openxmlformats.org/officeDocument/2006/relationships/hyperlink" Target="http://portal.cenia.cz/eiasea/static/eia_legislativa" TargetMode="External"/><Relationship Id="rId104" Type="http://schemas.openxmlformats.org/officeDocument/2006/relationships/hyperlink" Target="http://portal.cenia.cz/eiasea/view/SEA100_koncepce" TargetMode="External"/><Relationship Id="rId120" Type="http://schemas.openxmlformats.org/officeDocument/2006/relationships/hyperlink" Target="http://www.mpo.cz/assets/cz/e-komunikace-a-posta/Internet/2013/4/Digi_esko_v.2.0.pdf" TargetMode="External"/><Relationship Id="rId125" Type="http://schemas.openxmlformats.org/officeDocument/2006/relationships/hyperlink" Target="http://www.mpo.cz/assets/cz/e-komunikace-a-posta/Internet/2013/4/Digi_esko_v.2.0.pdf" TargetMode="External"/><Relationship Id="rId141" Type="http://schemas.openxmlformats.org/officeDocument/2006/relationships/hyperlink" Target="http://portal.gov.cz/app/zakony/zakonPar.jsp?idBiblio=49857&amp;fulltext=&amp;nr=406~2F2000&amp;part=&amp;name=&amp;rpp=15" TargetMode="External"/><Relationship Id="rId146" Type="http://schemas.openxmlformats.org/officeDocument/2006/relationships/hyperlink" Target="http://portal.gov.cz/app/zakony/zakonPar.jsp?idBiblio=49857&amp;fulltext=&amp;nr=406~2F2000&amp;part=&amp;name=&amp;rpp=15" TargetMode="External"/><Relationship Id="rId167" Type="http://schemas.openxmlformats.org/officeDocument/2006/relationships/hyperlink" Target="http://www.vlada.cz/assets/evropske-zalezitosti/aktualne/NPR-2014.pdf" TargetMode="External"/><Relationship Id="rId188" Type="http://schemas.openxmlformats.org/officeDocument/2006/relationships/hyperlink" Target="http://www.smscr.cz/" TargetMode="External"/><Relationship Id="rId7" Type="http://schemas.openxmlformats.org/officeDocument/2006/relationships/endnotes" Target="endnotes.xml"/><Relationship Id="rId71" Type="http://schemas.openxmlformats.org/officeDocument/2006/relationships/hyperlink" Target="http://www.portal-vz.cz/cs/Jak-na-zadavani-verejnych-zakazek/Metodiky-stanoviska" TargetMode="External"/><Relationship Id="rId92" Type="http://schemas.openxmlformats.org/officeDocument/2006/relationships/hyperlink" Target="http://www.strukturalni-fondy.cz" TargetMode="External"/><Relationship Id="rId162" Type="http://schemas.openxmlformats.org/officeDocument/2006/relationships/hyperlink" Target="http://www.vlada.cz/assets/evropske-zalezitosti/aktualne/NPR-2014.pdf" TargetMode="External"/><Relationship Id="rId183" Type="http://schemas.openxmlformats.org/officeDocument/2006/relationships/hyperlink" Target="http://www.vyzkum.cz/FrontClanek.aspx?idsekce=496" TargetMode="External"/><Relationship Id="rId213" Type="http://schemas.openxmlformats.org/officeDocument/2006/relationships/hyperlink" Target="http://crc.muni.cz/" TargetMode="External"/><Relationship Id="rId218" Type="http://schemas.openxmlformats.org/officeDocument/2006/relationships/hyperlink" Target="http://www.mkcr.cz/" TargetMode="External"/><Relationship Id="rId234" Type="http://schemas.openxmlformats.org/officeDocument/2006/relationships/hyperlink" Target="http://www.praha.eu/jnp/cz/home/index.html" TargetMode="External"/><Relationship Id="rId239" Type="http://schemas.openxmlformats.org/officeDocument/2006/relationships/hyperlink" Target="http://www.smocr.cz/" TargetMode="External"/><Relationship Id="rId2" Type="http://schemas.openxmlformats.org/officeDocument/2006/relationships/numbering" Target="numbering.xml"/><Relationship Id="rId29" Type="http://schemas.openxmlformats.org/officeDocument/2006/relationships/header" Target="header7.xml"/><Relationship Id="rId250" Type="http://schemas.openxmlformats.org/officeDocument/2006/relationships/hyperlink" Target="http://www.csres.cz/" TargetMode="External"/><Relationship Id="rId255" Type="http://schemas.openxmlformats.org/officeDocument/2006/relationships/hyperlink" Target="http://www.smocr.cz/" TargetMode="External"/><Relationship Id="rId271" Type="http://schemas.openxmlformats.org/officeDocument/2006/relationships/hyperlink" Target="http://cmzrb.cz" TargetMode="External"/><Relationship Id="rId24" Type="http://schemas.openxmlformats.org/officeDocument/2006/relationships/footer" Target="footer4.xml"/><Relationship Id="rId40" Type="http://schemas.openxmlformats.org/officeDocument/2006/relationships/footer" Target="footer12.xml"/><Relationship Id="rId45" Type="http://schemas.openxmlformats.org/officeDocument/2006/relationships/header" Target="header15.xml"/><Relationship Id="rId66" Type="http://schemas.openxmlformats.org/officeDocument/2006/relationships/hyperlink" Target="http://www.strukturalni-fondy.cz/cs/Fondy-EU/2014-2020/Metodicke-pokyny/Metodika-rozvoje-lidskych-zdroju" TargetMode="External"/><Relationship Id="rId87" Type="http://schemas.openxmlformats.org/officeDocument/2006/relationships/hyperlink" Target="http://www.uohs.cz/cs/verejna-podpora/akuality-z-verejne-podpory.html" TargetMode="External"/><Relationship Id="rId110" Type="http://schemas.openxmlformats.org/officeDocument/2006/relationships/hyperlink" Target="http://www.msmt.cz/strukturalni-fondy/ris3-strategie-cr" TargetMode="External"/><Relationship Id="rId115" Type="http://schemas.openxmlformats.org/officeDocument/2006/relationships/hyperlink" Target="http://databaze-strategie.cz/cz/mv/strategie/strategicky-ramec-rozvoje-verejne-spravy-ceske-republiky-pro-obdobi-2014-2020" TargetMode="External"/><Relationship Id="rId131" Type="http://schemas.openxmlformats.org/officeDocument/2006/relationships/hyperlink" Target="http://www.mpo.cz/assets/cz/e-komunikace-a-posta/Internet/2013/4/Digi_esko_v.2.0.pdf" TargetMode="External"/><Relationship Id="rId136" Type="http://schemas.openxmlformats.org/officeDocument/2006/relationships/hyperlink" Target="http://www.vlada.cz/assets/evropske-zalezitosti/aktualne/NPR-2014.pdf" TargetMode="External"/><Relationship Id="rId157" Type="http://schemas.openxmlformats.org/officeDocument/2006/relationships/hyperlink" Target="http://portal.gov.cz/app/zakony/zakonPar.jsp?idBiblio=49962&amp;fulltext=&amp;nr=458~2F2000&amp;part=&amp;name=&amp;rpp=15" TargetMode="External"/><Relationship Id="rId178" Type="http://schemas.openxmlformats.org/officeDocument/2006/relationships/hyperlink" Target="http://czechinvest.org/" TargetMode="External"/><Relationship Id="rId61" Type="http://schemas.openxmlformats.org/officeDocument/2006/relationships/hyperlink" Target="http://www.ochrance.cz/en/discrimination/" TargetMode="External"/><Relationship Id="rId82" Type="http://schemas.openxmlformats.org/officeDocument/2006/relationships/hyperlink" Target="http://www.strukturalni-fondy.cz/getmedia/6e797383-75f7-4dcb-b10b-9c4301670366/Metodicky-pokyn-k-rozvoji-lidskych-zdroju-v-programovem-obdobi-2014-2020-a-v-programovem-obdobi-2007-2013.pdf" TargetMode="External"/><Relationship Id="rId152" Type="http://schemas.openxmlformats.org/officeDocument/2006/relationships/hyperlink" Target="http://portal.gov.cz/app/zakony/zakonPar.jsp?idBiblio=77573&amp;fulltext=&amp;nr=165~2F2012&amp;part=&amp;name=&amp;rpp=15" TargetMode="External"/><Relationship Id="rId173" Type="http://schemas.openxmlformats.org/officeDocument/2006/relationships/hyperlink" Target="http://mzp.cz/" TargetMode="External"/><Relationship Id="rId194" Type="http://schemas.openxmlformats.org/officeDocument/2006/relationships/hyperlink" Target="http://nsmascr.cz/o-nas/mistni-akncni-skupiny/" TargetMode="External"/><Relationship Id="rId199" Type="http://schemas.openxmlformats.org/officeDocument/2006/relationships/hyperlink" Target="http://www.mdcr.cz/cs/default.htm" TargetMode="External"/><Relationship Id="rId203" Type="http://schemas.openxmlformats.org/officeDocument/2006/relationships/hyperlink" Target="http://www.komora.cz/" TargetMode="External"/><Relationship Id="rId208" Type="http://schemas.openxmlformats.org/officeDocument/2006/relationships/hyperlink" Target="http://www.avo.cz/" TargetMode="External"/><Relationship Id="rId229" Type="http://schemas.openxmlformats.org/officeDocument/2006/relationships/hyperlink" Target="http://www.amsp.cz/" TargetMode="External"/><Relationship Id="rId19" Type="http://schemas.openxmlformats.org/officeDocument/2006/relationships/image" Target="media/image7.png"/><Relationship Id="rId224" Type="http://schemas.openxmlformats.org/officeDocument/2006/relationships/hyperlink" Target="http://www.cmzrb.cz/" TargetMode="External"/><Relationship Id="rId240" Type="http://schemas.openxmlformats.org/officeDocument/2006/relationships/hyperlink" Target="http://www.spds.cz/" TargetMode="External"/><Relationship Id="rId245" Type="http://schemas.openxmlformats.org/officeDocument/2006/relationships/hyperlink" Target="http://www.oze.cz/" TargetMode="External"/><Relationship Id="rId261" Type="http://schemas.openxmlformats.org/officeDocument/2006/relationships/hyperlink" Target="http://www.vse.cz/" TargetMode="External"/><Relationship Id="rId266" Type="http://schemas.openxmlformats.org/officeDocument/2006/relationships/hyperlink" Target="https://www.czech-ba.cz/" TargetMode="External"/><Relationship Id="rId14" Type="http://schemas.openxmlformats.org/officeDocument/2006/relationships/chart" Target="charts/chart1.xml"/><Relationship Id="rId30" Type="http://schemas.openxmlformats.org/officeDocument/2006/relationships/footer" Target="footer7.xml"/><Relationship Id="rId35" Type="http://schemas.openxmlformats.org/officeDocument/2006/relationships/header" Target="header10.xml"/><Relationship Id="rId56" Type="http://schemas.openxmlformats.org/officeDocument/2006/relationships/header" Target="header19.xml"/><Relationship Id="rId77" Type="http://schemas.openxmlformats.org/officeDocument/2006/relationships/hyperlink" Target="http://www.vestnikverejnychzakazek.cz/" TargetMode="External"/><Relationship Id="rId100" Type="http://schemas.openxmlformats.org/officeDocument/2006/relationships/hyperlink" Target="http://portal.cenia.cz/eiasea/view/eia100_cr" TargetMode="External"/><Relationship Id="rId105" Type="http://schemas.openxmlformats.org/officeDocument/2006/relationships/hyperlink" Target="http://portal.cenia.cz/eiasea/osoby/osoby" TargetMode="External"/><Relationship Id="rId126" Type="http://schemas.openxmlformats.org/officeDocument/2006/relationships/hyperlink" Target="http://www.mpo.cz/dokument119071.html" TargetMode="External"/><Relationship Id="rId147" Type="http://schemas.openxmlformats.org/officeDocument/2006/relationships/hyperlink" Target="http://portal.gov.cz/app/zakony/zakonPar.jsp?idBiblio=49962&amp;fulltext=&amp;nr=458~2F2000&amp;part=&amp;name=&amp;rpp=15" TargetMode="External"/><Relationship Id="rId168" Type="http://schemas.openxmlformats.org/officeDocument/2006/relationships/hyperlink" Target="http://www.esfcr.cz/file/8938/" TargetMode="External"/><Relationship Id="rId8" Type="http://schemas.openxmlformats.org/officeDocument/2006/relationships/header" Target="header1.xml"/><Relationship Id="rId51" Type="http://schemas.openxmlformats.org/officeDocument/2006/relationships/footer" Target="footer17.xml"/><Relationship Id="rId72" Type="http://schemas.openxmlformats.org/officeDocument/2006/relationships/hyperlink" Target="http://www.portal-vz.cz/cs/Jak-na-zadavani-verejnych-zakazek/Metodiky-stanoviska/Stanoviska/Stanoviska-expertni-skupiny-MMR-k-ZVZ" TargetMode="External"/><Relationship Id="rId93" Type="http://schemas.openxmlformats.org/officeDocument/2006/relationships/hyperlink" Target="http://www.compet.cz" TargetMode="External"/><Relationship Id="rId98" Type="http://schemas.openxmlformats.org/officeDocument/2006/relationships/hyperlink" Target="http://www.mzp.cz/cz/posuzovani_vlivu_zivotni_prostredi" TargetMode="External"/><Relationship Id="rId121" Type="http://schemas.openxmlformats.org/officeDocument/2006/relationships/hyperlink" Target="http://www.mpo.cz/dokument119071.html" TargetMode="External"/><Relationship Id="rId142" Type="http://schemas.openxmlformats.org/officeDocument/2006/relationships/hyperlink" Target="http://portal.gov.cz/app/zakony/zakonPar.jsp?idBiblio=78282&amp;fulltext=&amp;nr=318~2F2012&amp;part=&amp;name=&amp;rpp=15" TargetMode="External"/><Relationship Id="rId163" Type="http://schemas.openxmlformats.org/officeDocument/2006/relationships/hyperlink" Target="http://www.mpo.cz/dokument144140.html" TargetMode="External"/><Relationship Id="rId184" Type="http://schemas.openxmlformats.org/officeDocument/2006/relationships/hyperlink" Target="http://www.spcr.cz/" TargetMode="External"/><Relationship Id="rId189" Type="http://schemas.openxmlformats.org/officeDocument/2006/relationships/hyperlink" Target="http://www.cmkos.cz/" TargetMode="External"/><Relationship Id="rId219" Type="http://schemas.openxmlformats.org/officeDocument/2006/relationships/hyperlink" Target="http://www.mpsv.cz/cs/" TargetMode="External"/><Relationship Id="rId3" Type="http://schemas.openxmlformats.org/officeDocument/2006/relationships/styles" Target="styles.xml"/><Relationship Id="rId214" Type="http://schemas.openxmlformats.org/officeDocument/2006/relationships/hyperlink" Target="http://www.utb.cz/" TargetMode="External"/><Relationship Id="rId230" Type="http://schemas.openxmlformats.org/officeDocument/2006/relationships/hyperlink" Target="http://www.aipcr.cz/" TargetMode="External"/><Relationship Id="rId235" Type="http://schemas.openxmlformats.org/officeDocument/2006/relationships/hyperlink" Target="http://www.komora.cz/" TargetMode="External"/><Relationship Id="rId251" Type="http://schemas.openxmlformats.org/officeDocument/2006/relationships/hyperlink" Target="http://www.sanceprobudovy.cz/cs.html?start=20" TargetMode="External"/><Relationship Id="rId256" Type="http://schemas.openxmlformats.org/officeDocument/2006/relationships/hyperlink" Target="http://www.socr.cz/" TargetMode="External"/><Relationship Id="rId25" Type="http://schemas.openxmlformats.org/officeDocument/2006/relationships/header" Target="header5.xml"/><Relationship Id="rId46" Type="http://schemas.openxmlformats.org/officeDocument/2006/relationships/footer" Target="footer15.xml"/><Relationship Id="rId67" Type="http://schemas.openxmlformats.org/officeDocument/2006/relationships/hyperlink" Target="http://www.vlada.cz/cz/ppov/vvzpo/dokumenty/narodni-plan-vytvareni-rovnych-prilezitosti-pro-osoby-se-zdravotnim-postizenim-na-obdobi-2010---2014-70026/" TargetMode="External"/><Relationship Id="rId116" Type="http://schemas.openxmlformats.org/officeDocument/2006/relationships/hyperlink" Target="http://www.msmt.cz/uploads/OP_VVV/Narodni_RIS3_strategie_schvalena_vladou_8._12._2014.pdf" TargetMode="External"/><Relationship Id="rId137" Type="http://schemas.openxmlformats.org/officeDocument/2006/relationships/hyperlink" Target="http://www.mpo.cz/dokument144140.html" TargetMode="External"/><Relationship Id="rId158" Type="http://schemas.openxmlformats.org/officeDocument/2006/relationships/hyperlink" Target="http://portal.gov.cz/app/zakony/zakonPar.jsp?idBiblio=49962&amp;fulltext=&amp;nr=458~2F2000&amp;part=&amp;name=&amp;rpp=15" TargetMode="External"/><Relationship Id="rId272" Type="http://schemas.openxmlformats.org/officeDocument/2006/relationships/header" Target="header21.xml"/><Relationship Id="rId20" Type="http://schemas.openxmlformats.org/officeDocument/2006/relationships/image" Target="media/image8.png"/><Relationship Id="rId41" Type="http://schemas.openxmlformats.org/officeDocument/2006/relationships/header" Target="header13.xml"/><Relationship Id="rId62" Type="http://schemas.openxmlformats.org/officeDocument/2006/relationships/hyperlink" Target="http://www.mpsv.cz/cs/12152" TargetMode="External"/><Relationship Id="rId83" Type="http://schemas.openxmlformats.org/officeDocument/2006/relationships/hyperlink" Target="http://www.uohs.cz/cs/legislativa/verejna-podpora.html" TargetMode="External"/><Relationship Id="rId88" Type="http://schemas.openxmlformats.org/officeDocument/2006/relationships/hyperlink" Target="http://www.vzdelavaninsrr.cz/" TargetMode="External"/><Relationship Id="rId111" Type="http://schemas.openxmlformats.org/officeDocument/2006/relationships/hyperlink" Target="http://www.mpo.cz/dokument83642.html" TargetMode="External"/><Relationship Id="rId132" Type="http://schemas.openxmlformats.org/officeDocument/2006/relationships/hyperlink" Target="http://www.mpo.cz/assets/cz/e-komunikace-a-posta/Internet/2013/4/Digi_esko_v.2.0.pdf" TargetMode="External"/><Relationship Id="rId153" Type="http://schemas.openxmlformats.org/officeDocument/2006/relationships/hyperlink" Target="http://www.eru.cz/dias-browse_articles.php?parentId=384&amp;deep=off&amp;type=" TargetMode="External"/><Relationship Id="rId174" Type="http://schemas.openxmlformats.org/officeDocument/2006/relationships/hyperlink" Target="http://www.mpsv.cz/cs/" TargetMode="External"/><Relationship Id="rId179" Type="http://schemas.openxmlformats.org/officeDocument/2006/relationships/hyperlink" Target="http://www.komora.cz/" TargetMode="External"/><Relationship Id="rId195" Type="http://schemas.openxmlformats.org/officeDocument/2006/relationships/hyperlink" Target="http://www.czso.cz/" TargetMode="External"/><Relationship Id="rId209" Type="http://schemas.openxmlformats.org/officeDocument/2006/relationships/hyperlink" Target="http://www.aipcr.cz/" TargetMode="External"/><Relationship Id="rId190" Type="http://schemas.openxmlformats.org/officeDocument/2006/relationships/hyperlink" Target="http://www.kzps.cz/" TargetMode="External"/><Relationship Id="rId204" Type="http://schemas.openxmlformats.org/officeDocument/2006/relationships/hyperlink" Target="http://www.pkcr.cz/" TargetMode="External"/><Relationship Id="rId220" Type="http://schemas.openxmlformats.org/officeDocument/2006/relationships/hyperlink" Target="http://www.mdcr.cz/cs/default.htm" TargetMode="External"/><Relationship Id="rId225" Type="http://schemas.openxmlformats.org/officeDocument/2006/relationships/hyperlink" Target="http://www.spcr.cz/" TargetMode="External"/><Relationship Id="rId241" Type="http://schemas.openxmlformats.org/officeDocument/2006/relationships/hyperlink" Target="http://www.amsp.cz/" TargetMode="External"/><Relationship Id="rId246" Type="http://schemas.openxmlformats.org/officeDocument/2006/relationships/hyperlink" Target="http://www.asvep.cz/" TargetMode="External"/><Relationship Id="rId267" Type="http://schemas.openxmlformats.org/officeDocument/2006/relationships/hyperlink" Target="http://www.cvca.cz" TargetMode="External"/><Relationship Id="rId15" Type="http://schemas.openxmlformats.org/officeDocument/2006/relationships/chart" Target="charts/chart2.xml"/><Relationship Id="rId36" Type="http://schemas.openxmlformats.org/officeDocument/2006/relationships/footer" Target="footer10.xml"/><Relationship Id="rId57" Type="http://schemas.openxmlformats.org/officeDocument/2006/relationships/footer" Target="footer19.xml"/><Relationship Id="rId106" Type="http://schemas.openxmlformats.org/officeDocument/2006/relationships/hyperlink" Target="http://www.s-f.cz/cs/Fondy-EU/2014-2020/Metodicke-pokyny" TargetMode="External"/><Relationship Id="rId127" Type="http://schemas.openxmlformats.org/officeDocument/2006/relationships/hyperlink" Target="http://www.czso.cz/csu/redakce.nsf/i/informacni_ekonomika" TargetMode="External"/><Relationship Id="rId262" Type="http://schemas.openxmlformats.org/officeDocument/2006/relationships/hyperlink" Target="http://www.praha.eu/jnp/cz/home/index.html" TargetMode="External"/><Relationship Id="rId10" Type="http://schemas.openxmlformats.org/officeDocument/2006/relationships/header" Target="header2.xml"/><Relationship Id="rId31" Type="http://schemas.openxmlformats.org/officeDocument/2006/relationships/header" Target="header8.xml"/><Relationship Id="rId52" Type="http://schemas.openxmlformats.org/officeDocument/2006/relationships/image" Target="media/image9.png"/><Relationship Id="rId73" Type="http://schemas.openxmlformats.org/officeDocument/2006/relationships/hyperlink" Target="http://www.portal-vz.cz/cs/Aktuality" TargetMode="External"/><Relationship Id="rId78" Type="http://schemas.openxmlformats.org/officeDocument/2006/relationships/hyperlink" Target="http://www.portal-vz.cz/cs/Aktuality/Informace-k-postupu-pri-uverejnovani-v-souvislosti" TargetMode="External"/><Relationship Id="rId94" Type="http://schemas.openxmlformats.org/officeDocument/2006/relationships/hyperlink" Target="http://www.mze.cz" TargetMode="External"/><Relationship Id="rId99" Type="http://schemas.openxmlformats.org/officeDocument/2006/relationships/hyperlink" Target="http://portal.cenia.cz/eiasea/view/eia100_cr" TargetMode="External"/><Relationship Id="rId101" Type="http://schemas.openxmlformats.org/officeDocument/2006/relationships/hyperlink" Target="http://portal.cenia.cz/eiasea/view/SEA100_koncepce" TargetMode="External"/><Relationship Id="rId122" Type="http://schemas.openxmlformats.org/officeDocument/2006/relationships/hyperlink" Target="http://www.mpo.cz/assets/cz/e-komunikace-a-posta/Internet/2013/4/Digi_esko_v.2.0.pdf" TargetMode="External"/><Relationship Id="rId143" Type="http://schemas.openxmlformats.org/officeDocument/2006/relationships/hyperlink" Target="http://portal.gov.cz/app/zakony/zakonPar.jsp?idBiblio=49857&amp;fulltext=&amp;nr=406~2F2000&amp;part=&amp;name=&amp;rpp=15" TargetMode="External"/><Relationship Id="rId148" Type="http://schemas.openxmlformats.org/officeDocument/2006/relationships/hyperlink" Target="http://www.eru.cz/dias-browse_articles.php?parentId=91&amp;deep=off&amp;type=" TargetMode="External"/><Relationship Id="rId164" Type="http://schemas.openxmlformats.org/officeDocument/2006/relationships/hyperlink" Target="http://www.mpo.cz/dokument144140.html" TargetMode="External"/><Relationship Id="rId169" Type="http://schemas.openxmlformats.org/officeDocument/2006/relationships/header" Target="header20.xml"/><Relationship Id="rId185" Type="http://schemas.openxmlformats.org/officeDocument/2006/relationships/hyperlink" Target="http://www.socr.cz/"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pkcr.cz/" TargetMode="External"/><Relationship Id="rId210" Type="http://schemas.openxmlformats.org/officeDocument/2006/relationships/hyperlink" Target="http://www.amsp.cz/" TargetMode="External"/><Relationship Id="rId215" Type="http://schemas.openxmlformats.org/officeDocument/2006/relationships/hyperlink" Target="http://nsmascr.cz/o-nas/mistni-akncni-skupiny/" TargetMode="External"/><Relationship Id="rId236" Type="http://schemas.openxmlformats.org/officeDocument/2006/relationships/hyperlink" Target="http://www.pkcr.cz/" TargetMode="External"/><Relationship Id="rId257" Type="http://schemas.openxmlformats.org/officeDocument/2006/relationships/hyperlink" Target="http://www.amsp.cz/" TargetMode="External"/><Relationship Id="rId26" Type="http://schemas.openxmlformats.org/officeDocument/2006/relationships/footer" Target="footer5.xml"/><Relationship Id="rId231" Type="http://schemas.openxmlformats.org/officeDocument/2006/relationships/hyperlink" Target="http://www.asociacenno.cz/" TargetMode="External"/><Relationship Id="rId252" Type="http://schemas.openxmlformats.org/officeDocument/2006/relationships/hyperlink" Target="http://www.praha.eu/jnp/cz/home/index.html" TargetMode="External"/><Relationship Id="rId273" Type="http://schemas.openxmlformats.org/officeDocument/2006/relationships/footer" Target="footer21.xml"/><Relationship Id="rId47" Type="http://schemas.openxmlformats.org/officeDocument/2006/relationships/hyperlink" Target="http://eur-lex.europa.eu/LexUriServ/LexUriServ.do?uri=CONSLEG:2006R1828:20091013:EN:HTML" TargetMode="External"/><Relationship Id="rId68" Type="http://schemas.openxmlformats.org/officeDocument/2006/relationships/hyperlink" Target="http://www.portal-vz.cz/cs/Jak-na-zadavani-verejnych-zakazek/Legislativa-a-Judikatura/Legislativa/Narodni-legislativa-aktualni-a-uplne-zneni-z-(1)" TargetMode="External"/><Relationship Id="rId89" Type="http://schemas.openxmlformats.org/officeDocument/2006/relationships/hyperlink" Target="http://www.strukturalni-fondy.cz" TargetMode="External"/><Relationship Id="rId112" Type="http://schemas.openxmlformats.org/officeDocument/2006/relationships/hyperlink" Target="http://www.mpo.cz/assets/cz/e-komunikace-a-posta/Internet/2013/4/Digi_esko_v.2.0.pdf" TargetMode="External"/><Relationship Id="rId133" Type="http://schemas.openxmlformats.org/officeDocument/2006/relationships/hyperlink" Target="http://www.mpo.cz/dokument83642.html" TargetMode="External"/><Relationship Id="rId154" Type="http://schemas.openxmlformats.org/officeDocument/2006/relationships/hyperlink" Target="http://databaze-strategie.cz/cz/mpo/strategie/narodni-akcni-plan-cr-pro-energii-z-obnovitelnych-zdroju-2010-2020" TargetMode="External"/><Relationship Id="rId175" Type="http://schemas.openxmlformats.org/officeDocument/2006/relationships/hyperlink" Target="http://www.msmt.cz/" TargetMode="External"/><Relationship Id="rId196" Type="http://schemas.openxmlformats.org/officeDocument/2006/relationships/hyperlink" Target="http://www.praha.eu/jnp/cz/home/index.html" TargetMode="External"/><Relationship Id="rId200" Type="http://schemas.openxmlformats.org/officeDocument/2006/relationships/hyperlink" Target="http://tacr.cz/" TargetMode="External"/><Relationship Id="rId16" Type="http://schemas.openxmlformats.org/officeDocument/2006/relationships/chart" Target="charts/chart3.xml"/><Relationship Id="rId221" Type="http://schemas.openxmlformats.org/officeDocument/2006/relationships/hyperlink" Target="http://www.jic.cz/" TargetMode="External"/><Relationship Id="rId242" Type="http://schemas.openxmlformats.org/officeDocument/2006/relationships/hyperlink" Target="http://www.asociacenno.cz/" TargetMode="External"/><Relationship Id="rId263" Type="http://schemas.openxmlformats.org/officeDocument/2006/relationships/hyperlink" Target="http://www.vlada.cz/cz/ppov/ekonomicka-rada/narodni-ekonomicka-rada-vlady-51371/" TargetMode="External"/><Relationship Id="rId37" Type="http://schemas.openxmlformats.org/officeDocument/2006/relationships/header" Target="header11.xml"/><Relationship Id="rId58" Type="http://schemas.openxmlformats.org/officeDocument/2006/relationships/hyperlink" Target="http://www.ochrance.cz/en/discrimination/" TargetMode="External"/><Relationship Id="rId79" Type="http://schemas.openxmlformats.org/officeDocument/2006/relationships/hyperlink" Target="http://www.portal-vz.cz/cs/Spoluprace-a-vymena-informaci/Info-forum/Otazky-a-odpovedi" TargetMode="External"/><Relationship Id="rId102" Type="http://schemas.openxmlformats.org/officeDocument/2006/relationships/hyperlink" Target="http://www.mzp.cz/cz/posuzovani_vlivu_zivotni_prostredi" TargetMode="External"/><Relationship Id="rId123" Type="http://schemas.openxmlformats.org/officeDocument/2006/relationships/hyperlink" Target="http://www.mvcr.cz/odk2/clanek/odbor-verejne-spravy-dozoru-a-kontroly.aspx?q=Y2hudW09OQ%3d%3d" TargetMode="External"/><Relationship Id="rId144" Type="http://schemas.openxmlformats.org/officeDocument/2006/relationships/hyperlink" Target="http://portal.gov.cz/app/zakony/zakonPar.jsp?idBiblio=78282&amp;fulltext=&amp;nr=318~2F2012&amp;part=&amp;name=&amp;rpp=15" TargetMode="External"/><Relationship Id="rId90" Type="http://schemas.openxmlformats.org/officeDocument/2006/relationships/hyperlink" Target="http://www.strukturalni-fondy.cz/cs/Fondy-EU/2014-2020/Metodicke-pokyny/Metodika-rozvoje-lidskych-zdroju" TargetMode="External"/><Relationship Id="rId165" Type="http://schemas.openxmlformats.org/officeDocument/2006/relationships/hyperlink" Target="http://www.vlada.cz/assets/media-centrum/aktualne/Strategie-mezinarodni-konkurenceschopnosti-Ceske-republiky.pdf" TargetMode="External"/><Relationship Id="rId186" Type="http://schemas.openxmlformats.org/officeDocument/2006/relationships/hyperlink" Target="http://www.sps.cz/index.ASP" TargetMode="External"/><Relationship Id="rId211" Type="http://schemas.openxmlformats.org/officeDocument/2006/relationships/hyperlink" Target="http://www.asociacenno.cz/" TargetMode="External"/><Relationship Id="rId232" Type="http://schemas.openxmlformats.org/officeDocument/2006/relationships/hyperlink" Target="http://nsmascr.cz/o-nas/mistni-akncni-skupiny/" TargetMode="External"/><Relationship Id="rId253" Type="http://schemas.openxmlformats.org/officeDocument/2006/relationships/hyperlink" Target="http://www.mdcr.cz/cs/default.htm" TargetMode="External"/><Relationship Id="rId274" Type="http://schemas.openxmlformats.org/officeDocument/2006/relationships/fontTable" Target="fontTable.xml"/><Relationship Id="rId27" Type="http://schemas.openxmlformats.org/officeDocument/2006/relationships/header" Target="header6.xml"/><Relationship Id="rId48" Type="http://schemas.openxmlformats.org/officeDocument/2006/relationships/header" Target="header16.xml"/><Relationship Id="rId69" Type="http://schemas.openxmlformats.org/officeDocument/2006/relationships/hyperlink" Target="http://www.portal-vz.cz/cs/Jak-na-zadavani-verejnych-zakazek/Metodiky-stanoviska" TargetMode="External"/><Relationship Id="rId113" Type="http://schemas.openxmlformats.org/officeDocument/2006/relationships/hyperlink" Target="http://www.mpo.cz/dokument119071.html" TargetMode="External"/><Relationship Id="rId134" Type="http://schemas.openxmlformats.org/officeDocument/2006/relationships/hyperlink" Target="http://www.mpo.cz/assets/cz/e-komunikace-a-posta/Internet/2013/4/Digi_esko_v.2.0.pdf" TargetMode="External"/><Relationship Id="rId80" Type="http://schemas.openxmlformats.org/officeDocument/2006/relationships/hyperlink" Target="http://www.mmr.cz/cs/Verejne-zakazky/Verejne-zakazky-a-PPP/Informace-Udalosti/Konference-Pripravovane-zmeny-v-oblasti-verejneho%20" TargetMode="External"/><Relationship Id="rId155" Type="http://schemas.openxmlformats.org/officeDocument/2006/relationships/hyperlink" Target="http://portal.gov.cz/app/zakony/zakonPar.jsp?idBiblio=49962&amp;fulltext=&amp;nr=458~2F2000&amp;part=&amp;name=&amp;rpp=15" TargetMode="External"/><Relationship Id="rId176" Type="http://schemas.openxmlformats.org/officeDocument/2006/relationships/hyperlink" Target="http://eagri.cz/public/web/mze/ministerstvo-zemedelstvi/" TargetMode="External"/><Relationship Id="rId197" Type="http://schemas.openxmlformats.org/officeDocument/2006/relationships/hyperlink" Target="http://www.msmt.cz/" TargetMode="External"/><Relationship Id="rId201" Type="http://schemas.openxmlformats.org/officeDocument/2006/relationships/hyperlink" Target="http://www.tc.cz/cs/" TargetMode="External"/><Relationship Id="rId222" Type="http://schemas.openxmlformats.org/officeDocument/2006/relationships/hyperlink" Target="http://tacr.cz/" TargetMode="External"/><Relationship Id="rId243" Type="http://schemas.openxmlformats.org/officeDocument/2006/relationships/hyperlink" Target="http://adtt.cz/" TargetMode="External"/><Relationship Id="rId264" Type="http://schemas.openxmlformats.org/officeDocument/2006/relationships/hyperlink" Target="http://www.cmzrb.cz/" TargetMode="External"/><Relationship Id="rId17" Type="http://schemas.openxmlformats.org/officeDocument/2006/relationships/image" Target="media/image6.png"/><Relationship Id="rId38" Type="http://schemas.openxmlformats.org/officeDocument/2006/relationships/footer" Target="footer11.xml"/><Relationship Id="rId59" Type="http://schemas.openxmlformats.org/officeDocument/2006/relationships/hyperlink" Target="http://www.vlada.cz/cz/ppov/zmocnenec-vlady-pro-lidska-prava/organizace-sekce-lp/organizace-sekce-lidskych-prav-107606/" TargetMode="External"/><Relationship Id="rId103" Type="http://schemas.openxmlformats.org/officeDocument/2006/relationships/hyperlink" Target="http://portal.cenia.cz/eiasea/view/eia100_cr" TargetMode="External"/><Relationship Id="rId124" Type="http://schemas.openxmlformats.org/officeDocument/2006/relationships/hyperlink" Target="http://databaze-strategie.cz/cz/mv/strategie/strategicky-ramec-rozvoje-verejne-spravy-ceske-republiky-pro-obdobi-2014-2020" TargetMode="External"/><Relationship Id="rId70" Type="http://schemas.openxmlformats.org/officeDocument/2006/relationships/hyperlink" Target="http://www.strukturalni-fondy.cz/cs/Fondy-EU/Narodni-organ-pro-koordinaci/Dokumenty" TargetMode="External"/><Relationship Id="rId91" Type="http://schemas.openxmlformats.org/officeDocument/2006/relationships/hyperlink" Target="http://www.uohs.cz/cs/verejna-podpora.html" TargetMode="External"/><Relationship Id="rId145" Type="http://schemas.openxmlformats.org/officeDocument/2006/relationships/hyperlink" Target="http://ec.europa.eu/energy/efficiency/eed/reporting_en.htm" TargetMode="External"/><Relationship Id="rId166" Type="http://schemas.openxmlformats.org/officeDocument/2006/relationships/hyperlink" Target="http://www.mpo.cz/dokument119071.html" TargetMode="External"/><Relationship Id="rId187" Type="http://schemas.openxmlformats.org/officeDocument/2006/relationships/hyperlink" Target="http://www.smocr.cz/" TargetMode="External"/><Relationship Id="rId1" Type="http://schemas.openxmlformats.org/officeDocument/2006/relationships/customXml" Target="../customXml/item1.xml"/><Relationship Id="rId212" Type="http://schemas.openxmlformats.org/officeDocument/2006/relationships/hyperlink" Target="http://www.kzps.cz/" TargetMode="External"/><Relationship Id="rId233" Type="http://schemas.openxmlformats.org/officeDocument/2006/relationships/hyperlink" Target="http://fpvs.cz/" TargetMode="External"/><Relationship Id="rId254" Type="http://schemas.openxmlformats.org/officeDocument/2006/relationships/hyperlink" Target="http://www.spcr.cz/" TargetMode="External"/><Relationship Id="rId28" Type="http://schemas.openxmlformats.org/officeDocument/2006/relationships/footer" Target="footer6.xml"/><Relationship Id="rId49" Type="http://schemas.openxmlformats.org/officeDocument/2006/relationships/footer" Target="footer16.xml"/><Relationship Id="rId114" Type="http://schemas.openxmlformats.org/officeDocument/2006/relationships/hyperlink" Target="http://www.mvcr.cz/odk2/clanek/odbor-verejne-spravy-dozoru-a-kontroly.aspx?q=Y2hudW09OQ%3d%3d" TargetMode="External"/><Relationship Id="rId27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3.png"/></Relationships>
</file>

<file path=word/_rels/footer18.xml.rels><?xml version="1.0" encoding="UTF-8" standalone="yes"?>
<Relationships xmlns="http://schemas.openxmlformats.org/package/2006/relationships"><Relationship Id="rId1" Type="http://schemas.openxmlformats.org/officeDocument/2006/relationships/image" Target="media/image3.png"/></Relationships>
</file>

<file path=word/_rels/footer19.xml.rels><?xml version="1.0" encoding="UTF-8" standalone="yes"?>
<Relationships xmlns="http://schemas.openxmlformats.org/package/2006/relationships"><Relationship Id="rId1" Type="http://schemas.openxmlformats.org/officeDocument/2006/relationships/image" Target="media/image3.png"/></Relationships>
</file>

<file path=word/_rels/footer20.xml.rels><?xml version="1.0" encoding="UTF-8" standalone="yes"?>
<Relationships xmlns="http://schemas.openxmlformats.org/package/2006/relationships"><Relationship Id="rId1" Type="http://schemas.openxmlformats.org/officeDocument/2006/relationships/image" Target="media/image3.png"/></Relationships>
</file>

<file path=word/_rels/footer2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oecd.org/science/inno/236758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pvhome\home$\ptacnik\Dokumenty\OPPIK%202014+\MPO\p&#345;&#237;prava%20OPPIK\Programov&#253;%20dokument%20OP%20PIK\analytick&#233;%20podklady%20OPPIK\energetick&#225;%20n&#225;ro&#269;nost%20-%20graf.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ptacnik\AppData\Local\Microsoft\Windows\Temporary%20Internet%20Files\Content.Outlook\UGP2BF1L\souhrnna_zprava_kvalita_cez_2013-v1.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ptacnik\AppData\Local\Microsoft\Windows\Temporary%20Internet%20Files\Content.Outlook\UGP2BF1L\souhrnna_zprava_kvalita_cez_2013-v1.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pvhome\home$\ptacnik\Dokumenty\OPPIK%202014+\MPO\p&#345;&#237;prava%20OPPIK\Programov&#253;%20dokument%20OP%20PIK\analytick&#233;%20podklady%20OPPIK\KVET%20-%20graf.xl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gradFill>
              <a:gsLst>
                <a:gs pos="0">
                  <a:schemeClr val="accent3">
                    <a:lumMod val="50000"/>
                  </a:schemeClr>
                </a:gs>
                <a:gs pos="50000">
                  <a:schemeClr val="accent3">
                    <a:lumMod val="75000"/>
                  </a:schemeClr>
                </a:gs>
                <a:gs pos="100000">
                  <a:schemeClr val="accent3">
                    <a:lumMod val="40000"/>
                    <a:lumOff val="60000"/>
                  </a:schemeClr>
                </a:gs>
              </a:gsLst>
              <a:path path="circle">
                <a:fillToRect l="100000" t="100000"/>
              </a:path>
            </a:gradFill>
            <a:ln>
              <a:solidFill>
                <a:schemeClr val="accent3">
                  <a:lumMod val="50000"/>
                </a:schemeClr>
              </a:solidFill>
              <a:prstDash val="solid"/>
            </a:ln>
          </c:spPr>
          <c:invertIfNegative val="0"/>
          <c:dPt>
            <c:idx val="3"/>
            <c:invertIfNegative val="0"/>
            <c:bubble3D val="0"/>
            <c:spPr>
              <a:gradFill>
                <a:gsLst>
                  <a:gs pos="0">
                    <a:schemeClr val="accent3">
                      <a:lumMod val="50000"/>
                    </a:schemeClr>
                  </a:gs>
                  <a:gs pos="50000">
                    <a:schemeClr val="accent3">
                      <a:lumMod val="75000"/>
                    </a:schemeClr>
                  </a:gs>
                  <a:gs pos="100000">
                    <a:schemeClr val="accent3">
                      <a:lumMod val="40000"/>
                      <a:lumOff val="60000"/>
                    </a:schemeClr>
                  </a:gs>
                </a:gsLst>
                <a:path path="circle">
                  <a:fillToRect l="100000" t="100000"/>
                </a:path>
              </a:gradFill>
              <a:ln>
                <a:solidFill>
                  <a:srgbClr val="FF0000"/>
                </a:solidFill>
                <a:prstDash val="solid"/>
              </a:ln>
            </c:spPr>
          </c:dPt>
          <c:dPt>
            <c:idx val="17"/>
            <c:invertIfNegative val="0"/>
            <c:bubble3D val="0"/>
            <c:spPr>
              <a:gradFill>
                <a:gsLst>
                  <a:gs pos="0">
                    <a:schemeClr val="accent3">
                      <a:lumMod val="50000"/>
                    </a:schemeClr>
                  </a:gs>
                  <a:gs pos="50000">
                    <a:schemeClr val="accent3">
                      <a:lumMod val="75000"/>
                    </a:schemeClr>
                  </a:gs>
                  <a:gs pos="100000">
                    <a:schemeClr val="accent3">
                      <a:lumMod val="40000"/>
                      <a:lumOff val="60000"/>
                    </a:schemeClr>
                  </a:gs>
                </a:gsLst>
                <a:path path="circle">
                  <a:fillToRect l="100000" t="100000"/>
                </a:path>
              </a:gradFill>
              <a:ln>
                <a:solidFill>
                  <a:schemeClr val="accent3">
                    <a:lumMod val="50000"/>
                  </a:schemeClr>
                </a:solidFill>
              </a:ln>
            </c:spPr>
          </c:dPt>
          <c:dPt>
            <c:idx val="19"/>
            <c:invertIfNegative val="0"/>
            <c:bubble3D val="0"/>
            <c:spPr>
              <a:solidFill>
                <a:schemeClr val="accent3">
                  <a:lumMod val="50000"/>
                </a:schemeClr>
              </a:solidFill>
              <a:ln>
                <a:solidFill>
                  <a:schemeClr val="accent3">
                    <a:lumMod val="50000"/>
                  </a:schemeClr>
                </a:solidFill>
                <a:prstDash val="solid"/>
              </a:ln>
            </c:spPr>
          </c:dPt>
          <c:cat>
            <c:strRef>
              <c:f>Data!$A$6:$A$34</c:f>
              <c:strCache>
                <c:ptCount val="29"/>
                <c:pt idx="0">
                  <c:v>Bulharsko</c:v>
                </c:pt>
                <c:pt idx="1">
                  <c:v>Estonsko</c:v>
                </c:pt>
                <c:pt idx="2">
                  <c:v>Rumunsko</c:v>
                </c:pt>
                <c:pt idx="3">
                  <c:v>Česko</c:v>
                </c:pt>
                <c:pt idx="4">
                  <c:v>Slovensko</c:v>
                </c:pt>
                <c:pt idx="5">
                  <c:v>Lotyšsko</c:v>
                </c:pt>
                <c:pt idx="6">
                  <c:v>Polsko</c:v>
                </c:pt>
                <c:pt idx="7">
                  <c:v>Litva</c:v>
                </c:pt>
                <c:pt idx="8">
                  <c:v>Maďarsko</c:v>
                </c:pt>
                <c:pt idx="9">
                  <c:v>Slovinsko</c:v>
                </c:pt>
                <c:pt idx="10">
                  <c:v>Chorvatsko</c:v>
                </c:pt>
                <c:pt idx="11">
                  <c:v>Finsko</c:v>
                </c:pt>
                <c:pt idx="12">
                  <c:v>Belgie</c:v>
                </c:pt>
                <c:pt idx="13">
                  <c:v>Kypr</c:v>
                </c:pt>
                <c:pt idx="14">
                  <c:v>Řecko</c:v>
                </c:pt>
                <c:pt idx="15">
                  <c:v>Nizozemí</c:v>
                </c:pt>
                <c:pt idx="16">
                  <c:v>Švédsko</c:v>
                </c:pt>
                <c:pt idx="17">
                  <c:v>Malta</c:v>
                </c:pt>
                <c:pt idx="18">
                  <c:v>Portugalsko</c:v>
                </c:pt>
                <c:pt idx="19">
                  <c:v>EU-28</c:v>
                </c:pt>
                <c:pt idx="20">
                  <c:v>Francie</c:v>
                </c:pt>
                <c:pt idx="21">
                  <c:v>Španělsko</c:v>
                </c:pt>
                <c:pt idx="22">
                  <c:v>Lucembursko</c:v>
                </c:pt>
                <c:pt idx="23">
                  <c:v>Německo</c:v>
                </c:pt>
                <c:pt idx="24">
                  <c:v>Rakousko</c:v>
                </c:pt>
                <c:pt idx="25">
                  <c:v>Itálie</c:v>
                </c:pt>
                <c:pt idx="26">
                  <c:v>Velká Británie</c:v>
                </c:pt>
                <c:pt idx="27">
                  <c:v>Dánsko</c:v>
                </c:pt>
                <c:pt idx="28">
                  <c:v>Irsko</c:v>
                </c:pt>
              </c:strCache>
            </c:strRef>
          </c:cat>
          <c:val>
            <c:numRef>
              <c:f>Data!$B$6:$B$34</c:f>
              <c:numCache>
                <c:formatCode>General</c:formatCode>
                <c:ptCount val="29"/>
                <c:pt idx="0">
                  <c:v>669.9</c:v>
                </c:pt>
                <c:pt idx="1">
                  <c:v>481</c:v>
                </c:pt>
                <c:pt idx="2">
                  <c:v>378.8</c:v>
                </c:pt>
                <c:pt idx="3">
                  <c:v>355.4</c:v>
                </c:pt>
                <c:pt idx="4">
                  <c:v>329.3</c:v>
                </c:pt>
                <c:pt idx="5">
                  <c:v>328.6</c:v>
                </c:pt>
                <c:pt idx="6">
                  <c:v>298.7</c:v>
                </c:pt>
                <c:pt idx="7">
                  <c:v>291.60000000000002</c:v>
                </c:pt>
                <c:pt idx="8">
                  <c:v>268.7</c:v>
                </c:pt>
                <c:pt idx="9">
                  <c:v>227.7</c:v>
                </c:pt>
                <c:pt idx="10">
                  <c:v>224.9</c:v>
                </c:pt>
                <c:pt idx="11">
                  <c:v>204</c:v>
                </c:pt>
                <c:pt idx="12">
                  <c:v>172.2</c:v>
                </c:pt>
                <c:pt idx="13">
                  <c:v>167</c:v>
                </c:pt>
                <c:pt idx="14">
                  <c:v>165.7</c:v>
                </c:pt>
                <c:pt idx="15">
                  <c:v>149.4</c:v>
                </c:pt>
                <c:pt idx="16">
                  <c:v>148.19999999999999</c:v>
                </c:pt>
                <c:pt idx="17">
                  <c:v>148</c:v>
                </c:pt>
                <c:pt idx="18">
                  <c:v>146.5</c:v>
                </c:pt>
                <c:pt idx="19">
                  <c:v>143.19999999999999</c:v>
                </c:pt>
                <c:pt idx="20">
                  <c:v>142.9</c:v>
                </c:pt>
                <c:pt idx="21">
                  <c:v>136.4</c:v>
                </c:pt>
                <c:pt idx="22">
                  <c:v>133.80000000000001</c:v>
                </c:pt>
                <c:pt idx="23">
                  <c:v>129.19999999999999</c:v>
                </c:pt>
                <c:pt idx="24">
                  <c:v>123.9</c:v>
                </c:pt>
                <c:pt idx="25">
                  <c:v>117.3</c:v>
                </c:pt>
                <c:pt idx="26">
                  <c:v>105.1</c:v>
                </c:pt>
                <c:pt idx="27">
                  <c:v>87.2</c:v>
                </c:pt>
                <c:pt idx="28">
                  <c:v>82.8</c:v>
                </c:pt>
              </c:numCache>
            </c:numRef>
          </c:val>
        </c:ser>
        <c:dLbls>
          <c:showLegendKey val="0"/>
          <c:showVal val="0"/>
          <c:showCatName val="0"/>
          <c:showSerName val="0"/>
          <c:showPercent val="0"/>
          <c:showBubbleSize val="0"/>
        </c:dLbls>
        <c:gapWidth val="39"/>
        <c:axId val="273278920"/>
        <c:axId val="273279704"/>
      </c:barChart>
      <c:catAx>
        <c:axId val="273278920"/>
        <c:scaling>
          <c:orientation val="minMax"/>
        </c:scaling>
        <c:delete val="0"/>
        <c:axPos val="b"/>
        <c:numFmt formatCode="General" sourceLinked="1"/>
        <c:majorTickMark val="out"/>
        <c:minorTickMark val="none"/>
        <c:tickLblPos val="nextTo"/>
        <c:crossAx val="273279704"/>
        <c:crosses val="autoZero"/>
        <c:auto val="1"/>
        <c:lblAlgn val="ctr"/>
        <c:lblOffset val="100"/>
        <c:noMultiLvlLbl val="0"/>
      </c:catAx>
      <c:valAx>
        <c:axId val="273279704"/>
        <c:scaling>
          <c:orientation val="minMax"/>
        </c:scaling>
        <c:delete val="0"/>
        <c:axPos val="l"/>
        <c:majorGridlines/>
        <c:title>
          <c:tx>
            <c:rich>
              <a:bodyPr rot="-5400000" vert="horz"/>
              <a:lstStyle/>
              <a:p>
                <a:pPr>
                  <a:defRPr/>
                </a:pPr>
                <a:r>
                  <a:rPr lang="cs-CZ"/>
                  <a:t>Kilogram ropného ekvivalentu na 1000 EUR</a:t>
                </a:r>
              </a:p>
            </c:rich>
          </c:tx>
          <c:overlay val="0"/>
        </c:title>
        <c:numFmt formatCode="#,##0" sourceLinked="0"/>
        <c:majorTickMark val="out"/>
        <c:minorTickMark val="none"/>
        <c:tickLblPos val="nextTo"/>
        <c:crossAx val="27327892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a:ea typeface="Arial"/>
                <a:cs typeface="Arial"/>
              </a:defRPr>
            </a:pPr>
            <a:r>
              <a:rPr lang="cs-CZ"/>
              <a:t>Hladina nízkého napětí</a:t>
            </a:r>
          </a:p>
        </c:rich>
      </c:tx>
      <c:layout>
        <c:manualLayout>
          <c:xMode val="edge"/>
          <c:yMode val="edge"/>
          <c:x val="0.37406054506344644"/>
          <c:y val="3.178484107579465E-2"/>
        </c:manualLayout>
      </c:layout>
      <c:overlay val="0"/>
      <c:spPr>
        <a:noFill/>
        <a:ln w="25400">
          <a:noFill/>
        </a:ln>
      </c:spPr>
    </c:title>
    <c:autoTitleDeleted val="0"/>
    <c:plotArea>
      <c:layout>
        <c:manualLayout>
          <c:layoutTarget val="inner"/>
          <c:xMode val="edge"/>
          <c:yMode val="edge"/>
          <c:x val="0.13157906813457118"/>
          <c:y val="0.15647940441554828"/>
          <c:w val="0.84586543800795755"/>
          <c:h val="0.51833802712650323"/>
        </c:manualLayout>
      </c:layout>
      <c:barChart>
        <c:barDir val="col"/>
        <c:grouping val="stacked"/>
        <c:varyColors val="0"/>
        <c:ser>
          <c:idx val="0"/>
          <c:order val="0"/>
          <c:tx>
            <c:v>neplánovaná poruchová za obvyklých povětrnostních podmínek</c:v>
          </c:tx>
          <c:spPr>
            <a:solidFill>
              <a:srgbClr val="FFCC99"/>
            </a:solidFill>
            <a:ln w="25400">
              <a:noFill/>
            </a:ln>
          </c:spPr>
          <c:invertIfNegative val="0"/>
          <c:cat>
            <c:numRef>
              <c:f>'[souhrnna_zprava_kvalita_cez_2013-v1.xls]Histor'!$E$8:$G$8</c:f>
              <c:numCache>
                <c:formatCode>General</c:formatCode>
                <c:ptCount val="3"/>
                <c:pt idx="0">
                  <c:v>2011</c:v>
                </c:pt>
                <c:pt idx="1">
                  <c:v>2012</c:v>
                </c:pt>
                <c:pt idx="2">
                  <c:v>2013</c:v>
                </c:pt>
              </c:numCache>
            </c:numRef>
          </c:cat>
          <c:val>
            <c:numRef>
              <c:f>'[souhrnna_zprava_kvalita_cez_2013-v1.xls]Histor'!$E$13:$G$13</c:f>
              <c:numCache>
                <c:formatCode>0.000</c:formatCode>
                <c:ptCount val="3"/>
                <c:pt idx="0">
                  <c:v>2.0075401765303784</c:v>
                </c:pt>
                <c:pt idx="1">
                  <c:v>2.3114113136021843</c:v>
                </c:pt>
                <c:pt idx="2">
                  <c:v>1.9303374638077269</c:v>
                </c:pt>
              </c:numCache>
            </c:numRef>
          </c:val>
        </c:ser>
        <c:ser>
          <c:idx val="2"/>
          <c:order val="1"/>
          <c:tx>
            <c:v>neplánovaná poruchová způsobená v důsledku zásahu nebo jednání třetí osoby</c:v>
          </c:tx>
          <c:spPr>
            <a:solidFill>
              <a:srgbClr val="FFFFCC"/>
            </a:solidFill>
            <a:ln w="25400">
              <a:noFill/>
            </a:ln>
          </c:spPr>
          <c:invertIfNegative val="0"/>
          <c:cat>
            <c:numRef>
              <c:f>'[souhrnna_zprava_kvalita_cez_2013-v1.xls]Histor'!$E$8:$G$8</c:f>
              <c:numCache>
                <c:formatCode>General</c:formatCode>
                <c:ptCount val="3"/>
                <c:pt idx="0">
                  <c:v>2011</c:v>
                </c:pt>
                <c:pt idx="1">
                  <c:v>2012</c:v>
                </c:pt>
                <c:pt idx="2">
                  <c:v>2013</c:v>
                </c:pt>
              </c:numCache>
            </c:numRef>
          </c:cat>
          <c:val>
            <c:numRef>
              <c:f>'[souhrnna_zprava_kvalita_cez_2013-v1.xls]Histor'!$E$15:$G$15</c:f>
              <c:numCache>
                <c:formatCode>0.000</c:formatCode>
                <c:ptCount val="3"/>
                <c:pt idx="0">
                  <c:v>0.17992851380722388</c:v>
                </c:pt>
                <c:pt idx="1">
                  <c:v>0.16334996349958411</c:v>
                </c:pt>
                <c:pt idx="2">
                  <c:v>0.21873989569182625</c:v>
                </c:pt>
              </c:numCache>
            </c:numRef>
          </c:val>
        </c:ser>
        <c:ser>
          <c:idx val="3"/>
          <c:order val="2"/>
          <c:tx>
            <c:v>neplánovaná ostatní</c:v>
          </c:tx>
          <c:spPr>
            <a:solidFill>
              <a:srgbClr val="C0C0C0"/>
            </a:solidFill>
            <a:ln w="25400">
              <a:noFill/>
            </a:ln>
          </c:spPr>
          <c:invertIfNegative val="0"/>
          <c:val>
            <c:numRef>
              <c:f>'[souhrnna_zprava_kvalita_cez_2013-v1.xls]Histor'!$E$19:$G$19</c:f>
              <c:numCache>
                <c:formatCode>0.000</c:formatCode>
                <c:ptCount val="3"/>
                <c:pt idx="0">
                  <c:v>0.14584513143451749</c:v>
                </c:pt>
                <c:pt idx="1">
                  <c:v>0.12291960352236081</c:v>
                </c:pt>
                <c:pt idx="2">
                  <c:v>0.45098894308548926</c:v>
                </c:pt>
              </c:numCache>
            </c:numRef>
          </c:val>
        </c:ser>
        <c:ser>
          <c:idx val="4"/>
          <c:order val="3"/>
          <c:tx>
            <c:v>plánovaná</c:v>
          </c:tx>
          <c:spPr>
            <a:solidFill>
              <a:srgbClr val="CCFFFF"/>
            </a:solidFill>
            <a:ln w="25400">
              <a:noFill/>
            </a:ln>
          </c:spPr>
          <c:invertIfNegative val="0"/>
          <c:val>
            <c:numRef>
              <c:f>'[souhrnna_zprava_kvalita_cez_2013-v1.xls]Histor'!$E$9:$G$9</c:f>
              <c:numCache>
                <c:formatCode>0.000</c:formatCode>
                <c:ptCount val="3"/>
                <c:pt idx="0">
                  <c:v>0.54135432777320136</c:v>
                </c:pt>
                <c:pt idx="1">
                  <c:v>0.49927508081831051</c:v>
                </c:pt>
                <c:pt idx="2">
                  <c:v>0.51292576224716169</c:v>
                </c:pt>
              </c:numCache>
            </c:numRef>
          </c:val>
        </c:ser>
        <c:dLbls>
          <c:showLegendKey val="0"/>
          <c:showVal val="0"/>
          <c:showCatName val="0"/>
          <c:showSerName val="0"/>
          <c:showPercent val="0"/>
          <c:showBubbleSize val="0"/>
        </c:dLbls>
        <c:gapWidth val="150"/>
        <c:overlap val="100"/>
        <c:axId val="273280096"/>
        <c:axId val="275389408"/>
      </c:barChart>
      <c:catAx>
        <c:axId val="273280096"/>
        <c:scaling>
          <c:orientation val="minMax"/>
        </c:scaling>
        <c:delete val="0"/>
        <c:axPos val="b"/>
        <c:title>
          <c:tx>
            <c:rich>
              <a:bodyPr/>
              <a:lstStyle/>
              <a:p>
                <a:pPr>
                  <a:defRPr sz="825" b="0" i="0" u="none" strike="noStrike" baseline="0">
                    <a:solidFill>
                      <a:srgbClr val="000000"/>
                    </a:solidFill>
                    <a:latin typeface="Arial"/>
                    <a:ea typeface="Arial"/>
                    <a:cs typeface="Arial"/>
                  </a:defRPr>
                </a:pPr>
                <a:r>
                  <a:rPr lang="cs-CZ"/>
                  <a:t>Rok</a:t>
                </a:r>
              </a:p>
            </c:rich>
          </c:tx>
          <c:layout>
            <c:manualLayout>
              <c:xMode val="edge"/>
              <c:yMode val="edge"/>
              <c:x val="0.53383498115367167"/>
              <c:y val="0.7481670292435943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cs-CZ"/>
          </a:p>
        </c:txPr>
        <c:crossAx val="275389408"/>
        <c:crosses val="autoZero"/>
        <c:auto val="1"/>
        <c:lblAlgn val="ctr"/>
        <c:lblOffset val="100"/>
        <c:tickLblSkip val="1"/>
        <c:tickMarkSkip val="1"/>
        <c:noMultiLvlLbl val="0"/>
      </c:catAx>
      <c:valAx>
        <c:axId val="275389408"/>
        <c:scaling>
          <c:orientation val="minMax"/>
        </c:scaling>
        <c:delete val="0"/>
        <c:axPos val="l"/>
        <c:majorGridlines>
          <c:spPr>
            <a:ln w="3175">
              <a:solidFill>
                <a:srgbClr val="000000"/>
              </a:solidFill>
              <a:prstDash val="sysDash"/>
            </a:ln>
          </c:spPr>
        </c:majorGridlines>
        <c:title>
          <c:tx>
            <c:rich>
              <a:bodyPr/>
              <a:lstStyle/>
              <a:p>
                <a:pPr>
                  <a:defRPr sz="1100" b="0" i="0" u="none" strike="noStrike" baseline="0">
                    <a:solidFill>
                      <a:srgbClr val="000000"/>
                    </a:solidFill>
                    <a:latin typeface="Calibri"/>
                    <a:ea typeface="Calibri"/>
                    <a:cs typeface="Calibri"/>
                  </a:defRPr>
                </a:pPr>
                <a:r>
                  <a:rPr lang="cs-CZ" sz="1000" b="0" i="0" u="none" strike="noStrike" baseline="0">
                    <a:solidFill>
                      <a:srgbClr val="000000"/>
                    </a:solidFill>
                    <a:latin typeface="Arial"/>
                    <a:cs typeface="Arial"/>
                  </a:rPr>
                  <a:t>SAIFI</a:t>
                </a:r>
                <a:r>
                  <a:rPr lang="cs-CZ" sz="1000" b="0" i="0" u="none" strike="noStrike" baseline="-25000">
                    <a:solidFill>
                      <a:srgbClr val="000000"/>
                    </a:solidFill>
                    <a:latin typeface="Arial"/>
                    <a:cs typeface="Arial"/>
                  </a:rPr>
                  <a:t>nn</a:t>
                </a:r>
                <a:r>
                  <a:rPr lang="cs-CZ" sz="1000" b="0" i="0" u="none" strike="noStrike" baseline="0">
                    <a:solidFill>
                      <a:srgbClr val="000000"/>
                    </a:solidFill>
                    <a:latin typeface="Arial"/>
                    <a:cs typeface="Arial"/>
                  </a:rPr>
                  <a:t> [1/rok]</a:t>
                </a:r>
              </a:p>
            </c:rich>
          </c:tx>
          <c:layout>
            <c:manualLayout>
              <c:xMode val="edge"/>
              <c:yMode val="edge"/>
              <c:x val="2.6315789473684216E-2"/>
              <c:y val="0.310513704124393"/>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cs-CZ"/>
          </a:p>
        </c:txPr>
        <c:crossAx val="273280096"/>
        <c:crosses val="autoZero"/>
        <c:crossBetween val="between"/>
      </c:valAx>
      <c:spPr>
        <a:noFill/>
        <a:ln w="12700">
          <a:solidFill>
            <a:srgbClr val="808080"/>
          </a:solidFill>
          <a:prstDash val="solid"/>
        </a:ln>
      </c:spPr>
    </c:plotArea>
    <c:legend>
      <c:legendPos val="r"/>
      <c:layout>
        <c:manualLayout>
          <c:xMode val="edge"/>
          <c:yMode val="edge"/>
          <c:x val="1.8796992481203006E-2"/>
          <c:y val="0.78484210256114073"/>
          <c:w val="0.96240680441260629"/>
          <c:h val="0.2053792297967644"/>
        </c:manualLayout>
      </c:layout>
      <c:overlay val="0"/>
      <c:spPr>
        <a:solidFill>
          <a:srgbClr val="FFFFFF"/>
        </a:solidFill>
        <a:ln w="25400">
          <a:noFill/>
        </a:ln>
      </c:spPr>
      <c:txPr>
        <a:bodyPr/>
        <a:lstStyle/>
        <a:p>
          <a:pPr>
            <a:defRPr sz="755"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cs-C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a:ea typeface="Arial"/>
                <a:cs typeface="Arial"/>
              </a:defRPr>
            </a:pPr>
            <a:r>
              <a:rPr lang="cs-CZ"/>
              <a:t>Hladina nízkého napětí</a:t>
            </a:r>
          </a:p>
        </c:rich>
      </c:tx>
      <c:layout>
        <c:manualLayout>
          <c:xMode val="edge"/>
          <c:yMode val="edge"/>
          <c:x val="0.38245687710088933"/>
          <c:y val="3.178484107579465E-2"/>
        </c:manualLayout>
      </c:layout>
      <c:overlay val="0"/>
      <c:spPr>
        <a:noFill/>
        <a:ln w="25400">
          <a:noFill/>
        </a:ln>
      </c:spPr>
    </c:title>
    <c:autoTitleDeleted val="0"/>
    <c:plotArea>
      <c:layout>
        <c:manualLayout>
          <c:layoutTarget val="inner"/>
          <c:xMode val="edge"/>
          <c:yMode val="edge"/>
          <c:x val="0.12982478382809728"/>
          <c:y val="0.15647940441554828"/>
          <c:w val="0.84912426179458289"/>
          <c:h val="0.52322800851448958"/>
        </c:manualLayout>
      </c:layout>
      <c:barChart>
        <c:barDir val="col"/>
        <c:grouping val="stacked"/>
        <c:varyColors val="0"/>
        <c:ser>
          <c:idx val="0"/>
          <c:order val="0"/>
          <c:tx>
            <c:v>neplánovaná poruchová za obvyklých povětrnostních podmínek</c:v>
          </c:tx>
          <c:spPr>
            <a:solidFill>
              <a:srgbClr val="FFCC99"/>
            </a:solidFill>
            <a:ln w="25400">
              <a:noFill/>
            </a:ln>
          </c:spPr>
          <c:invertIfNegative val="0"/>
          <c:cat>
            <c:numRef>
              <c:f>'[souhrnna_zprava_kvalita_cez_2013-v1.xls]Histor'!$E$8:$G$8</c:f>
              <c:numCache>
                <c:formatCode>General</c:formatCode>
                <c:ptCount val="3"/>
                <c:pt idx="0">
                  <c:v>2011</c:v>
                </c:pt>
                <c:pt idx="1">
                  <c:v>2012</c:v>
                </c:pt>
                <c:pt idx="2">
                  <c:v>2013</c:v>
                </c:pt>
              </c:numCache>
            </c:numRef>
          </c:cat>
          <c:val>
            <c:numRef>
              <c:f>'[souhrnna_zprava_kvalita_cez_2013-v1.xls]Histor'!$E$29:$G$29</c:f>
              <c:numCache>
                <c:formatCode>0.000</c:formatCode>
                <c:ptCount val="3"/>
                <c:pt idx="0">
                  <c:v>128.81142615382029</c:v>
                </c:pt>
                <c:pt idx="1">
                  <c:v>133.73791416157408</c:v>
                </c:pt>
                <c:pt idx="2">
                  <c:v>107.5787546667846</c:v>
                </c:pt>
              </c:numCache>
            </c:numRef>
          </c:val>
        </c:ser>
        <c:ser>
          <c:idx val="2"/>
          <c:order val="1"/>
          <c:tx>
            <c:v>neplánovaná poruchová způsobená v důsledku zásahu nebo jednání třetí osoby</c:v>
          </c:tx>
          <c:spPr>
            <a:solidFill>
              <a:srgbClr val="FFFFCC"/>
            </a:solidFill>
            <a:ln w="25400">
              <a:noFill/>
            </a:ln>
          </c:spPr>
          <c:invertIfNegative val="0"/>
          <c:cat>
            <c:numRef>
              <c:f>'[souhrnna_zprava_kvalita_cez_2013-v1.xls]Histor'!$E$8:$G$8</c:f>
              <c:numCache>
                <c:formatCode>General</c:formatCode>
                <c:ptCount val="3"/>
                <c:pt idx="0">
                  <c:v>2011</c:v>
                </c:pt>
                <c:pt idx="1">
                  <c:v>2012</c:v>
                </c:pt>
                <c:pt idx="2">
                  <c:v>2013</c:v>
                </c:pt>
              </c:numCache>
            </c:numRef>
          </c:cat>
          <c:val>
            <c:numRef>
              <c:f>'[souhrnna_zprava_kvalita_cez_2013-v1.xls]Histor'!$E$31:$G$31</c:f>
              <c:numCache>
                <c:formatCode>0.000</c:formatCode>
                <c:ptCount val="3"/>
                <c:pt idx="0">
                  <c:v>12.52167788330406</c:v>
                </c:pt>
                <c:pt idx="1">
                  <c:v>10.992021668335616</c:v>
                </c:pt>
                <c:pt idx="2">
                  <c:v>13.66637764196841</c:v>
                </c:pt>
              </c:numCache>
            </c:numRef>
          </c:val>
        </c:ser>
        <c:ser>
          <c:idx val="3"/>
          <c:order val="2"/>
          <c:tx>
            <c:v>neplánovaná ostatní</c:v>
          </c:tx>
          <c:spPr>
            <a:solidFill>
              <a:srgbClr val="C0C0C0"/>
            </a:solidFill>
            <a:ln w="25400">
              <a:noFill/>
            </a:ln>
          </c:spPr>
          <c:invertIfNegative val="0"/>
          <c:val>
            <c:numRef>
              <c:f>'[souhrnna_zprava_kvalita_cez_2013-v1.xls]Histor'!$E$35:$G$35</c:f>
              <c:numCache>
                <c:formatCode>0.000</c:formatCode>
                <c:ptCount val="3"/>
                <c:pt idx="0">
                  <c:v>7.4139720385757766</c:v>
                </c:pt>
                <c:pt idx="1">
                  <c:v>23.018415726716221</c:v>
                </c:pt>
                <c:pt idx="2">
                  <c:v>123.1409234002795</c:v>
                </c:pt>
              </c:numCache>
            </c:numRef>
          </c:val>
        </c:ser>
        <c:ser>
          <c:idx val="4"/>
          <c:order val="3"/>
          <c:tx>
            <c:v>plánovaná</c:v>
          </c:tx>
          <c:spPr>
            <a:solidFill>
              <a:srgbClr val="CCFFFF"/>
            </a:solidFill>
            <a:ln w="25400">
              <a:noFill/>
            </a:ln>
          </c:spPr>
          <c:invertIfNegative val="0"/>
          <c:val>
            <c:numRef>
              <c:f>'[souhrnna_zprava_kvalita_cez_2013-v1.xls]Histor'!$E$25:$G$25</c:f>
              <c:numCache>
                <c:formatCode>0.000</c:formatCode>
                <c:ptCount val="3"/>
                <c:pt idx="0">
                  <c:v>147.91428897642521</c:v>
                </c:pt>
                <c:pt idx="1">
                  <c:v>145.36741617149431</c:v>
                </c:pt>
                <c:pt idx="2">
                  <c:v>157.51059450338823</c:v>
                </c:pt>
              </c:numCache>
            </c:numRef>
          </c:val>
        </c:ser>
        <c:dLbls>
          <c:showLegendKey val="0"/>
          <c:showVal val="0"/>
          <c:showCatName val="0"/>
          <c:showSerName val="0"/>
          <c:showPercent val="0"/>
          <c:showBubbleSize val="0"/>
        </c:dLbls>
        <c:gapWidth val="150"/>
        <c:overlap val="100"/>
        <c:axId val="275390192"/>
        <c:axId val="275390976"/>
      </c:barChart>
      <c:catAx>
        <c:axId val="275390192"/>
        <c:scaling>
          <c:orientation val="minMax"/>
        </c:scaling>
        <c:delete val="0"/>
        <c:axPos val="b"/>
        <c:title>
          <c:tx>
            <c:rich>
              <a:bodyPr/>
              <a:lstStyle/>
              <a:p>
                <a:pPr>
                  <a:defRPr sz="900" b="0" i="0" u="none" strike="noStrike" baseline="0">
                    <a:solidFill>
                      <a:srgbClr val="000000"/>
                    </a:solidFill>
                    <a:latin typeface="Arial"/>
                    <a:ea typeface="Arial"/>
                    <a:cs typeface="Arial"/>
                  </a:defRPr>
                </a:pPr>
                <a:r>
                  <a:rPr lang="cs-CZ"/>
                  <a:t>Rok</a:t>
                </a:r>
              </a:p>
            </c:rich>
          </c:tx>
          <c:layout>
            <c:manualLayout>
              <c:xMode val="edge"/>
              <c:yMode val="edge"/>
              <c:x val="0.53157986830593551"/>
              <c:y val="0.7457220414685333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cs-CZ"/>
          </a:p>
        </c:txPr>
        <c:crossAx val="275390976"/>
        <c:crosses val="autoZero"/>
        <c:auto val="1"/>
        <c:lblAlgn val="ctr"/>
        <c:lblOffset val="100"/>
        <c:tickLblSkip val="1"/>
        <c:tickMarkSkip val="1"/>
        <c:noMultiLvlLbl val="0"/>
      </c:catAx>
      <c:valAx>
        <c:axId val="275390976"/>
        <c:scaling>
          <c:orientation val="minMax"/>
        </c:scaling>
        <c:delete val="0"/>
        <c:axPos val="l"/>
        <c:majorGridlines>
          <c:spPr>
            <a:ln w="3175">
              <a:solidFill>
                <a:srgbClr val="000000"/>
              </a:solidFill>
              <a:prstDash val="sysDash"/>
            </a:ln>
          </c:spPr>
        </c:majorGridlines>
        <c:title>
          <c:tx>
            <c:rich>
              <a:bodyPr/>
              <a:lstStyle/>
              <a:p>
                <a:pPr>
                  <a:defRPr sz="1100" b="0" i="0" u="none" strike="noStrike" baseline="0">
                    <a:solidFill>
                      <a:srgbClr val="000000"/>
                    </a:solidFill>
                    <a:latin typeface="Calibri"/>
                    <a:ea typeface="Calibri"/>
                    <a:cs typeface="Calibri"/>
                  </a:defRPr>
                </a:pPr>
                <a:r>
                  <a:rPr lang="cs-CZ" sz="1000" b="0" i="0" u="none" strike="noStrike" baseline="0">
                    <a:solidFill>
                      <a:srgbClr val="000000"/>
                    </a:solidFill>
                    <a:latin typeface="Arial"/>
                    <a:cs typeface="Arial"/>
                  </a:rPr>
                  <a:t>SAIDI</a:t>
                </a:r>
                <a:r>
                  <a:rPr lang="cs-CZ" sz="1000" b="0" i="0" u="none" strike="noStrike" baseline="-25000">
                    <a:solidFill>
                      <a:srgbClr val="000000"/>
                    </a:solidFill>
                    <a:latin typeface="Arial"/>
                    <a:cs typeface="Arial"/>
                  </a:rPr>
                  <a:t>nn</a:t>
                </a:r>
                <a:r>
                  <a:rPr lang="cs-CZ" sz="1000" b="0" i="0" u="none" strike="noStrike" baseline="0">
                    <a:solidFill>
                      <a:srgbClr val="000000"/>
                    </a:solidFill>
                    <a:latin typeface="Arial"/>
                    <a:cs typeface="Arial"/>
                  </a:rPr>
                  <a:t> [min/rok]</a:t>
                </a:r>
              </a:p>
            </c:rich>
          </c:tx>
          <c:layout>
            <c:manualLayout>
              <c:xMode val="edge"/>
              <c:yMode val="edge"/>
              <c:x val="2.4561403508771947E-2"/>
              <c:y val="0.2933987896989652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cs-CZ"/>
          </a:p>
        </c:txPr>
        <c:crossAx val="275390192"/>
        <c:crosses val="autoZero"/>
        <c:crossBetween val="between"/>
      </c:valAx>
      <c:spPr>
        <a:noFill/>
        <a:ln w="12700">
          <a:solidFill>
            <a:srgbClr val="808080"/>
          </a:solidFill>
          <a:prstDash val="solid"/>
        </a:ln>
      </c:spPr>
    </c:plotArea>
    <c:legend>
      <c:legendPos val="r"/>
      <c:layout>
        <c:manualLayout>
          <c:xMode val="edge"/>
          <c:yMode val="edge"/>
          <c:x val="8.771929824561403E-3"/>
          <c:y val="0.78239711478607954"/>
          <c:w val="0.95965078049454389"/>
          <c:h val="0.2053792297967644"/>
        </c:manualLayout>
      </c:layout>
      <c:overlay val="0"/>
      <c:spPr>
        <a:solidFill>
          <a:srgbClr val="FFFFFF"/>
        </a:solidFill>
        <a:ln w="25400">
          <a:noFill/>
        </a:ln>
      </c:spPr>
      <c:txPr>
        <a:bodyPr/>
        <a:lstStyle/>
        <a:p>
          <a:pPr>
            <a:defRPr sz="755"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cs-C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gradFill>
              <a:gsLst>
                <a:gs pos="0">
                  <a:schemeClr val="accent6">
                    <a:lumMod val="40000"/>
                    <a:lumOff val="60000"/>
                  </a:schemeClr>
                </a:gs>
                <a:gs pos="67000">
                  <a:srgbClr val="FF7A00"/>
                </a:gs>
                <a:gs pos="100000">
                  <a:schemeClr val="accent6">
                    <a:lumMod val="50000"/>
                  </a:schemeClr>
                </a:gs>
              </a:gsLst>
              <a:lin ang="5400000" scaled="0"/>
            </a:gradFill>
            <a:ln>
              <a:solidFill>
                <a:schemeClr val="accent6">
                  <a:lumMod val="75000"/>
                </a:schemeClr>
              </a:solidFill>
            </a:ln>
          </c:spPr>
          <c:invertIfNegative val="0"/>
          <c:dPt>
            <c:idx val="11"/>
            <c:invertIfNegative val="0"/>
            <c:bubble3D val="0"/>
            <c:spPr>
              <a:solidFill>
                <a:schemeClr val="accent6">
                  <a:lumMod val="75000"/>
                </a:schemeClr>
              </a:solidFill>
              <a:ln>
                <a:solidFill>
                  <a:schemeClr val="accent6">
                    <a:lumMod val="75000"/>
                  </a:schemeClr>
                </a:solidFill>
              </a:ln>
            </c:spPr>
          </c:dPt>
          <c:dPt>
            <c:idx val="16"/>
            <c:invertIfNegative val="0"/>
            <c:bubble3D val="0"/>
            <c:spPr>
              <a:gradFill>
                <a:gsLst>
                  <a:gs pos="0">
                    <a:schemeClr val="accent6">
                      <a:lumMod val="40000"/>
                      <a:lumOff val="60000"/>
                    </a:schemeClr>
                  </a:gs>
                  <a:gs pos="67000">
                    <a:srgbClr val="FF7A00"/>
                  </a:gs>
                  <a:gs pos="100000">
                    <a:schemeClr val="accent6">
                      <a:lumMod val="50000"/>
                    </a:schemeClr>
                  </a:gs>
                </a:gsLst>
                <a:lin ang="5400000" scaled="0"/>
              </a:gradFill>
              <a:ln w="19050">
                <a:solidFill>
                  <a:srgbClr val="FF0000"/>
                </a:solidFill>
              </a:ln>
            </c:spPr>
          </c:dPt>
          <c:cat>
            <c:strRef>
              <c:f>Sheet0!$A$5:$A$33</c:f>
              <c:strCache>
                <c:ptCount val="29"/>
                <c:pt idx="0">
                  <c:v>Malta</c:v>
                </c:pt>
                <c:pt idx="1">
                  <c:v>Kypr</c:v>
                </c:pt>
                <c:pt idx="2">
                  <c:v>Francie</c:v>
                </c:pt>
                <c:pt idx="3">
                  <c:v>Řecko</c:v>
                </c:pt>
                <c:pt idx="4">
                  <c:v>Velká Británie</c:v>
                </c:pt>
                <c:pt idx="5">
                  <c:v>Bulharsko</c:v>
                </c:pt>
                <c:pt idx="6">
                  <c:v>Irsko</c:v>
                </c:pt>
                <c:pt idx="7">
                  <c:v>Slovinsko</c:v>
                </c:pt>
                <c:pt idx="8">
                  <c:v>Španělsko</c:v>
                </c:pt>
                <c:pt idx="9">
                  <c:v>Švédsko</c:v>
                </c:pt>
                <c:pt idx="10">
                  <c:v>Estonsko</c:v>
                </c:pt>
                <c:pt idx="11">
                  <c:v>EU-27</c:v>
                </c:pt>
                <c:pt idx="12">
                  <c:v>Itálie</c:v>
                </c:pt>
                <c:pt idx="13">
                  <c:v>Rumunsko</c:v>
                </c:pt>
                <c:pt idx="14">
                  <c:v>Lucembursko</c:v>
                </c:pt>
                <c:pt idx="15">
                  <c:v>Portugalsko</c:v>
                </c:pt>
                <c:pt idx="16">
                  <c:v>Česko</c:v>
                </c:pt>
                <c:pt idx="17">
                  <c:v>Německo</c:v>
                </c:pt>
                <c:pt idx="18">
                  <c:v>Rakousko</c:v>
                </c:pt>
                <c:pt idx="19">
                  <c:v>Belgie</c:v>
                </c:pt>
                <c:pt idx="20">
                  <c:v>Polsko</c:v>
                </c:pt>
                <c:pt idx="21">
                  <c:v>Maďarsko</c:v>
                </c:pt>
                <c:pt idx="22">
                  <c:v>Chorvatsko</c:v>
                </c:pt>
                <c:pt idx="23">
                  <c:v>Slovensko</c:v>
                </c:pt>
                <c:pt idx="24">
                  <c:v>Nizozemí</c:v>
                </c:pt>
                <c:pt idx="25">
                  <c:v>Finsko</c:v>
                </c:pt>
                <c:pt idx="26">
                  <c:v>Litva</c:v>
                </c:pt>
                <c:pt idx="27">
                  <c:v>Dánsko</c:v>
                </c:pt>
                <c:pt idx="28">
                  <c:v>Lotyšsko</c:v>
                </c:pt>
              </c:strCache>
            </c:strRef>
          </c:cat>
          <c:val>
            <c:numRef>
              <c:f>Sheet0!$B$5:$B$33</c:f>
              <c:numCache>
                <c:formatCode>General</c:formatCode>
                <c:ptCount val="29"/>
                <c:pt idx="0">
                  <c:v>0</c:v>
                </c:pt>
                <c:pt idx="1">
                  <c:v>0.9</c:v>
                </c:pt>
                <c:pt idx="2">
                  <c:v>2.8</c:v>
                </c:pt>
                <c:pt idx="3">
                  <c:v>4.5</c:v>
                </c:pt>
                <c:pt idx="4">
                  <c:v>6.3</c:v>
                </c:pt>
                <c:pt idx="5">
                  <c:v>6.7</c:v>
                </c:pt>
                <c:pt idx="6">
                  <c:v>7.1</c:v>
                </c:pt>
                <c:pt idx="7">
                  <c:v>7.1</c:v>
                </c:pt>
                <c:pt idx="8">
                  <c:v>7.6</c:v>
                </c:pt>
                <c:pt idx="9">
                  <c:v>10</c:v>
                </c:pt>
                <c:pt idx="10">
                  <c:v>10.4</c:v>
                </c:pt>
                <c:pt idx="11">
                  <c:v>11.2</c:v>
                </c:pt>
                <c:pt idx="12">
                  <c:v>11.5</c:v>
                </c:pt>
                <c:pt idx="13">
                  <c:v>11.7</c:v>
                </c:pt>
                <c:pt idx="14">
                  <c:v>12.1</c:v>
                </c:pt>
                <c:pt idx="15">
                  <c:v>12.7</c:v>
                </c:pt>
                <c:pt idx="16">
                  <c:v>12.8</c:v>
                </c:pt>
                <c:pt idx="17">
                  <c:v>13.1</c:v>
                </c:pt>
                <c:pt idx="18">
                  <c:v>15.7</c:v>
                </c:pt>
                <c:pt idx="19">
                  <c:v>16</c:v>
                </c:pt>
                <c:pt idx="20">
                  <c:v>16.600000000000001</c:v>
                </c:pt>
                <c:pt idx="21">
                  <c:v>16.600000000000001</c:v>
                </c:pt>
                <c:pt idx="22">
                  <c:v>20.399999999999999</c:v>
                </c:pt>
                <c:pt idx="23">
                  <c:v>24.5</c:v>
                </c:pt>
                <c:pt idx="24">
                  <c:v>32.5</c:v>
                </c:pt>
                <c:pt idx="25">
                  <c:v>36.200000000000003</c:v>
                </c:pt>
                <c:pt idx="26">
                  <c:v>37.5</c:v>
                </c:pt>
                <c:pt idx="27">
                  <c:v>46.2</c:v>
                </c:pt>
                <c:pt idx="28">
                  <c:v>47.4</c:v>
                </c:pt>
              </c:numCache>
            </c:numRef>
          </c:val>
        </c:ser>
        <c:dLbls>
          <c:showLegendKey val="0"/>
          <c:showVal val="0"/>
          <c:showCatName val="0"/>
          <c:showSerName val="0"/>
          <c:showPercent val="0"/>
          <c:showBubbleSize val="0"/>
        </c:dLbls>
        <c:gapWidth val="40"/>
        <c:axId val="275391760"/>
        <c:axId val="275392544"/>
      </c:barChart>
      <c:catAx>
        <c:axId val="275391760"/>
        <c:scaling>
          <c:orientation val="minMax"/>
        </c:scaling>
        <c:delete val="0"/>
        <c:axPos val="b"/>
        <c:numFmt formatCode="General" sourceLinked="1"/>
        <c:majorTickMark val="out"/>
        <c:minorTickMark val="none"/>
        <c:tickLblPos val="nextTo"/>
        <c:crossAx val="275392544"/>
        <c:crosses val="autoZero"/>
        <c:auto val="1"/>
        <c:lblAlgn val="ctr"/>
        <c:lblOffset val="100"/>
        <c:noMultiLvlLbl val="0"/>
      </c:catAx>
      <c:valAx>
        <c:axId val="275392544"/>
        <c:scaling>
          <c:orientation val="minMax"/>
        </c:scaling>
        <c:delete val="0"/>
        <c:axPos val="l"/>
        <c:majorGridlines/>
        <c:title>
          <c:tx>
            <c:rich>
              <a:bodyPr rot="-5400000" vert="horz"/>
              <a:lstStyle/>
              <a:p>
                <a:pPr>
                  <a:defRPr/>
                </a:pPr>
                <a:r>
                  <a:rPr lang="cs-CZ"/>
                  <a:t>% z hrubé výroby elektřiny </a:t>
                </a:r>
              </a:p>
            </c:rich>
          </c:tx>
          <c:overlay val="0"/>
        </c:title>
        <c:numFmt formatCode="General" sourceLinked="1"/>
        <c:majorTickMark val="out"/>
        <c:minorTickMark val="none"/>
        <c:tickLblPos val="nextTo"/>
        <c:crossAx val="27539176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DAACD-AE50-4894-B98B-23154D865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D7B96DAD.dotm</Template>
  <TotalTime>3268</TotalTime>
  <Pages>247</Pages>
  <Words>77369</Words>
  <Characters>456479</Characters>
  <Application>Microsoft Office Word</Application>
  <DocSecurity>0</DocSecurity>
  <Lines>3803</Lines>
  <Paragraphs>1065</Paragraphs>
  <ScaleCrop>false</ScaleCrop>
  <HeadingPairs>
    <vt:vector size="2" baseType="variant">
      <vt:variant>
        <vt:lpstr>Název</vt:lpstr>
      </vt:variant>
      <vt:variant>
        <vt:i4>1</vt:i4>
      </vt:variant>
    </vt:vector>
  </HeadingPairs>
  <TitlesOfParts>
    <vt:vector size="1" baseType="lpstr">
      <vt:lpstr>MINISTERSTVO PRŮMYSLU A OBCHODU</vt:lpstr>
    </vt:vector>
  </TitlesOfParts>
  <Company>Ministerstvo průmyslu a obchodu</Company>
  <LinksUpToDate>false</LinksUpToDate>
  <CharactersWithSpaces>532783</CharactersWithSpaces>
  <SharedDoc>false</SharedDoc>
  <HLinks>
    <vt:vector size="1806" baseType="variant">
      <vt:variant>
        <vt:i4>1835074</vt:i4>
      </vt:variant>
      <vt:variant>
        <vt:i4>1458</vt:i4>
      </vt:variant>
      <vt:variant>
        <vt:i4>0</vt:i4>
      </vt:variant>
      <vt:variant>
        <vt:i4>5</vt:i4>
      </vt:variant>
      <vt:variant>
        <vt:lpwstr>http://cmzrb.cz/</vt:lpwstr>
      </vt:variant>
      <vt:variant>
        <vt:lpwstr/>
      </vt:variant>
      <vt:variant>
        <vt:i4>5308440</vt:i4>
      </vt:variant>
      <vt:variant>
        <vt:i4>1455</vt:i4>
      </vt:variant>
      <vt:variant>
        <vt:i4>0</vt:i4>
      </vt:variant>
      <vt:variant>
        <vt:i4>5</vt:i4>
      </vt:variant>
      <vt:variant>
        <vt:lpwstr>https://www.czech-ba.cz/</vt:lpwstr>
      </vt:variant>
      <vt:variant>
        <vt:lpwstr/>
      </vt:variant>
      <vt:variant>
        <vt:i4>589834</vt:i4>
      </vt:variant>
      <vt:variant>
        <vt:i4>1452</vt:i4>
      </vt:variant>
      <vt:variant>
        <vt:i4>0</vt:i4>
      </vt:variant>
      <vt:variant>
        <vt:i4>5</vt:i4>
      </vt:variant>
      <vt:variant>
        <vt:lpwstr>http://www.smocr.cz/</vt:lpwstr>
      </vt:variant>
      <vt:variant>
        <vt:lpwstr/>
      </vt:variant>
      <vt:variant>
        <vt:i4>2490417</vt:i4>
      </vt:variant>
      <vt:variant>
        <vt:i4>1449</vt:i4>
      </vt:variant>
      <vt:variant>
        <vt:i4>0</vt:i4>
      </vt:variant>
      <vt:variant>
        <vt:i4>5</vt:i4>
      </vt:variant>
      <vt:variant>
        <vt:lpwstr>http://www.mmr.cz/cs/Uvodni-strana</vt:lpwstr>
      </vt:variant>
      <vt:variant>
        <vt:lpwstr/>
      </vt:variant>
      <vt:variant>
        <vt:i4>8323108</vt:i4>
      </vt:variant>
      <vt:variant>
        <vt:i4>1446</vt:i4>
      </vt:variant>
      <vt:variant>
        <vt:i4>0</vt:i4>
      </vt:variant>
      <vt:variant>
        <vt:i4>5</vt:i4>
      </vt:variant>
      <vt:variant>
        <vt:lpwstr>http://www.cvca.cz/</vt:lpwstr>
      </vt:variant>
      <vt:variant>
        <vt:lpwstr/>
      </vt:variant>
      <vt:variant>
        <vt:i4>5308440</vt:i4>
      </vt:variant>
      <vt:variant>
        <vt:i4>1443</vt:i4>
      </vt:variant>
      <vt:variant>
        <vt:i4>0</vt:i4>
      </vt:variant>
      <vt:variant>
        <vt:i4>5</vt:i4>
      </vt:variant>
      <vt:variant>
        <vt:lpwstr>https://www.czech-ba.cz/</vt:lpwstr>
      </vt:variant>
      <vt:variant>
        <vt:lpwstr/>
      </vt:variant>
      <vt:variant>
        <vt:i4>589834</vt:i4>
      </vt:variant>
      <vt:variant>
        <vt:i4>1440</vt:i4>
      </vt:variant>
      <vt:variant>
        <vt:i4>0</vt:i4>
      </vt:variant>
      <vt:variant>
        <vt:i4>5</vt:i4>
      </vt:variant>
      <vt:variant>
        <vt:lpwstr>http://www.smocr.cz/</vt:lpwstr>
      </vt:variant>
      <vt:variant>
        <vt:lpwstr/>
      </vt:variant>
      <vt:variant>
        <vt:i4>1835035</vt:i4>
      </vt:variant>
      <vt:variant>
        <vt:i4>1437</vt:i4>
      </vt:variant>
      <vt:variant>
        <vt:i4>0</vt:i4>
      </vt:variant>
      <vt:variant>
        <vt:i4>5</vt:i4>
      </vt:variant>
      <vt:variant>
        <vt:lpwstr>http://www.cmzrb.cz/</vt:lpwstr>
      </vt:variant>
      <vt:variant>
        <vt:lpwstr/>
      </vt:variant>
      <vt:variant>
        <vt:i4>1572878</vt:i4>
      </vt:variant>
      <vt:variant>
        <vt:i4>1434</vt:i4>
      </vt:variant>
      <vt:variant>
        <vt:i4>0</vt:i4>
      </vt:variant>
      <vt:variant>
        <vt:i4>5</vt:i4>
      </vt:variant>
      <vt:variant>
        <vt:lpwstr>http://www.vlada.cz/cz/ppov/ekonomicka-rada/narodni-ekonomicka-rada-vlady-51371/</vt:lpwstr>
      </vt:variant>
      <vt:variant>
        <vt:lpwstr/>
      </vt:variant>
      <vt:variant>
        <vt:i4>3997757</vt:i4>
      </vt:variant>
      <vt:variant>
        <vt:i4>1431</vt:i4>
      </vt:variant>
      <vt:variant>
        <vt:i4>0</vt:i4>
      </vt:variant>
      <vt:variant>
        <vt:i4>5</vt:i4>
      </vt:variant>
      <vt:variant>
        <vt:lpwstr>http://www.praha.eu/jnp/cz/home/index.html</vt:lpwstr>
      </vt:variant>
      <vt:variant>
        <vt:lpwstr/>
      </vt:variant>
      <vt:variant>
        <vt:i4>7602295</vt:i4>
      </vt:variant>
      <vt:variant>
        <vt:i4>1428</vt:i4>
      </vt:variant>
      <vt:variant>
        <vt:i4>0</vt:i4>
      </vt:variant>
      <vt:variant>
        <vt:i4>5</vt:i4>
      </vt:variant>
      <vt:variant>
        <vt:lpwstr>http://www.vse.cz/</vt:lpwstr>
      </vt:variant>
      <vt:variant>
        <vt:lpwstr/>
      </vt:variant>
      <vt:variant>
        <vt:i4>7405680</vt:i4>
      </vt:variant>
      <vt:variant>
        <vt:i4>1425</vt:i4>
      </vt:variant>
      <vt:variant>
        <vt:i4>0</vt:i4>
      </vt:variant>
      <vt:variant>
        <vt:i4>5</vt:i4>
      </vt:variant>
      <vt:variant>
        <vt:lpwstr>http://www.ctu.cz/</vt:lpwstr>
      </vt:variant>
      <vt:variant>
        <vt:lpwstr/>
      </vt:variant>
      <vt:variant>
        <vt:i4>6553716</vt:i4>
      </vt:variant>
      <vt:variant>
        <vt:i4>1422</vt:i4>
      </vt:variant>
      <vt:variant>
        <vt:i4>0</vt:i4>
      </vt:variant>
      <vt:variant>
        <vt:i4>5</vt:i4>
      </vt:variant>
      <vt:variant>
        <vt:lpwstr>http://nsmascr.cz/o-nas/mistni-akncni-skupiny/</vt:lpwstr>
      </vt:variant>
      <vt:variant>
        <vt:lpwstr/>
      </vt:variant>
      <vt:variant>
        <vt:i4>6422654</vt:i4>
      </vt:variant>
      <vt:variant>
        <vt:i4>1419</vt:i4>
      </vt:variant>
      <vt:variant>
        <vt:i4>0</vt:i4>
      </vt:variant>
      <vt:variant>
        <vt:i4>5</vt:i4>
      </vt:variant>
      <vt:variant>
        <vt:lpwstr>http://www.asociacenno.cz/</vt:lpwstr>
      </vt:variant>
      <vt:variant>
        <vt:lpwstr/>
      </vt:variant>
      <vt:variant>
        <vt:i4>7143470</vt:i4>
      </vt:variant>
      <vt:variant>
        <vt:i4>1416</vt:i4>
      </vt:variant>
      <vt:variant>
        <vt:i4>0</vt:i4>
      </vt:variant>
      <vt:variant>
        <vt:i4>5</vt:i4>
      </vt:variant>
      <vt:variant>
        <vt:lpwstr>http://www.amsp.cz/</vt:lpwstr>
      </vt:variant>
      <vt:variant>
        <vt:lpwstr/>
      </vt:variant>
      <vt:variant>
        <vt:i4>7274542</vt:i4>
      </vt:variant>
      <vt:variant>
        <vt:i4>1413</vt:i4>
      </vt:variant>
      <vt:variant>
        <vt:i4>0</vt:i4>
      </vt:variant>
      <vt:variant>
        <vt:i4>5</vt:i4>
      </vt:variant>
      <vt:variant>
        <vt:lpwstr>http://www.socr.cz/</vt:lpwstr>
      </vt:variant>
      <vt:variant>
        <vt:lpwstr/>
      </vt:variant>
      <vt:variant>
        <vt:i4>589834</vt:i4>
      </vt:variant>
      <vt:variant>
        <vt:i4>1410</vt:i4>
      </vt:variant>
      <vt:variant>
        <vt:i4>0</vt:i4>
      </vt:variant>
      <vt:variant>
        <vt:i4>5</vt:i4>
      </vt:variant>
      <vt:variant>
        <vt:lpwstr>http://www.smocr.cz/</vt:lpwstr>
      </vt:variant>
      <vt:variant>
        <vt:lpwstr/>
      </vt:variant>
      <vt:variant>
        <vt:i4>7274545</vt:i4>
      </vt:variant>
      <vt:variant>
        <vt:i4>1407</vt:i4>
      </vt:variant>
      <vt:variant>
        <vt:i4>0</vt:i4>
      </vt:variant>
      <vt:variant>
        <vt:i4>5</vt:i4>
      </vt:variant>
      <vt:variant>
        <vt:lpwstr>http://www.spcr.cz/</vt:lpwstr>
      </vt:variant>
      <vt:variant>
        <vt:lpwstr/>
      </vt:variant>
      <vt:variant>
        <vt:i4>983058</vt:i4>
      </vt:variant>
      <vt:variant>
        <vt:i4>1404</vt:i4>
      </vt:variant>
      <vt:variant>
        <vt:i4>0</vt:i4>
      </vt:variant>
      <vt:variant>
        <vt:i4>5</vt:i4>
      </vt:variant>
      <vt:variant>
        <vt:lpwstr>http://www.mdcr.cz/cs/default.htm</vt:lpwstr>
      </vt:variant>
      <vt:variant>
        <vt:lpwstr/>
      </vt:variant>
      <vt:variant>
        <vt:i4>3997757</vt:i4>
      </vt:variant>
      <vt:variant>
        <vt:i4>1401</vt:i4>
      </vt:variant>
      <vt:variant>
        <vt:i4>0</vt:i4>
      </vt:variant>
      <vt:variant>
        <vt:i4>5</vt:i4>
      </vt:variant>
      <vt:variant>
        <vt:lpwstr>http://www.praha.eu/jnp/cz/home/index.html</vt:lpwstr>
      </vt:variant>
      <vt:variant>
        <vt:lpwstr/>
      </vt:variant>
      <vt:variant>
        <vt:i4>262160</vt:i4>
      </vt:variant>
      <vt:variant>
        <vt:i4>1398</vt:i4>
      </vt:variant>
      <vt:variant>
        <vt:i4>0</vt:i4>
      </vt:variant>
      <vt:variant>
        <vt:i4>5</vt:i4>
      </vt:variant>
      <vt:variant>
        <vt:lpwstr>http://www.sanceprobudovy.cz/cs.html?start=20</vt:lpwstr>
      </vt:variant>
      <vt:variant>
        <vt:lpwstr/>
      </vt:variant>
      <vt:variant>
        <vt:i4>327698</vt:i4>
      </vt:variant>
      <vt:variant>
        <vt:i4>1395</vt:i4>
      </vt:variant>
      <vt:variant>
        <vt:i4>0</vt:i4>
      </vt:variant>
      <vt:variant>
        <vt:i4>5</vt:i4>
      </vt:variant>
      <vt:variant>
        <vt:lpwstr>http://www.csres.cz/</vt:lpwstr>
      </vt:variant>
      <vt:variant>
        <vt:lpwstr/>
      </vt:variant>
      <vt:variant>
        <vt:i4>6815794</vt:i4>
      </vt:variant>
      <vt:variant>
        <vt:i4>1392</vt:i4>
      </vt:variant>
      <vt:variant>
        <vt:i4>0</vt:i4>
      </vt:variant>
      <vt:variant>
        <vt:i4>5</vt:i4>
      </vt:variant>
      <vt:variant>
        <vt:lpwstr>http://www.tscr.cz/</vt:lpwstr>
      </vt:variant>
      <vt:variant>
        <vt:lpwstr/>
      </vt:variant>
      <vt:variant>
        <vt:i4>6553658</vt:i4>
      </vt:variant>
      <vt:variant>
        <vt:i4>1389</vt:i4>
      </vt:variant>
      <vt:variant>
        <vt:i4>0</vt:i4>
      </vt:variant>
      <vt:variant>
        <vt:i4>5</vt:i4>
      </vt:variant>
      <vt:variant>
        <vt:lpwstr>http://www.kzps.cz/</vt:lpwstr>
      </vt:variant>
      <vt:variant>
        <vt:lpwstr/>
      </vt:variant>
      <vt:variant>
        <vt:i4>6553716</vt:i4>
      </vt:variant>
      <vt:variant>
        <vt:i4>1386</vt:i4>
      </vt:variant>
      <vt:variant>
        <vt:i4>0</vt:i4>
      </vt:variant>
      <vt:variant>
        <vt:i4>5</vt:i4>
      </vt:variant>
      <vt:variant>
        <vt:lpwstr>http://nsmascr.cz/o-nas/mistni-akncni-skupiny/</vt:lpwstr>
      </vt:variant>
      <vt:variant>
        <vt:lpwstr/>
      </vt:variant>
      <vt:variant>
        <vt:i4>18</vt:i4>
      </vt:variant>
      <vt:variant>
        <vt:i4>1383</vt:i4>
      </vt:variant>
      <vt:variant>
        <vt:i4>0</vt:i4>
      </vt:variant>
      <vt:variant>
        <vt:i4>5</vt:i4>
      </vt:variant>
      <vt:variant>
        <vt:lpwstr>http://www.asvep.cz/</vt:lpwstr>
      </vt:variant>
      <vt:variant>
        <vt:lpwstr/>
      </vt:variant>
      <vt:variant>
        <vt:i4>7143550</vt:i4>
      </vt:variant>
      <vt:variant>
        <vt:i4>1380</vt:i4>
      </vt:variant>
      <vt:variant>
        <vt:i4>0</vt:i4>
      </vt:variant>
      <vt:variant>
        <vt:i4>5</vt:i4>
      </vt:variant>
      <vt:variant>
        <vt:lpwstr>http://www.oze.cz/</vt:lpwstr>
      </vt:variant>
      <vt:variant>
        <vt:lpwstr/>
      </vt:variant>
      <vt:variant>
        <vt:i4>8061033</vt:i4>
      </vt:variant>
      <vt:variant>
        <vt:i4>1377</vt:i4>
      </vt:variant>
      <vt:variant>
        <vt:i4>0</vt:i4>
      </vt:variant>
      <vt:variant>
        <vt:i4>5</vt:i4>
      </vt:variant>
      <vt:variant>
        <vt:lpwstr>http://apes.cz/</vt:lpwstr>
      </vt:variant>
      <vt:variant>
        <vt:lpwstr/>
      </vt:variant>
      <vt:variant>
        <vt:i4>6946938</vt:i4>
      </vt:variant>
      <vt:variant>
        <vt:i4>1374</vt:i4>
      </vt:variant>
      <vt:variant>
        <vt:i4>0</vt:i4>
      </vt:variant>
      <vt:variant>
        <vt:i4>5</vt:i4>
      </vt:variant>
      <vt:variant>
        <vt:lpwstr>http://adtt.cz/</vt:lpwstr>
      </vt:variant>
      <vt:variant>
        <vt:lpwstr/>
      </vt:variant>
      <vt:variant>
        <vt:i4>6422654</vt:i4>
      </vt:variant>
      <vt:variant>
        <vt:i4>1371</vt:i4>
      </vt:variant>
      <vt:variant>
        <vt:i4>0</vt:i4>
      </vt:variant>
      <vt:variant>
        <vt:i4>5</vt:i4>
      </vt:variant>
      <vt:variant>
        <vt:lpwstr>http://www.asociacenno.cz/</vt:lpwstr>
      </vt:variant>
      <vt:variant>
        <vt:lpwstr/>
      </vt:variant>
      <vt:variant>
        <vt:i4>7143470</vt:i4>
      </vt:variant>
      <vt:variant>
        <vt:i4>1368</vt:i4>
      </vt:variant>
      <vt:variant>
        <vt:i4>0</vt:i4>
      </vt:variant>
      <vt:variant>
        <vt:i4>5</vt:i4>
      </vt:variant>
      <vt:variant>
        <vt:lpwstr>http://www.amsp.cz/</vt:lpwstr>
      </vt:variant>
      <vt:variant>
        <vt:lpwstr/>
      </vt:variant>
      <vt:variant>
        <vt:i4>6815792</vt:i4>
      </vt:variant>
      <vt:variant>
        <vt:i4>1365</vt:i4>
      </vt:variant>
      <vt:variant>
        <vt:i4>0</vt:i4>
      </vt:variant>
      <vt:variant>
        <vt:i4>5</vt:i4>
      </vt:variant>
      <vt:variant>
        <vt:lpwstr>http://www.spds.cz/</vt:lpwstr>
      </vt:variant>
      <vt:variant>
        <vt:lpwstr/>
      </vt:variant>
      <vt:variant>
        <vt:i4>589834</vt:i4>
      </vt:variant>
      <vt:variant>
        <vt:i4>1362</vt:i4>
      </vt:variant>
      <vt:variant>
        <vt:i4>0</vt:i4>
      </vt:variant>
      <vt:variant>
        <vt:i4>5</vt:i4>
      </vt:variant>
      <vt:variant>
        <vt:lpwstr>http://www.smocr.cz/</vt:lpwstr>
      </vt:variant>
      <vt:variant>
        <vt:lpwstr/>
      </vt:variant>
      <vt:variant>
        <vt:i4>7274545</vt:i4>
      </vt:variant>
      <vt:variant>
        <vt:i4>1359</vt:i4>
      </vt:variant>
      <vt:variant>
        <vt:i4>0</vt:i4>
      </vt:variant>
      <vt:variant>
        <vt:i4>5</vt:i4>
      </vt:variant>
      <vt:variant>
        <vt:lpwstr>http://www.spcr.cz/</vt:lpwstr>
      </vt:variant>
      <vt:variant>
        <vt:lpwstr/>
      </vt:variant>
      <vt:variant>
        <vt:i4>983113</vt:i4>
      </vt:variant>
      <vt:variant>
        <vt:i4>1356</vt:i4>
      </vt:variant>
      <vt:variant>
        <vt:i4>0</vt:i4>
      </vt:variant>
      <vt:variant>
        <vt:i4>5</vt:i4>
      </vt:variant>
      <vt:variant>
        <vt:lpwstr>http://www.agrocr.cz/</vt:lpwstr>
      </vt:variant>
      <vt:variant>
        <vt:lpwstr/>
      </vt:variant>
      <vt:variant>
        <vt:i4>7077930</vt:i4>
      </vt:variant>
      <vt:variant>
        <vt:i4>1353</vt:i4>
      </vt:variant>
      <vt:variant>
        <vt:i4>0</vt:i4>
      </vt:variant>
      <vt:variant>
        <vt:i4>5</vt:i4>
      </vt:variant>
      <vt:variant>
        <vt:lpwstr>http://www.pkcr.cz/</vt:lpwstr>
      </vt:variant>
      <vt:variant>
        <vt:lpwstr/>
      </vt:variant>
      <vt:variant>
        <vt:i4>720978</vt:i4>
      </vt:variant>
      <vt:variant>
        <vt:i4>1350</vt:i4>
      </vt:variant>
      <vt:variant>
        <vt:i4>0</vt:i4>
      </vt:variant>
      <vt:variant>
        <vt:i4>5</vt:i4>
      </vt:variant>
      <vt:variant>
        <vt:lpwstr>http://www.komora.cz/</vt:lpwstr>
      </vt:variant>
      <vt:variant>
        <vt:lpwstr/>
      </vt:variant>
      <vt:variant>
        <vt:i4>3997757</vt:i4>
      </vt:variant>
      <vt:variant>
        <vt:i4>1347</vt:i4>
      </vt:variant>
      <vt:variant>
        <vt:i4>0</vt:i4>
      </vt:variant>
      <vt:variant>
        <vt:i4>5</vt:i4>
      </vt:variant>
      <vt:variant>
        <vt:lpwstr>http://www.praha.eu/jnp/cz/home/index.html</vt:lpwstr>
      </vt:variant>
      <vt:variant>
        <vt:lpwstr/>
      </vt:variant>
      <vt:variant>
        <vt:i4>7274601</vt:i4>
      </vt:variant>
      <vt:variant>
        <vt:i4>1344</vt:i4>
      </vt:variant>
      <vt:variant>
        <vt:i4>0</vt:i4>
      </vt:variant>
      <vt:variant>
        <vt:i4>5</vt:i4>
      </vt:variant>
      <vt:variant>
        <vt:lpwstr>http://fpvs.cz/</vt:lpwstr>
      </vt:variant>
      <vt:variant>
        <vt:lpwstr/>
      </vt:variant>
      <vt:variant>
        <vt:i4>6553716</vt:i4>
      </vt:variant>
      <vt:variant>
        <vt:i4>1341</vt:i4>
      </vt:variant>
      <vt:variant>
        <vt:i4>0</vt:i4>
      </vt:variant>
      <vt:variant>
        <vt:i4>5</vt:i4>
      </vt:variant>
      <vt:variant>
        <vt:lpwstr>http://nsmascr.cz/o-nas/mistni-akncni-skupiny/</vt:lpwstr>
      </vt:variant>
      <vt:variant>
        <vt:lpwstr/>
      </vt:variant>
      <vt:variant>
        <vt:i4>6422654</vt:i4>
      </vt:variant>
      <vt:variant>
        <vt:i4>1338</vt:i4>
      </vt:variant>
      <vt:variant>
        <vt:i4>0</vt:i4>
      </vt:variant>
      <vt:variant>
        <vt:i4>5</vt:i4>
      </vt:variant>
      <vt:variant>
        <vt:lpwstr>http://www.asociacenno.cz/</vt:lpwstr>
      </vt:variant>
      <vt:variant>
        <vt:lpwstr/>
      </vt:variant>
      <vt:variant>
        <vt:i4>262158</vt:i4>
      </vt:variant>
      <vt:variant>
        <vt:i4>1335</vt:i4>
      </vt:variant>
      <vt:variant>
        <vt:i4>0</vt:i4>
      </vt:variant>
      <vt:variant>
        <vt:i4>5</vt:i4>
      </vt:variant>
      <vt:variant>
        <vt:lpwstr>http://www.aipcr.cz/</vt:lpwstr>
      </vt:variant>
      <vt:variant>
        <vt:lpwstr/>
      </vt:variant>
      <vt:variant>
        <vt:i4>7143470</vt:i4>
      </vt:variant>
      <vt:variant>
        <vt:i4>1332</vt:i4>
      </vt:variant>
      <vt:variant>
        <vt:i4>0</vt:i4>
      </vt:variant>
      <vt:variant>
        <vt:i4>5</vt:i4>
      </vt:variant>
      <vt:variant>
        <vt:lpwstr>http://www.amsp.cz/</vt:lpwstr>
      </vt:variant>
      <vt:variant>
        <vt:lpwstr/>
      </vt:variant>
      <vt:variant>
        <vt:i4>1900561</vt:i4>
      </vt:variant>
      <vt:variant>
        <vt:i4>1329</vt:i4>
      </vt:variant>
      <vt:variant>
        <vt:i4>0</vt:i4>
      </vt:variant>
      <vt:variant>
        <vt:i4>5</vt:i4>
      </vt:variant>
      <vt:variant>
        <vt:lpwstr>http://www.scmvd.cz/</vt:lpwstr>
      </vt:variant>
      <vt:variant>
        <vt:lpwstr/>
      </vt:variant>
      <vt:variant>
        <vt:i4>3211360</vt:i4>
      </vt:variant>
      <vt:variant>
        <vt:i4>1326</vt:i4>
      </vt:variant>
      <vt:variant>
        <vt:i4>0</vt:i4>
      </vt:variant>
      <vt:variant>
        <vt:i4>5</vt:i4>
      </vt:variant>
      <vt:variant>
        <vt:lpwstr>http://www.sps.cz/index.ASP</vt:lpwstr>
      </vt:variant>
      <vt:variant>
        <vt:lpwstr/>
      </vt:variant>
      <vt:variant>
        <vt:i4>7274542</vt:i4>
      </vt:variant>
      <vt:variant>
        <vt:i4>1323</vt:i4>
      </vt:variant>
      <vt:variant>
        <vt:i4>0</vt:i4>
      </vt:variant>
      <vt:variant>
        <vt:i4>5</vt:i4>
      </vt:variant>
      <vt:variant>
        <vt:lpwstr>http://www.socr.cz/</vt:lpwstr>
      </vt:variant>
      <vt:variant>
        <vt:lpwstr/>
      </vt:variant>
      <vt:variant>
        <vt:i4>7274545</vt:i4>
      </vt:variant>
      <vt:variant>
        <vt:i4>1320</vt:i4>
      </vt:variant>
      <vt:variant>
        <vt:i4>0</vt:i4>
      </vt:variant>
      <vt:variant>
        <vt:i4>5</vt:i4>
      </vt:variant>
      <vt:variant>
        <vt:lpwstr>http://www.spcr.cz/</vt:lpwstr>
      </vt:variant>
      <vt:variant>
        <vt:lpwstr/>
      </vt:variant>
      <vt:variant>
        <vt:i4>1835035</vt:i4>
      </vt:variant>
      <vt:variant>
        <vt:i4>1317</vt:i4>
      </vt:variant>
      <vt:variant>
        <vt:i4>0</vt:i4>
      </vt:variant>
      <vt:variant>
        <vt:i4>5</vt:i4>
      </vt:variant>
      <vt:variant>
        <vt:lpwstr>http://www.cmzrb.cz/</vt:lpwstr>
      </vt:variant>
      <vt:variant>
        <vt:lpwstr/>
      </vt:variant>
      <vt:variant>
        <vt:i4>720978</vt:i4>
      </vt:variant>
      <vt:variant>
        <vt:i4>1314</vt:i4>
      </vt:variant>
      <vt:variant>
        <vt:i4>0</vt:i4>
      </vt:variant>
      <vt:variant>
        <vt:i4>5</vt:i4>
      </vt:variant>
      <vt:variant>
        <vt:lpwstr>http://www.komora.cz/</vt:lpwstr>
      </vt:variant>
      <vt:variant>
        <vt:lpwstr/>
      </vt:variant>
      <vt:variant>
        <vt:i4>6815865</vt:i4>
      </vt:variant>
      <vt:variant>
        <vt:i4>1311</vt:i4>
      </vt:variant>
      <vt:variant>
        <vt:i4>0</vt:i4>
      </vt:variant>
      <vt:variant>
        <vt:i4>5</vt:i4>
      </vt:variant>
      <vt:variant>
        <vt:lpwstr>http://tacr.cz/</vt:lpwstr>
      </vt:variant>
      <vt:variant>
        <vt:lpwstr/>
      </vt:variant>
      <vt:variant>
        <vt:i4>7209069</vt:i4>
      </vt:variant>
      <vt:variant>
        <vt:i4>1308</vt:i4>
      </vt:variant>
      <vt:variant>
        <vt:i4>0</vt:i4>
      </vt:variant>
      <vt:variant>
        <vt:i4>5</vt:i4>
      </vt:variant>
      <vt:variant>
        <vt:lpwstr>http://www.jic.cz/</vt:lpwstr>
      </vt:variant>
      <vt:variant>
        <vt:lpwstr/>
      </vt:variant>
      <vt:variant>
        <vt:i4>983058</vt:i4>
      </vt:variant>
      <vt:variant>
        <vt:i4>1305</vt:i4>
      </vt:variant>
      <vt:variant>
        <vt:i4>0</vt:i4>
      </vt:variant>
      <vt:variant>
        <vt:i4>5</vt:i4>
      </vt:variant>
      <vt:variant>
        <vt:lpwstr>http://www.mdcr.cz/cs/default.htm</vt:lpwstr>
      </vt:variant>
      <vt:variant>
        <vt:lpwstr/>
      </vt:variant>
      <vt:variant>
        <vt:i4>2949225</vt:i4>
      </vt:variant>
      <vt:variant>
        <vt:i4>1302</vt:i4>
      </vt:variant>
      <vt:variant>
        <vt:i4>0</vt:i4>
      </vt:variant>
      <vt:variant>
        <vt:i4>5</vt:i4>
      </vt:variant>
      <vt:variant>
        <vt:lpwstr>http://www.mpsv.cz/cs/</vt:lpwstr>
      </vt:variant>
      <vt:variant>
        <vt:lpwstr/>
      </vt:variant>
      <vt:variant>
        <vt:i4>7405610</vt:i4>
      </vt:variant>
      <vt:variant>
        <vt:i4>1299</vt:i4>
      </vt:variant>
      <vt:variant>
        <vt:i4>0</vt:i4>
      </vt:variant>
      <vt:variant>
        <vt:i4>5</vt:i4>
      </vt:variant>
      <vt:variant>
        <vt:lpwstr>http://www.mkcr.cz/</vt:lpwstr>
      </vt:variant>
      <vt:variant>
        <vt:lpwstr/>
      </vt:variant>
      <vt:variant>
        <vt:i4>8323124</vt:i4>
      </vt:variant>
      <vt:variant>
        <vt:i4>1296</vt:i4>
      </vt:variant>
      <vt:variant>
        <vt:i4>0</vt:i4>
      </vt:variant>
      <vt:variant>
        <vt:i4>5</vt:i4>
      </vt:variant>
      <vt:variant>
        <vt:lpwstr>http://www.msmt.cz/</vt:lpwstr>
      </vt:variant>
      <vt:variant>
        <vt:lpwstr/>
      </vt:variant>
      <vt:variant>
        <vt:i4>3997757</vt:i4>
      </vt:variant>
      <vt:variant>
        <vt:i4>1293</vt:i4>
      </vt:variant>
      <vt:variant>
        <vt:i4>0</vt:i4>
      </vt:variant>
      <vt:variant>
        <vt:i4>5</vt:i4>
      </vt:variant>
      <vt:variant>
        <vt:lpwstr>http://www.praha.eu/jnp/cz/home/index.html</vt:lpwstr>
      </vt:variant>
      <vt:variant>
        <vt:lpwstr/>
      </vt:variant>
      <vt:variant>
        <vt:i4>6553716</vt:i4>
      </vt:variant>
      <vt:variant>
        <vt:i4>1290</vt:i4>
      </vt:variant>
      <vt:variant>
        <vt:i4>0</vt:i4>
      </vt:variant>
      <vt:variant>
        <vt:i4>5</vt:i4>
      </vt:variant>
      <vt:variant>
        <vt:lpwstr>http://nsmascr.cz/o-nas/mistni-akncni-skupiny/</vt:lpwstr>
      </vt:variant>
      <vt:variant>
        <vt:lpwstr/>
      </vt:variant>
      <vt:variant>
        <vt:i4>7340144</vt:i4>
      </vt:variant>
      <vt:variant>
        <vt:i4>1287</vt:i4>
      </vt:variant>
      <vt:variant>
        <vt:i4>0</vt:i4>
      </vt:variant>
      <vt:variant>
        <vt:i4>5</vt:i4>
      </vt:variant>
      <vt:variant>
        <vt:lpwstr>http://www.utb.cz/</vt:lpwstr>
      </vt:variant>
      <vt:variant>
        <vt:lpwstr/>
      </vt:variant>
      <vt:variant>
        <vt:i4>8126506</vt:i4>
      </vt:variant>
      <vt:variant>
        <vt:i4>1284</vt:i4>
      </vt:variant>
      <vt:variant>
        <vt:i4>0</vt:i4>
      </vt:variant>
      <vt:variant>
        <vt:i4>5</vt:i4>
      </vt:variant>
      <vt:variant>
        <vt:lpwstr>http://crc.muni.cz/</vt:lpwstr>
      </vt:variant>
      <vt:variant>
        <vt:lpwstr/>
      </vt:variant>
      <vt:variant>
        <vt:i4>6553658</vt:i4>
      </vt:variant>
      <vt:variant>
        <vt:i4>1281</vt:i4>
      </vt:variant>
      <vt:variant>
        <vt:i4>0</vt:i4>
      </vt:variant>
      <vt:variant>
        <vt:i4>5</vt:i4>
      </vt:variant>
      <vt:variant>
        <vt:lpwstr>http://www.kzps.cz/</vt:lpwstr>
      </vt:variant>
      <vt:variant>
        <vt:lpwstr/>
      </vt:variant>
      <vt:variant>
        <vt:i4>6422654</vt:i4>
      </vt:variant>
      <vt:variant>
        <vt:i4>1278</vt:i4>
      </vt:variant>
      <vt:variant>
        <vt:i4>0</vt:i4>
      </vt:variant>
      <vt:variant>
        <vt:i4>5</vt:i4>
      </vt:variant>
      <vt:variant>
        <vt:lpwstr>http://www.asociacenno.cz/</vt:lpwstr>
      </vt:variant>
      <vt:variant>
        <vt:lpwstr/>
      </vt:variant>
      <vt:variant>
        <vt:i4>7143470</vt:i4>
      </vt:variant>
      <vt:variant>
        <vt:i4>1275</vt:i4>
      </vt:variant>
      <vt:variant>
        <vt:i4>0</vt:i4>
      </vt:variant>
      <vt:variant>
        <vt:i4>5</vt:i4>
      </vt:variant>
      <vt:variant>
        <vt:lpwstr>http://www.amsp.cz/</vt:lpwstr>
      </vt:variant>
      <vt:variant>
        <vt:lpwstr/>
      </vt:variant>
      <vt:variant>
        <vt:i4>262158</vt:i4>
      </vt:variant>
      <vt:variant>
        <vt:i4>1272</vt:i4>
      </vt:variant>
      <vt:variant>
        <vt:i4>0</vt:i4>
      </vt:variant>
      <vt:variant>
        <vt:i4>5</vt:i4>
      </vt:variant>
      <vt:variant>
        <vt:lpwstr>http://www.aipcr.cz/</vt:lpwstr>
      </vt:variant>
      <vt:variant>
        <vt:lpwstr/>
      </vt:variant>
      <vt:variant>
        <vt:i4>6881394</vt:i4>
      </vt:variant>
      <vt:variant>
        <vt:i4>1269</vt:i4>
      </vt:variant>
      <vt:variant>
        <vt:i4>0</vt:i4>
      </vt:variant>
      <vt:variant>
        <vt:i4>5</vt:i4>
      </vt:variant>
      <vt:variant>
        <vt:lpwstr>http://www.avo.cz/</vt:lpwstr>
      </vt:variant>
      <vt:variant>
        <vt:lpwstr/>
      </vt:variant>
      <vt:variant>
        <vt:i4>589834</vt:i4>
      </vt:variant>
      <vt:variant>
        <vt:i4>1266</vt:i4>
      </vt:variant>
      <vt:variant>
        <vt:i4>0</vt:i4>
      </vt:variant>
      <vt:variant>
        <vt:i4>5</vt:i4>
      </vt:variant>
      <vt:variant>
        <vt:lpwstr>http://www.smocr.cz/</vt:lpwstr>
      </vt:variant>
      <vt:variant>
        <vt:lpwstr/>
      </vt:variant>
      <vt:variant>
        <vt:i4>7274542</vt:i4>
      </vt:variant>
      <vt:variant>
        <vt:i4>1263</vt:i4>
      </vt:variant>
      <vt:variant>
        <vt:i4>0</vt:i4>
      </vt:variant>
      <vt:variant>
        <vt:i4>5</vt:i4>
      </vt:variant>
      <vt:variant>
        <vt:lpwstr>http://www.socr.cz/</vt:lpwstr>
      </vt:variant>
      <vt:variant>
        <vt:lpwstr/>
      </vt:variant>
      <vt:variant>
        <vt:i4>7274545</vt:i4>
      </vt:variant>
      <vt:variant>
        <vt:i4>1260</vt:i4>
      </vt:variant>
      <vt:variant>
        <vt:i4>0</vt:i4>
      </vt:variant>
      <vt:variant>
        <vt:i4>5</vt:i4>
      </vt:variant>
      <vt:variant>
        <vt:lpwstr>http://www.spcr.cz/</vt:lpwstr>
      </vt:variant>
      <vt:variant>
        <vt:lpwstr/>
      </vt:variant>
      <vt:variant>
        <vt:i4>7077930</vt:i4>
      </vt:variant>
      <vt:variant>
        <vt:i4>1257</vt:i4>
      </vt:variant>
      <vt:variant>
        <vt:i4>0</vt:i4>
      </vt:variant>
      <vt:variant>
        <vt:i4>5</vt:i4>
      </vt:variant>
      <vt:variant>
        <vt:lpwstr>http://www.pkcr.cz/</vt:lpwstr>
      </vt:variant>
      <vt:variant>
        <vt:lpwstr/>
      </vt:variant>
      <vt:variant>
        <vt:i4>720978</vt:i4>
      </vt:variant>
      <vt:variant>
        <vt:i4>1254</vt:i4>
      </vt:variant>
      <vt:variant>
        <vt:i4>0</vt:i4>
      </vt:variant>
      <vt:variant>
        <vt:i4>5</vt:i4>
      </vt:variant>
      <vt:variant>
        <vt:lpwstr>http://www.komora.cz/</vt:lpwstr>
      </vt:variant>
      <vt:variant>
        <vt:lpwstr/>
      </vt:variant>
      <vt:variant>
        <vt:i4>7209069</vt:i4>
      </vt:variant>
      <vt:variant>
        <vt:i4>1251</vt:i4>
      </vt:variant>
      <vt:variant>
        <vt:i4>0</vt:i4>
      </vt:variant>
      <vt:variant>
        <vt:i4>5</vt:i4>
      </vt:variant>
      <vt:variant>
        <vt:lpwstr>http://www.jic.cz/</vt:lpwstr>
      </vt:variant>
      <vt:variant>
        <vt:lpwstr/>
      </vt:variant>
      <vt:variant>
        <vt:i4>4653068</vt:i4>
      </vt:variant>
      <vt:variant>
        <vt:i4>1248</vt:i4>
      </vt:variant>
      <vt:variant>
        <vt:i4>0</vt:i4>
      </vt:variant>
      <vt:variant>
        <vt:i4>5</vt:i4>
      </vt:variant>
      <vt:variant>
        <vt:lpwstr>http://www.tc.cz/cs/</vt:lpwstr>
      </vt:variant>
      <vt:variant>
        <vt:lpwstr/>
      </vt:variant>
      <vt:variant>
        <vt:i4>6815865</vt:i4>
      </vt:variant>
      <vt:variant>
        <vt:i4>1245</vt:i4>
      </vt:variant>
      <vt:variant>
        <vt:i4>0</vt:i4>
      </vt:variant>
      <vt:variant>
        <vt:i4>5</vt:i4>
      </vt:variant>
      <vt:variant>
        <vt:lpwstr>http://tacr.cz/</vt:lpwstr>
      </vt:variant>
      <vt:variant>
        <vt:lpwstr/>
      </vt:variant>
      <vt:variant>
        <vt:i4>983058</vt:i4>
      </vt:variant>
      <vt:variant>
        <vt:i4>1242</vt:i4>
      </vt:variant>
      <vt:variant>
        <vt:i4>0</vt:i4>
      </vt:variant>
      <vt:variant>
        <vt:i4>5</vt:i4>
      </vt:variant>
      <vt:variant>
        <vt:lpwstr>http://www.mdcr.cz/cs/default.htm</vt:lpwstr>
      </vt:variant>
      <vt:variant>
        <vt:lpwstr/>
      </vt:variant>
      <vt:variant>
        <vt:i4>7405610</vt:i4>
      </vt:variant>
      <vt:variant>
        <vt:i4>1239</vt:i4>
      </vt:variant>
      <vt:variant>
        <vt:i4>0</vt:i4>
      </vt:variant>
      <vt:variant>
        <vt:i4>5</vt:i4>
      </vt:variant>
      <vt:variant>
        <vt:lpwstr>http://www.mkcr.cz/</vt:lpwstr>
      </vt:variant>
      <vt:variant>
        <vt:lpwstr/>
      </vt:variant>
      <vt:variant>
        <vt:i4>8323124</vt:i4>
      </vt:variant>
      <vt:variant>
        <vt:i4>1236</vt:i4>
      </vt:variant>
      <vt:variant>
        <vt:i4>0</vt:i4>
      </vt:variant>
      <vt:variant>
        <vt:i4>5</vt:i4>
      </vt:variant>
      <vt:variant>
        <vt:lpwstr>http://www.msmt.cz/</vt:lpwstr>
      </vt:variant>
      <vt:variant>
        <vt:lpwstr/>
      </vt:variant>
      <vt:variant>
        <vt:i4>3997757</vt:i4>
      </vt:variant>
      <vt:variant>
        <vt:i4>1233</vt:i4>
      </vt:variant>
      <vt:variant>
        <vt:i4>0</vt:i4>
      </vt:variant>
      <vt:variant>
        <vt:i4>5</vt:i4>
      </vt:variant>
      <vt:variant>
        <vt:lpwstr>http://www.praha.eu/jnp/cz/home/index.html</vt:lpwstr>
      </vt:variant>
      <vt:variant>
        <vt:lpwstr/>
      </vt:variant>
      <vt:variant>
        <vt:i4>7274534</vt:i4>
      </vt:variant>
      <vt:variant>
        <vt:i4>1230</vt:i4>
      </vt:variant>
      <vt:variant>
        <vt:i4>0</vt:i4>
      </vt:variant>
      <vt:variant>
        <vt:i4>5</vt:i4>
      </vt:variant>
      <vt:variant>
        <vt:lpwstr>http://www.czso.cz/</vt:lpwstr>
      </vt:variant>
      <vt:variant>
        <vt:lpwstr/>
      </vt:variant>
      <vt:variant>
        <vt:i4>6553716</vt:i4>
      </vt:variant>
      <vt:variant>
        <vt:i4>1227</vt:i4>
      </vt:variant>
      <vt:variant>
        <vt:i4>0</vt:i4>
      </vt:variant>
      <vt:variant>
        <vt:i4>5</vt:i4>
      </vt:variant>
      <vt:variant>
        <vt:lpwstr>http://nsmascr.cz/o-nas/mistni-akncni-skupiny/</vt:lpwstr>
      </vt:variant>
      <vt:variant>
        <vt:lpwstr/>
      </vt:variant>
      <vt:variant>
        <vt:i4>6422654</vt:i4>
      </vt:variant>
      <vt:variant>
        <vt:i4>1224</vt:i4>
      </vt:variant>
      <vt:variant>
        <vt:i4>0</vt:i4>
      </vt:variant>
      <vt:variant>
        <vt:i4>5</vt:i4>
      </vt:variant>
      <vt:variant>
        <vt:lpwstr>http://www.asociacenno.cz/</vt:lpwstr>
      </vt:variant>
      <vt:variant>
        <vt:lpwstr/>
      </vt:variant>
      <vt:variant>
        <vt:i4>1835016</vt:i4>
      </vt:variant>
      <vt:variant>
        <vt:i4>1221</vt:i4>
      </vt:variant>
      <vt:variant>
        <vt:i4>0</vt:i4>
      </vt:variant>
      <vt:variant>
        <vt:i4>5</vt:i4>
      </vt:variant>
      <vt:variant>
        <vt:lpwstr>http://www.asociacekraju.cz/</vt:lpwstr>
      </vt:variant>
      <vt:variant>
        <vt:lpwstr/>
      </vt:variant>
      <vt:variant>
        <vt:i4>7143470</vt:i4>
      </vt:variant>
      <vt:variant>
        <vt:i4>1218</vt:i4>
      </vt:variant>
      <vt:variant>
        <vt:i4>0</vt:i4>
      </vt:variant>
      <vt:variant>
        <vt:i4>5</vt:i4>
      </vt:variant>
      <vt:variant>
        <vt:lpwstr>http://www.amsp.cz/</vt:lpwstr>
      </vt:variant>
      <vt:variant>
        <vt:lpwstr/>
      </vt:variant>
      <vt:variant>
        <vt:i4>6553658</vt:i4>
      </vt:variant>
      <vt:variant>
        <vt:i4>1215</vt:i4>
      </vt:variant>
      <vt:variant>
        <vt:i4>0</vt:i4>
      </vt:variant>
      <vt:variant>
        <vt:i4>5</vt:i4>
      </vt:variant>
      <vt:variant>
        <vt:lpwstr>http://www.kzps.cz/</vt:lpwstr>
      </vt:variant>
      <vt:variant>
        <vt:lpwstr/>
      </vt:variant>
      <vt:variant>
        <vt:i4>1835014</vt:i4>
      </vt:variant>
      <vt:variant>
        <vt:i4>1212</vt:i4>
      </vt:variant>
      <vt:variant>
        <vt:i4>0</vt:i4>
      </vt:variant>
      <vt:variant>
        <vt:i4>5</vt:i4>
      </vt:variant>
      <vt:variant>
        <vt:lpwstr>http://www.cmkos.cz/</vt:lpwstr>
      </vt:variant>
      <vt:variant>
        <vt:lpwstr/>
      </vt:variant>
      <vt:variant>
        <vt:i4>1376266</vt:i4>
      </vt:variant>
      <vt:variant>
        <vt:i4>1209</vt:i4>
      </vt:variant>
      <vt:variant>
        <vt:i4>0</vt:i4>
      </vt:variant>
      <vt:variant>
        <vt:i4>5</vt:i4>
      </vt:variant>
      <vt:variant>
        <vt:lpwstr>http://www.smscr.cz/</vt:lpwstr>
      </vt:variant>
      <vt:variant>
        <vt:lpwstr/>
      </vt:variant>
      <vt:variant>
        <vt:i4>589834</vt:i4>
      </vt:variant>
      <vt:variant>
        <vt:i4>1206</vt:i4>
      </vt:variant>
      <vt:variant>
        <vt:i4>0</vt:i4>
      </vt:variant>
      <vt:variant>
        <vt:i4>5</vt:i4>
      </vt:variant>
      <vt:variant>
        <vt:lpwstr>http://www.smocr.cz/</vt:lpwstr>
      </vt:variant>
      <vt:variant>
        <vt:lpwstr/>
      </vt:variant>
      <vt:variant>
        <vt:i4>3211360</vt:i4>
      </vt:variant>
      <vt:variant>
        <vt:i4>1203</vt:i4>
      </vt:variant>
      <vt:variant>
        <vt:i4>0</vt:i4>
      </vt:variant>
      <vt:variant>
        <vt:i4>5</vt:i4>
      </vt:variant>
      <vt:variant>
        <vt:lpwstr>http://www.sps.cz/index.ASP</vt:lpwstr>
      </vt:variant>
      <vt:variant>
        <vt:lpwstr/>
      </vt:variant>
      <vt:variant>
        <vt:i4>7274542</vt:i4>
      </vt:variant>
      <vt:variant>
        <vt:i4>1200</vt:i4>
      </vt:variant>
      <vt:variant>
        <vt:i4>0</vt:i4>
      </vt:variant>
      <vt:variant>
        <vt:i4>5</vt:i4>
      </vt:variant>
      <vt:variant>
        <vt:lpwstr>http://www.socr.cz/</vt:lpwstr>
      </vt:variant>
      <vt:variant>
        <vt:lpwstr/>
      </vt:variant>
      <vt:variant>
        <vt:i4>7274545</vt:i4>
      </vt:variant>
      <vt:variant>
        <vt:i4>1197</vt:i4>
      </vt:variant>
      <vt:variant>
        <vt:i4>0</vt:i4>
      </vt:variant>
      <vt:variant>
        <vt:i4>5</vt:i4>
      </vt:variant>
      <vt:variant>
        <vt:lpwstr>http://www.spcr.cz/</vt:lpwstr>
      </vt:variant>
      <vt:variant>
        <vt:lpwstr/>
      </vt:variant>
      <vt:variant>
        <vt:i4>5898269</vt:i4>
      </vt:variant>
      <vt:variant>
        <vt:i4>1194</vt:i4>
      </vt:variant>
      <vt:variant>
        <vt:i4>0</vt:i4>
      </vt:variant>
      <vt:variant>
        <vt:i4>5</vt:i4>
      </vt:variant>
      <vt:variant>
        <vt:lpwstr>http://www.vyzkum.cz/FrontClanek.aspx?idsekce=496</vt:lpwstr>
      </vt:variant>
      <vt:variant>
        <vt:lpwstr/>
      </vt:variant>
      <vt:variant>
        <vt:i4>1835035</vt:i4>
      </vt:variant>
      <vt:variant>
        <vt:i4>1191</vt:i4>
      </vt:variant>
      <vt:variant>
        <vt:i4>0</vt:i4>
      </vt:variant>
      <vt:variant>
        <vt:i4>5</vt:i4>
      </vt:variant>
      <vt:variant>
        <vt:lpwstr>http://www.cmzrb.cz/</vt:lpwstr>
      </vt:variant>
      <vt:variant>
        <vt:lpwstr/>
      </vt:variant>
      <vt:variant>
        <vt:i4>6815865</vt:i4>
      </vt:variant>
      <vt:variant>
        <vt:i4>1188</vt:i4>
      </vt:variant>
      <vt:variant>
        <vt:i4>0</vt:i4>
      </vt:variant>
      <vt:variant>
        <vt:i4>5</vt:i4>
      </vt:variant>
      <vt:variant>
        <vt:lpwstr>http://tacr.cz/</vt:lpwstr>
      </vt:variant>
      <vt:variant>
        <vt:lpwstr/>
      </vt:variant>
      <vt:variant>
        <vt:i4>7077930</vt:i4>
      </vt:variant>
      <vt:variant>
        <vt:i4>1185</vt:i4>
      </vt:variant>
      <vt:variant>
        <vt:i4>0</vt:i4>
      </vt:variant>
      <vt:variant>
        <vt:i4>5</vt:i4>
      </vt:variant>
      <vt:variant>
        <vt:lpwstr>http://www.pkcr.cz/</vt:lpwstr>
      </vt:variant>
      <vt:variant>
        <vt:lpwstr/>
      </vt:variant>
      <vt:variant>
        <vt:i4>720978</vt:i4>
      </vt:variant>
      <vt:variant>
        <vt:i4>1182</vt:i4>
      </vt:variant>
      <vt:variant>
        <vt:i4>0</vt:i4>
      </vt:variant>
      <vt:variant>
        <vt:i4>5</vt:i4>
      </vt:variant>
      <vt:variant>
        <vt:lpwstr>http://www.komora.cz/</vt:lpwstr>
      </vt:variant>
      <vt:variant>
        <vt:lpwstr/>
      </vt:variant>
      <vt:variant>
        <vt:i4>3276832</vt:i4>
      </vt:variant>
      <vt:variant>
        <vt:i4>1179</vt:i4>
      </vt:variant>
      <vt:variant>
        <vt:i4>0</vt:i4>
      </vt:variant>
      <vt:variant>
        <vt:i4>5</vt:i4>
      </vt:variant>
      <vt:variant>
        <vt:lpwstr>http://czechinvest.org/</vt:lpwstr>
      </vt:variant>
      <vt:variant>
        <vt:lpwstr/>
      </vt:variant>
      <vt:variant>
        <vt:i4>983058</vt:i4>
      </vt:variant>
      <vt:variant>
        <vt:i4>1176</vt:i4>
      </vt:variant>
      <vt:variant>
        <vt:i4>0</vt:i4>
      </vt:variant>
      <vt:variant>
        <vt:i4>5</vt:i4>
      </vt:variant>
      <vt:variant>
        <vt:lpwstr>http://www.mdcr.cz/cs/default.htm</vt:lpwstr>
      </vt:variant>
      <vt:variant>
        <vt:lpwstr/>
      </vt:variant>
      <vt:variant>
        <vt:i4>1638426</vt:i4>
      </vt:variant>
      <vt:variant>
        <vt:i4>1173</vt:i4>
      </vt:variant>
      <vt:variant>
        <vt:i4>0</vt:i4>
      </vt:variant>
      <vt:variant>
        <vt:i4>5</vt:i4>
      </vt:variant>
      <vt:variant>
        <vt:lpwstr>http://eagri.cz/public/web/mze/ministerstvo-zemedelstvi/</vt:lpwstr>
      </vt:variant>
      <vt:variant>
        <vt:lpwstr/>
      </vt:variant>
      <vt:variant>
        <vt:i4>8323124</vt:i4>
      </vt:variant>
      <vt:variant>
        <vt:i4>1170</vt:i4>
      </vt:variant>
      <vt:variant>
        <vt:i4>0</vt:i4>
      </vt:variant>
      <vt:variant>
        <vt:i4>5</vt:i4>
      </vt:variant>
      <vt:variant>
        <vt:lpwstr>http://www.msmt.cz/</vt:lpwstr>
      </vt:variant>
      <vt:variant>
        <vt:lpwstr/>
      </vt:variant>
      <vt:variant>
        <vt:i4>2949225</vt:i4>
      </vt:variant>
      <vt:variant>
        <vt:i4>1167</vt:i4>
      </vt:variant>
      <vt:variant>
        <vt:i4>0</vt:i4>
      </vt:variant>
      <vt:variant>
        <vt:i4>5</vt:i4>
      </vt:variant>
      <vt:variant>
        <vt:lpwstr>http://www.mpsv.cz/cs/</vt:lpwstr>
      </vt:variant>
      <vt:variant>
        <vt:lpwstr/>
      </vt:variant>
      <vt:variant>
        <vt:i4>7995431</vt:i4>
      </vt:variant>
      <vt:variant>
        <vt:i4>1164</vt:i4>
      </vt:variant>
      <vt:variant>
        <vt:i4>0</vt:i4>
      </vt:variant>
      <vt:variant>
        <vt:i4>5</vt:i4>
      </vt:variant>
      <vt:variant>
        <vt:lpwstr>http://mzp.cz/</vt:lpwstr>
      </vt:variant>
      <vt:variant>
        <vt:lpwstr/>
      </vt:variant>
      <vt:variant>
        <vt:i4>4784152</vt:i4>
      </vt:variant>
      <vt:variant>
        <vt:i4>1161</vt:i4>
      </vt:variant>
      <vt:variant>
        <vt:i4>0</vt:i4>
      </vt:variant>
      <vt:variant>
        <vt:i4>5</vt:i4>
      </vt:variant>
      <vt:variant>
        <vt:lpwstr>http://www.mfcr.cz/cps/rde/xchg/</vt:lpwstr>
      </vt:variant>
      <vt:variant>
        <vt:lpwstr/>
      </vt:variant>
      <vt:variant>
        <vt:i4>2490417</vt:i4>
      </vt:variant>
      <vt:variant>
        <vt:i4>1158</vt:i4>
      </vt:variant>
      <vt:variant>
        <vt:i4>0</vt:i4>
      </vt:variant>
      <vt:variant>
        <vt:i4>5</vt:i4>
      </vt:variant>
      <vt:variant>
        <vt:lpwstr>http://www.mmr.cz/cs/Uvodni-strana</vt:lpwstr>
      </vt:variant>
      <vt:variant>
        <vt:lpwstr/>
      </vt:variant>
      <vt:variant>
        <vt:i4>5111892</vt:i4>
      </vt:variant>
      <vt:variant>
        <vt:i4>1146</vt:i4>
      </vt:variant>
      <vt:variant>
        <vt:i4>0</vt:i4>
      </vt:variant>
      <vt:variant>
        <vt:i4>5</vt:i4>
      </vt:variant>
      <vt:variant>
        <vt:lpwstr>http://www.vlada.cz/assets/evropske-zalezitosti/aktualne/NPR-2014.pdf</vt:lpwstr>
      </vt:variant>
      <vt:variant>
        <vt:lpwstr/>
      </vt:variant>
      <vt:variant>
        <vt:i4>5963805</vt:i4>
      </vt:variant>
      <vt:variant>
        <vt:i4>1143</vt:i4>
      </vt:variant>
      <vt:variant>
        <vt:i4>0</vt:i4>
      </vt:variant>
      <vt:variant>
        <vt:i4>5</vt:i4>
      </vt:variant>
      <vt:variant>
        <vt:lpwstr>http://www.mpo.cz/dokument119071.html</vt:lpwstr>
      </vt:variant>
      <vt:variant>
        <vt:lpwstr/>
      </vt:variant>
      <vt:variant>
        <vt:i4>5767196</vt:i4>
      </vt:variant>
      <vt:variant>
        <vt:i4>1140</vt:i4>
      </vt:variant>
      <vt:variant>
        <vt:i4>0</vt:i4>
      </vt:variant>
      <vt:variant>
        <vt:i4>5</vt:i4>
      </vt:variant>
      <vt:variant>
        <vt:lpwstr>http://www.vlada.cz/assets/media-centrum/aktualne/Strategie-mezinarodni-konkurenceschopnosti-Ceske-republiky.pdf</vt:lpwstr>
      </vt:variant>
      <vt:variant>
        <vt:lpwstr/>
      </vt:variant>
      <vt:variant>
        <vt:i4>6160403</vt:i4>
      </vt:variant>
      <vt:variant>
        <vt:i4>1137</vt:i4>
      </vt:variant>
      <vt:variant>
        <vt:i4>0</vt:i4>
      </vt:variant>
      <vt:variant>
        <vt:i4>5</vt:i4>
      </vt:variant>
      <vt:variant>
        <vt:lpwstr>http://www.mpo.cz/dokument144140.html</vt:lpwstr>
      </vt:variant>
      <vt:variant>
        <vt:lpwstr/>
      </vt:variant>
      <vt:variant>
        <vt:i4>5111892</vt:i4>
      </vt:variant>
      <vt:variant>
        <vt:i4>1134</vt:i4>
      </vt:variant>
      <vt:variant>
        <vt:i4>0</vt:i4>
      </vt:variant>
      <vt:variant>
        <vt:i4>5</vt:i4>
      </vt:variant>
      <vt:variant>
        <vt:lpwstr>http://www.vlada.cz/assets/evropske-zalezitosti/aktualne/NPR-2014.pdf</vt:lpwstr>
      </vt:variant>
      <vt:variant>
        <vt:lpwstr/>
      </vt:variant>
      <vt:variant>
        <vt:i4>5963805</vt:i4>
      </vt:variant>
      <vt:variant>
        <vt:i4>1131</vt:i4>
      </vt:variant>
      <vt:variant>
        <vt:i4>0</vt:i4>
      </vt:variant>
      <vt:variant>
        <vt:i4>5</vt:i4>
      </vt:variant>
      <vt:variant>
        <vt:lpwstr>http://www.mpo.cz/dokument119071.html</vt:lpwstr>
      </vt:variant>
      <vt:variant>
        <vt:lpwstr/>
      </vt:variant>
      <vt:variant>
        <vt:i4>5767196</vt:i4>
      </vt:variant>
      <vt:variant>
        <vt:i4>1128</vt:i4>
      </vt:variant>
      <vt:variant>
        <vt:i4>0</vt:i4>
      </vt:variant>
      <vt:variant>
        <vt:i4>5</vt:i4>
      </vt:variant>
      <vt:variant>
        <vt:lpwstr>http://www.vlada.cz/assets/media-centrum/aktualne/Strategie-mezinarodni-konkurenceschopnosti-Ceske-republiky.pdf</vt:lpwstr>
      </vt:variant>
      <vt:variant>
        <vt:lpwstr/>
      </vt:variant>
      <vt:variant>
        <vt:i4>6750266</vt:i4>
      </vt:variant>
      <vt:variant>
        <vt:i4>1125</vt:i4>
      </vt:variant>
      <vt:variant>
        <vt:i4>0</vt:i4>
      </vt:variant>
      <vt:variant>
        <vt:i4>5</vt:i4>
      </vt:variant>
      <vt:variant>
        <vt:lpwstr>http://portal.gov.cz/app/zakony/zakonPar.jsp?idBiblio=49962&amp;fulltext=&amp;nr=458~2F2000&amp;part=&amp;name=&amp;rpp=15</vt:lpwstr>
      </vt:variant>
      <vt:variant>
        <vt:lpwstr>local-content</vt:lpwstr>
      </vt:variant>
      <vt:variant>
        <vt:i4>6750266</vt:i4>
      </vt:variant>
      <vt:variant>
        <vt:i4>1122</vt:i4>
      </vt:variant>
      <vt:variant>
        <vt:i4>0</vt:i4>
      </vt:variant>
      <vt:variant>
        <vt:i4>5</vt:i4>
      </vt:variant>
      <vt:variant>
        <vt:lpwstr>http://portal.gov.cz/app/zakony/zakonPar.jsp?idBiblio=49962&amp;fulltext=&amp;nr=458~2F2000&amp;part=&amp;name=&amp;rpp=15</vt:lpwstr>
      </vt:variant>
      <vt:variant>
        <vt:lpwstr>local-content</vt:lpwstr>
      </vt:variant>
      <vt:variant>
        <vt:i4>6750266</vt:i4>
      </vt:variant>
      <vt:variant>
        <vt:i4>1119</vt:i4>
      </vt:variant>
      <vt:variant>
        <vt:i4>0</vt:i4>
      </vt:variant>
      <vt:variant>
        <vt:i4>5</vt:i4>
      </vt:variant>
      <vt:variant>
        <vt:lpwstr>http://portal.gov.cz/app/zakony/zakonPar.jsp?idBiblio=49962&amp;fulltext=&amp;nr=458~2F2000&amp;part=&amp;name=&amp;rpp=15</vt:lpwstr>
      </vt:variant>
      <vt:variant>
        <vt:lpwstr>local-content</vt:lpwstr>
      </vt:variant>
      <vt:variant>
        <vt:i4>6750266</vt:i4>
      </vt:variant>
      <vt:variant>
        <vt:i4>1116</vt:i4>
      </vt:variant>
      <vt:variant>
        <vt:i4>0</vt:i4>
      </vt:variant>
      <vt:variant>
        <vt:i4>5</vt:i4>
      </vt:variant>
      <vt:variant>
        <vt:lpwstr>http://portal.gov.cz/app/zakony/zakonPar.jsp?idBiblio=49962&amp;fulltext=&amp;nr=458~2F2000&amp;part=&amp;name=&amp;rpp=15</vt:lpwstr>
      </vt:variant>
      <vt:variant>
        <vt:lpwstr>local-content</vt:lpwstr>
      </vt:variant>
      <vt:variant>
        <vt:i4>6750266</vt:i4>
      </vt:variant>
      <vt:variant>
        <vt:i4>1113</vt:i4>
      </vt:variant>
      <vt:variant>
        <vt:i4>0</vt:i4>
      </vt:variant>
      <vt:variant>
        <vt:i4>5</vt:i4>
      </vt:variant>
      <vt:variant>
        <vt:lpwstr>http://portal.gov.cz/app/zakony/zakonPar.jsp?idBiblio=49962&amp;fulltext=&amp;nr=458~2F2000&amp;part=&amp;name=&amp;rpp=15</vt:lpwstr>
      </vt:variant>
      <vt:variant>
        <vt:lpwstr>local-content</vt:lpwstr>
      </vt:variant>
      <vt:variant>
        <vt:i4>6750266</vt:i4>
      </vt:variant>
      <vt:variant>
        <vt:i4>1110</vt:i4>
      </vt:variant>
      <vt:variant>
        <vt:i4>0</vt:i4>
      </vt:variant>
      <vt:variant>
        <vt:i4>5</vt:i4>
      </vt:variant>
      <vt:variant>
        <vt:lpwstr>http://portal.gov.cz/app/zakony/zakonPar.jsp?idBiblio=49962&amp;fulltext=&amp;nr=458~2F2000&amp;part=&amp;name=&amp;rpp=15</vt:lpwstr>
      </vt:variant>
      <vt:variant>
        <vt:lpwstr>local-content</vt:lpwstr>
      </vt:variant>
      <vt:variant>
        <vt:i4>6750266</vt:i4>
      </vt:variant>
      <vt:variant>
        <vt:i4>1107</vt:i4>
      </vt:variant>
      <vt:variant>
        <vt:i4>0</vt:i4>
      </vt:variant>
      <vt:variant>
        <vt:i4>5</vt:i4>
      </vt:variant>
      <vt:variant>
        <vt:lpwstr>http://portal.gov.cz/app/zakony/zakonPar.jsp?idBiblio=49962&amp;fulltext=&amp;nr=458~2F2000&amp;part=&amp;name=&amp;rpp=15</vt:lpwstr>
      </vt:variant>
      <vt:variant>
        <vt:lpwstr>local-content</vt:lpwstr>
      </vt:variant>
      <vt:variant>
        <vt:i4>1310807</vt:i4>
      </vt:variant>
      <vt:variant>
        <vt:i4>1104</vt:i4>
      </vt:variant>
      <vt:variant>
        <vt:i4>0</vt:i4>
      </vt:variant>
      <vt:variant>
        <vt:i4>5</vt:i4>
      </vt:variant>
      <vt:variant>
        <vt:lpwstr>http://databaze-strategie.cz/cz/mpo/strategie/narodni-akcni-plan-cr-pro-energii-z-obnovitelnych-zdroju-2010-2020</vt:lpwstr>
      </vt:variant>
      <vt:variant>
        <vt:lpwstr/>
      </vt:variant>
      <vt:variant>
        <vt:i4>4915239</vt:i4>
      </vt:variant>
      <vt:variant>
        <vt:i4>1101</vt:i4>
      </vt:variant>
      <vt:variant>
        <vt:i4>0</vt:i4>
      </vt:variant>
      <vt:variant>
        <vt:i4>5</vt:i4>
      </vt:variant>
      <vt:variant>
        <vt:lpwstr>http://www.eru.cz/dias-browse_articles.php?parentId=384&amp;deep=off&amp;type=</vt:lpwstr>
      </vt:variant>
      <vt:variant>
        <vt:lpwstr/>
      </vt:variant>
      <vt:variant>
        <vt:i4>6357045</vt:i4>
      </vt:variant>
      <vt:variant>
        <vt:i4>1098</vt:i4>
      </vt:variant>
      <vt:variant>
        <vt:i4>0</vt:i4>
      </vt:variant>
      <vt:variant>
        <vt:i4>5</vt:i4>
      </vt:variant>
      <vt:variant>
        <vt:lpwstr>http://portal.gov.cz/app/zakony/zakonPar.jsp?idBiblio=77573&amp;fulltext=&amp;nr=165~2F2012&amp;part=&amp;name=&amp;rpp=15</vt:lpwstr>
      </vt:variant>
      <vt:variant>
        <vt:lpwstr>local-content</vt:lpwstr>
      </vt:variant>
      <vt:variant>
        <vt:i4>2162759</vt:i4>
      </vt:variant>
      <vt:variant>
        <vt:i4>1095</vt:i4>
      </vt:variant>
      <vt:variant>
        <vt:i4>0</vt:i4>
      </vt:variant>
      <vt:variant>
        <vt:i4>5</vt:i4>
      </vt:variant>
      <vt:variant>
        <vt:lpwstr>http://www.eru.cz/dias-browse_articles.php?parentId=91&amp;deep=off&amp;type=</vt:lpwstr>
      </vt:variant>
      <vt:variant>
        <vt:lpwstr/>
      </vt:variant>
      <vt:variant>
        <vt:i4>6750266</vt:i4>
      </vt:variant>
      <vt:variant>
        <vt:i4>1092</vt:i4>
      </vt:variant>
      <vt:variant>
        <vt:i4>0</vt:i4>
      </vt:variant>
      <vt:variant>
        <vt:i4>5</vt:i4>
      </vt:variant>
      <vt:variant>
        <vt:lpwstr>http://portal.gov.cz/app/zakony/zakonPar.jsp?idBiblio=49962&amp;fulltext=&amp;nr=458~2F2000&amp;part=&amp;name=&amp;rpp=15</vt:lpwstr>
      </vt:variant>
      <vt:variant>
        <vt:lpwstr>local-content</vt:lpwstr>
      </vt:variant>
      <vt:variant>
        <vt:i4>6946875</vt:i4>
      </vt:variant>
      <vt:variant>
        <vt:i4>1089</vt:i4>
      </vt:variant>
      <vt:variant>
        <vt:i4>0</vt:i4>
      </vt:variant>
      <vt:variant>
        <vt:i4>5</vt:i4>
      </vt:variant>
      <vt:variant>
        <vt:lpwstr>http://portal.gov.cz/app/zakony/zakonPar.jsp?idBiblio=49857&amp;fulltext=&amp;nr=406~2F2000&amp;part=&amp;name=&amp;rpp=15</vt:lpwstr>
      </vt:variant>
      <vt:variant>
        <vt:lpwstr>local-content</vt:lpwstr>
      </vt:variant>
      <vt:variant>
        <vt:i4>2162759</vt:i4>
      </vt:variant>
      <vt:variant>
        <vt:i4>1086</vt:i4>
      </vt:variant>
      <vt:variant>
        <vt:i4>0</vt:i4>
      </vt:variant>
      <vt:variant>
        <vt:i4>5</vt:i4>
      </vt:variant>
      <vt:variant>
        <vt:lpwstr>http://www.eru.cz/dias-browse_articles.php?parentId=91&amp;deep=off&amp;type=</vt:lpwstr>
      </vt:variant>
      <vt:variant>
        <vt:lpwstr/>
      </vt:variant>
      <vt:variant>
        <vt:i4>6750266</vt:i4>
      </vt:variant>
      <vt:variant>
        <vt:i4>1083</vt:i4>
      </vt:variant>
      <vt:variant>
        <vt:i4>0</vt:i4>
      </vt:variant>
      <vt:variant>
        <vt:i4>5</vt:i4>
      </vt:variant>
      <vt:variant>
        <vt:lpwstr>http://portal.gov.cz/app/zakony/zakonPar.jsp?idBiblio=49962&amp;fulltext=&amp;nr=458~2F2000&amp;part=&amp;name=&amp;rpp=15</vt:lpwstr>
      </vt:variant>
      <vt:variant>
        <vt:lpwstr>local-content</vt:lpwstr>
      </vt:variant>
      <vt:variant>
        <vt:i4>6946875</vt:i4>
      </vt:variant>
      <vt:variant>
        <vt:i4>1080</vt:i4>
      </vt:variant>
      <vt:variant>
        <vt:i4>0</vt:i4>
      </vt:variant>
      <vt:variant>
        <vt:i4>5</vt:i4>
      </vt:variant>
      <vt:variant>
        <vt:lpwstr>http://portal.gov.cz/app/zakony/zakonPar.jsp?idBiblio=49857&amp;fulltext=&amp;nr=406~2F2000&amp;part=&amp;name=&amp;rpp=15</vt:lpwstr>
      </vt:variant>
      <vt:variant>
        <vt:lpwstr>local-content</vt:lpwstr>
      </vt:variant>
      <vt:variant>
        <vt:i4>1245231</vt:i4>
      </vt:variant>
      <vt:variant>
        <vt:i4>1077</vt:i4>
      </vt:variant>
      <vt:variant>
        <vt:i4>0</vt:i4>
      </vt:variant>
      <vt:variant>
        <vt:i4>5</vt:i4>
      </vt:variant>
      <vt:variant>
        <vt:lpwstr>http://ec.europa.eu/energy/efficiency/eed/reporting_en.htm</vt:lpwstr>
      </vt:variant>
      <vt:variant>
        <vt:lpwstr/>
      </vt:variant>
      <vt:variant>
        <vt:i4>7209012</vt:i4>
      </vt:variant>
      <vt:variant>
        <vt:i4>1074</vt:i4>
      </vt:variant>
      <vt:variant>
        <vt:i4>0</vt:i4>
      </vt:variant>
      <vt:variant>
        <vt:i4>5</vt:i4>
      </vt:variant>
      <vt:variant>
        <vt:lpwstr>http://portal.gov.cz/app/zakony/zakonPar.jsp?idBiblio=78282&amp;fulltext=&amp;nr=318~2F2012&amp;part=&amp;name=&amp;rpp=15</vt:lpwstr>
      </vt:variant>
      <vt:variant>
        <vt:lpwstr>local-content</vt:lpwstr>
      </vt:variant>
      <vt:variant>
        <vt:i4>6946875</vt:i4>
      </vt:variant>
      <vt:variant>
        <vt:i4>1071</vt:i4>
      </vt:variant>
      <vt:variant>
        <vt:i4>0</vt:i4>
      </vt:variant>
      <vt:variant>
        <vt:i4>5</vt:i4>
      </vt:variant>
      <vt:variant>
        <vt:lpwstr>http://portal.gov.cz/app/zakony/zakonPar.jsp?idBiblio=49857&amp;fulltext=&amp;nr=406~2F2000&amp;part=&amp;name=&amp;rpp=15</vt:lpwstr>
      </vt:variant>
      <vt:variant>
        <vt:lpwstr>local-content</vt:lpwstr>
      </vt:variant>
      <vt:variant>
        <vt:i4>7209012</vt:i4>
      </vt:variant>
      <vt:variant>
        <vt:i4>1068</vt:i4>
      </vt:variant>
      <vt:variant>
        <vt:i4>0</vt:i4>
      </vt:variant>
      <vt:variant>
        <vt:i4>5</vt:i4>
      </vt:variant>
      <vt:variant>
        <vt:lpwstr>http://portal.gov.cz/app/zakony/zakonPar.jsp?idBiblio=78282&amp;fulltext=&amp;nr=318~2F2012&amp;part=&amp;name=&amp;rpp=15</vt:lpwstr>
      </vt:variant>
      <vt:variant>
        <vt:lpwstr>local-content</vt:lpwstr>
      </vt:variant>
      <vt:variant>
        <vt:i4>6946875</vt:i4>
      </vt:variant>
      <vt:variant>
        <vt:i4>1065</vt:i4>
      </vt:variant>
      <vt:variant>
        <vt:i4>0</vt:i4>
      </vt:variant>
      <vt:variant>
        <vt:i4>5</vt:i4>
      </vt:variant>
      <vt:variant>
        <vt:lpwstr>http://portal.gov.cz/app/zakony/zakonPar.jsp?idBiblio=49857&amp;fulltext=&amp;nr=406~2F2000&amp;part=&amp;name=&amp;rpp=15</vt:lpwstr>
      </vt:variant>
      <vt:variant>
        <vt:lpwstr>local-content</vt:lpwstr>
      </vt:variant>
      <vt:variant>
        <vt:i4>6291511</vt:i4>
      </vt:variant>
      <vt:variant>
        <vt:i4>1062</vt:i4>
      </vt:variant>
      <vt:variant>
        <vt:i4>0</vt:i4>
      </vt:variant>
      <vt:variant>
        <vt:i4>5</vt:i4>
      </vt:variant>
      <vt:variant>
        <vt:lpwstr>http://www.vlada.cz/assets/ppov/lrv/ria/metodiky/Uplne-zneni-Obecnych-zasad-_ucinnost-od-1-2--2014_.pdf</vt:lpwstr>
      </vt:variant>
      <vt:variant>
        <vt:lpwstr/>
      </vt:variant>
      <vt:variant>
        <vt:i4>1245205</vt:i4>
      </vt:variant>
      <vt:variant>
        <vt:i4>1059</vt:i4>
      </vt:variant>
      <vt:variant>
        <vt:i4>0</vt:i4>
      </vt:variant>
      <vt:variant>
        <vt:i4>5</vt:i4>
      </vt:variant>
      <vt:variant>
        <vt:lpwstr>http://www.sbirka.cz/POSL4TYD/NOVE/13-304.htm</vt:lpwstr>
      </vt:variant>
      <vt:variant>
        <vt:lpwstr/>
      </vt:variant>
      <vt:variant>
        <vt:i4>5111892</vt:i4>
      </vt:variant>
      <vt:variant>
        <vt:i4>1056</vt:i4>
      </vt:variant>
      <vt:variant>
        <vt:i4>0</vt:i4>
      </vt:variant>
      <vt:variant>
        <vt:i4>5</vt:i4>
      </vt:variant>
      <vt:variant>
        <vt:lpwstr>http://www.vlada.cz/assets/evropske-zalezitosti/aktualne/NPR-2014.pdf</vt:lpwstr>
      </vt:variant>
      <vt:variant>
        <vt:lpwstr/>
      </vt:variant>
      <vt:variant>
        <vt:i4>5767196</vt:i4>
      </vt:variant>
      <vt:variant>
        <vt:i4>1053</vt:i4>
      </vt:variant>
      <vt:variant>
        <vt:i4>0</vt:i4>
      </vt:variant>
      <vt:variant>
        <vt:i4>5</vt:i4>
      </vt:variant>
      <vt:variant>
        <vt:lpwstr>http://www.vlada.cz/assets/media-centrum/aktualne/Strategie-mezinarodni-konkurenceschopnosti-Ceske-republiky.pdf</vt:lpwstr>
      </vt:variant>
      <vt:variant>
        <vt:lpwstr/>
      </vt:variant>
      <vt:variant>
        <vt:i4>2424959</vt:i4>
      </vt:variant>
      <vt:variant>
        <vt:i4>1050</vt:i4>
      </vt:variant>
      <vt:variant>
        <vt:i4>0</vt:i4>
      </vt:variant>
      <vt:variant>
        <vt:i4>5</vt:i4>
      </vt:variant>
      <vt:variant>
        <vt:lpwstr>http://www.mpo.cz/assets/cz/e-komunikace-a-posta/Internet/2013/4/Digi_esko_v.2.0.pdf</vt:lpwstr>
      </vt:variant>
      <vt:variant>
        <vt:lpwstr/>
      </vt:variant>
      <vt:variant>
        <vt:i4>6225985</vt:i4>
      </vt:variant>
      <vt:variant>
        <vt:i4>1047</vt:i4>
      </vt:variant>
      <vt:variant>
        <vt:i4>0</vt:i4>
      </vt:variant>
      <vt:variant>
        <vt:i4>5</vt:i4>
      </vt:variant>
      <vt:variant>
        <vt:lpwstr>http://www.mpo.cz/dokument83642.html</vt:lpwstr>
      </vt:variant>
      <vt:variant>
        <vt:lpwstr/>
      </vt:variant>
      <vt:variant>
        <vt:i4>2424959</vt:i4>
      </vt:variant>
      <vt:variant>
        <vt:i4>1044</vt:i4>
      </vt:variant>
      <vt:variant>
        <vt:i4>0</vt:i4>
      </vt:variant>
      <vt:variant>
        <vt:i4>5</vt:i4>
      </vt:variant>
      <vt:variant>
        <vt:lpwstr>http://www.mpo.cz/assets/cz/e-komunikace-a-posta/Internet/2013/4/Digi_esko_v.2.0.pdf</vt:lpwstr>
      </vt:variant>
      <vt:variant>
        <vt:lpwstr/>
      </vt:variant>
      <vt:variant>
        <vt:i4>2424959</vt:i4>
      </vt:variant>
      <vt:variant>
        <vt:i4>1041</vt:i4>
      </vt:variant>
      <vt:variant>
        <vt:i4>0</vt:i4>
      </vt:variant>
      <vt:variant>
        <vt:i4>5</vt:i4>
      </vt:variant>
      <vt:variant>
        <vt:lpwstr>http://www.mpo.cz/assets/cz/e-komunikace-a-posta/Internet/2013/4/Digi_esko_v.2.0.pdf</vt:lpwstr>
      </vt:variant>
      <vt:variant>
        <vt:lpwstr/>
      </vt:variant>
      <vt:variant>
        <vt:i4>5963805</vt:i4>
      </vt:variant>
      <vt:variant>
        <vt:i4>1038</vt:i4>
      </vt:variant>
      <vt:variant>
        <vt:i4>0</vt:i4>
      </vt:variant>
      <vt:variant>
        <vt:i4>5</vt:i4>
      </vt:variant>
      <vt:variant>
        <vt:lpwstr>http://www.mpo.cz/dokument119071.html</vt:lpwstr>
      </vt:variant>
      <vt:variant>
        <vt:lpwstr/>
      </vt:variant>
      <vt:variant>
        <vt:i4>2424959</vt:i4>
      </vt:variant>
      <vt:variant>
        <vt:i4>1035</vt:i4>
      </vt:variant>
      <vt:variant>
        <vt:i4>0</vt:i4>
      </vt:variant>
      <vt:variant>
        <vt:i4>5</vt:i4>
      </vt:variant>
      <vt:variant>
        <vt:lpwstr>http://www.mpo.cz/assets/cz/e-komunikace-a-posta/Internet/2013/4/Digi_esko_v.2.0.pdf</vt:lpwstr>
      </vt:variant>
      <vt:variant>
        <vt:lpwstr/>
      </vt:variant>
      <vt:variant>
        <vt:i4>6225985</vt:i4>
      </vt:variant>
      <vt:variant>
        <vt:i4>1032</vt:i4>
      </vt:variant>
      <vt:variant>
        <vt:i4>0</vt:i4>
      </vt:variant>
      <vt:variant>
        <vt:i4>5</vt:i4>
      </vt:variant>
      <vt:variant>
        <vt:lpwstr>http://www.mpo.cz/dokument83642.html</vt:lpwstr>
      </vt:variant>
      <vt:variant>
        <vt:lpwstr/>
      </vt:variant>
      <vt:variant>
        <vt:i4>3014661</vt:i4>
      </vt:variant>
      <vt:variant>
        <vt:i4>1029</vt:i4>
      </vt:variant>
      <vt:variant>
        <vt:i4>0</vt:i4>
      </vt:variant>
      <vt:variant>
        <vt:i4>5</vt:i4>
      </vt:variant>
      <vt:variant>
        <vt:lpwstr>http://www.czso.cz/csu/redakce.nsf/i/informacni_ekonomika</vt:lpwstr>
      </vt:variant>
      <vt:variant>
        <vt:lpwstr/>
      </vt:variant>
      <vt:variant>
        <vt:i4>5963805</vt:i4>
      </vt:variant>
      <vt:variant>
        <vt:i4>1026</vt:i4>
      </vt:variant>
      <vt:variant>
        <vt:i4>0</vt:i4>
      </vt:variant>
      <vt:variant>
        <vt:i4>5</vt:i4>
      </vt:variant>
      <vt:variant>
        <vt:lpwstr>http://www.mpo.cz/dokument119071.html</vt:lpwstr>
      </vt:variant>
      <vt:variant>
        <vt:lpwstr/>
      </vt:variant>
      <vt:variant>
        <vt:i4>2424959</vt:i4>
      </vt:variant>
      <vt:variant>
        <vt:i4>1023</vt:i4>
      </vt:variant>
      <vt:variant>
        <vt:i4>0</vt:i4>
      </vt:variant>
      <vt:variant>
        <vt:i4>5</vt:i4>
      </vt:variant>
      <vt:variant>
        <vt:lpwstr>http://www.mpo.cz/assets/cz/e-komunikace-a-posta/Internet/2013/4/Digi_esko_v.2.0.pdf</vt:lpwstr>
      </vt:variant>
      <vt:variant>
        <vt:lpwstr/>
      </vt:variant>
      <vt:variant>
        <vt:i4>2424959</vt:i4>
      </vt:variant>
      <vt:variant>
        <vt:i4>1020</vt:i4>
      </vt:variant>
      <vt:variant>
        <vt:i4>0</vt:i4>
      </vt:variant>
      <vt:variant>
        <vt:i4>5</vt:i4>
      </vt:variant>
      <vt:variant>
        <vt:lpwstr>http://www.mpo.cz/assets/cz/e-komunikace-a-posta/Internet/2013/4/Digi_esko_v.2.0.pdf</vt:lpwstr>
      </vt:variant>
      <vt:variant>
        <vt:lpwstr/>
      </vt:variant>
      <vt:variant>
        <vt:i4>5963805</vt:i4>
      </vt:variant>
      <vt:variant>
        <vt:i4>1017</vt:i4>
      </vt:variant>
      <vt:variant>
        <vt:i4>0</vt:i4>
      </vt:variant>
      <vt:variant>
        <vt:i4>5</vt:i4>
      </vt:variant>
      <vt:variant>
        <vt:lpwstr>http://www.mpo.cz/dokument119071.html</vt:lpwstr>
      </vt:variant>
      <vt:variant>
        <vt:lpwstr/>
      </vt:variant>
      <vt:variant>
        <vt:i4>2424959</vt:i4>
      </vt:variant>
      <vt:variant>
        <vt:i4>1014</vt:i4>
      </vt:variant>
      <vt:variant>
        <vt:i4>0</vt:i4>
      </vt:variant>
      <vt:variant>
        <vt:i4>5</vt:i4>
      </vt:variant>
      <vt:variant>
        <vt:lpwstr>http://www.mpo.cz/assets/cz/e-komunikace-a-posta/Internet/2013/4/Digi_esko_v.2.0.pdf</vt:lpwstr>
      </vt:variant>
      <vt:variant>
        <vt:lpwstr/>
      </vt:variant>
      <vt:variant>
        <vt:i4>6225985</vt:i4>
      </vt:variant>
      <vt:variant>
        <vt:i4>1011</vt:i4>
      </vt:variant>
      <vt:variant>
        <vt:i4>0</vt:i4>
      </vt:variant>
      <vt:variant>
        <vt:i4>5</vt:i4>
      </vt:variant>
      <vt:variant>
        <vt:lpwstr>http://www.mpo.cz/dokument83642.html</vt:lpwstr>
      </vt:variant>
      <vt:variant>
        <vt:lpwstr/>
      </vt:variant>
      <vt:variant>
        <vt:i4>5963805</vt:i4>
      </vt:variant>
      <vt:variant>
        <vt:i4>1008</vt:i4>
      </vt:variant>
      <vt:variant>
        <vt:i4>0</vt:i4>
      </vt:variant>
      <vt:variant>
        <vt:i4>5</vt:i4>
      </vt:variant>
      <vt:variant>
        <vt:lpwstr>http://www.mpo.cz/dokument119071.html</vt:lpwstr>
      </vt:variant>
      <vt:variant>
        <vt:lpwstr/>
      </vt:variant>
      <vt:variant>
        <vt:i4>2424959</vt:i4>
      </vt:variant>
      <vt:variant>
        <vt:i4>1005</vt:i4>
      </vt:variant>
      <vt:variant>
        <vt:i4>0</vt:i4>
      </vt:variant>
      <vt:variant>
        <vt:i4>5</vt:i4>
      </vt:variant>
      <vt:variant>
        <vt:lpwstr>http://www.mpo.cz/assets/cz/e-komunikace-a-posta/Internet/2013/4/Digi_esko_v.2.0.pdf</vt:lpwstr>
      </vt:variant>
      <vt:variant>
        <vt:lpwstr/>
      </vt:variant>
      <vt:variant>
        <vt:i4>5963805</vt:i4>
      </vt:variant>
      <vt:variant>
        <vt:i4>1002</vt:i4>
      </vt:variant>
      <vt:variant>
        <vt:i4>0</vt:i4>
      </vt:variant>
      <vt:variant>
        <vt:i4>5</vt:i4>
      </vt:variant>
      <vt:variant>
        <vt:lpwstr>http://www.mpo.cz/dokument119071.html</vt:lpwstr>
      </vt:variant>
      <vt:variant>
        <vt:lpwstr/>
      </vt:variant>
      <vt:variant>
        <vt:i4>2424959</vt:i4>
      </vt:variant>
      <vt:variant>
        <vt:i4>999</vt:i4>
      </vt:variant>
      <vt:variant>
        <vt:i4>0</vt:i4>
      </vt:variant>
      <vt:variant>
        <vt:i4>5</vt:i4>
      </vt:variant>
      <vt:variant>
        <vt:lpwstr>http://www.mpo.cz/assets/cz/e-komunikace-a-posta/Internet/2013/4/Digi_esko_v.2.0.pdf</vt:lpwstr>
      </vt:variant>
      <vt:variant>
        <vt:lpwstr/>
      </vt:variant>
      <vt:variant>
        <vt:i4>6225985</vt:i4>
      </vt:variant>
      <vt:variant>
        <vt:i4>996</vt:i4>
      </vt:variant>
      <vt:variant>
        <vt:i4>0</vt:i4>
      </vt:variant>
      <vt:variant>
        <vt:i4>5</vt:i4>
      </vt:variant>
      <vt:variant>
        <vt:lpwstr>http://www.mpo.cz/dokument83642.html</vt:lpwstr>
      </vt:variant>
      <vt:variant>
        <vt:lpwstr/>
      </vt:variant>
      <vt:variant>
        <vt:i4>6226012</vt:i4>
      </vt:variant>
      <vt:variant>
        <vt:i4>993</vt:i4>
      </vt:variant>
      <vt:variant>
        <vt:i4>0</vt:i4>
      </vt:variant>
      <vt:variant>
        <vt:i4>5</vt:i4>
      </vt:variant>
      <vt:variant>
        <vt:lpwstr>http://portal.cenia.cz/eiasea/osoby/osoby</vt:lpwstr>
      </vt:variant>
      <vt:variant>
        <vt:lpwstr/>
      </vt:variant>
      <vt:variant>
        <vt:i4>655486</vt:i4>
      </vt:variant>
      <vt:variant>
        <vt:i4>990</vt:i4>
      </vt:variant>
      <vt:variant>
        <vt:i4>0</vt:i4>
      </vt:variant>
      <vt:variant>
        <vt:i4>5</vt:i4>
      </vt:variant>
      <vt:variant>
        <vt:lpwstr>http://portal.cenia.cz/eiasea/view/SEA100_koncepce</vt:lpwstr>
      </vt:variant>
      <vt:variant>
        <vt:lpwstr/>
      </vt:variant>
      <vt:variant>
        <vt:i4>7798802</vt:i4>
      </vt:variant>
      <vt:variant>
        <vt:i4>987</vt:i4>
      </vt:variant>
      <vt:variant>
        <vt:i4>0</vt:i4>
      </vt:variant>
      <vt:variant>
        <vt:i4>5</vt:i4>
      </vt:variant>
      <vt:variant>
        <vt:lpwstr>http://portal.cenia.cz/eiasea/view/eia100_cr</vt:lpwstr>
      </vt:variant>
      <vt:variant>
        <vt:lpwstr/>
      </vt:variant>
      <vt:variant>
        <vt:i4>5963834</vt:i4>
      </vt:variant>
      <vt:variant>
        <vt:i4>984</vt:i4>
      </vt:variant>
      <vt:variant>
        <vt:i4>0</vt:i4>
      </vt:variant>
      <vt:variant>
        <vt:i4>5</vt:i4>
      </vt:variant>
      <vt:variant>
        <vt:lpwstr>http://www.mzp.cz/cz/posuzovani_vlivu_zivotni_prostredi</vt:lpwstr>
      </vt:variant>
      <vt:variant>
        <vt:lpwstr/>
      </vt:variant>
      <vt:variant>
        <vt:i4>655486</vt:i4>
      </vt:variant>
      <vt:variant>
        <vt:i4>981</vt:i4>
      </vt:variant>
      <vt:variant>
        <vt:i4>0</vt:i4>
      </vt:variant>
      <vt:variant>
        <vt:i4>5</vt:i4>
      </vt:variant>
      <vt:variant>
        <vt:lpwstr>http://portal.cenia.cz/eiasea/view/SEA100_koncepce</vt:lpwstr>
      </vt:variant>
      <vt:variant>
        <vt:lpwstr/>
      </vt:variant>
      <vt:variant>
        <vt:i4>7798802</vt:i4>
      </vt:variant>
      <vt:variant>
        <vt:i4>978</vt:i4>
      </vt:variant>
      <vt:variant>
        <vt:i4>0</vt:i4>
      </vt:variant>
      <vt:variant>
        <vt:i4>5</vt:i4>
      </vt:variant>
      <vt:variant>
        <vt:lpwstr>http://portal.cenia.cz/eiasea/view/eia100_cr</vt:lpwstr>
      </vt:variant>
      <vt:variant>
        <vt:lpwstr/>
      </vt:variant>
      <vt:variant>
        <vt:i4>7798802</vt:i4>
      </vt:variant>
      <vt:variant>
        <vt:i4>975</vt:i4>
      </vt:variant>
      <vt:variant>
        <vt:i4>0</vt:i4>
      </vt:variant>
      <vt:variant>
        <vt:i4>5</vt:i4>
      </vt:variant>
      <vt:variant>
        <vt:lpwstr>http://portal.cenia.cz/eiasea/view/eia100_cr</vt:lpwstr>
      </vt:variant>
      <vt:variant>
        <vt:lpwstr/>
      </vt:variant>
      <vt:variant>
        <vt:i4>5963834</vt:i4>
      </vt:variant>
      <vt:variant>
        <vt:i4>972</vt:i4>
      </vt:variant>
      <vt:variant>
        <vt:i4>0</vt:i4>
      </vt:variant>
      <vt:variant>
        <vt:i4>5</vt:i4>
      </vt:variant>
      <vt:variant>
        <vt:lpwstr>http://www.mzp.cz/cz/posuzovani_vlivu_zivotni_prostredi</vt:lpwstr>
      </vt:variant>
      <vt:variant>
        <vt:lpwstr/>
      </vt:variant>
      <vt:variant>
        <vt:i4>393253</vt:i4>
      </vt:variant>
      <vt:variant>
        <vt:i4>969</vt:i4>
      </vt:variant>
      <vt:variant>
        <vt:i4>0</vt:i4>
      </vt:variant>
      <vt:variant>
        <vt:i4>5</vt:i4>
      </vt:variant>
      <vt:variant>
        <vt:lpwstr>http://portal.cenia.cz/eiasea/static/eia_legislativa</vt:lpwstr>
      </vt:variant>
      <vt:variant>
        <vt:lpwstr/>
      </vt:variant>
      <vt:variant>
        <vt:i4>1048617</vt:i4>
      </vt:variant>
      <vt:variant>
        <vt:i4>966</vt:i4>
      </vt:variant>
      <vt:variant>
        <vt:i4>0</vt:i4>
      </vt:variant>
      <vt:variant>
        <vt:i4>5</vt:i4>
      </vt:variant>
      <vt:variant>
        <vt:lpwstr>http://portal.cenia.cz/eiasea/static/sea_legislativa</vt:lpwstr>
      </vt:variant>
      <vt:variant>
        <vt:lpwstr/>
      </vt:variant>
      <vt:variant>
        <vt:i4>4784192</vt:i4>
      </vt:variant>
      <vt:variant>
        <vt:i4>963</vt:i4>
      </vt:variant>
      <vt:variant>
        <vt:i4>0</vt:i4>
      </vt:variant>
      <vt:variant>
        <vt:i4>5</vt:i4>
      </vt:variant>
      <vt:variant>
        <vt:lpwstr>http://www.strukturalni-fondy.cz/</vt:lpwstr>
      </vt:variant>
      <vt:variant>
        <vt:lpwstr/>
      </vt:variant>
      <vt:variant>
        <vt:i4>327748</vt:i4>
      </vt:variant>
      <vt:variant>
        <vt:i4>960</vt:i4>
      </vt:variant>
      <vt:variant>
        <vt:i4>0</vt:i4>
      </vt:variant>
      <vt:variant>
        <vt:i4>5</vt:i4>
      </vt:variant>
      <vt:variant>
        <vt:lpwstr>http://www.vzdelavaninsrr.cz/</vt:lpwstr>
      </vt:variant>
      <vt:variant>
        <vt:lpwstr/>
      </vt:variant>
      <vt:variant>
        <vt:i4>4390942</vt:i4>
      </vt:variant>
      <vt:variant>
        <vt:i4>957</vt:i4>
      </vt:variant>
      <vt:variant>
        <vt:i4>0</vt:i4>
      </vt:variant>
      <vt:variant>
        <vt:i4>5</vt:i4>
      </vt:variant>
      <vt:variant>
        <vt:lpwstr>http://www.uohs.cz/cs/verejna-podpora/akuality-z-verejne-podpory.html</vt:lpwstr>
      </vt:variant>
      <vt:variant>
        <vt:lpwstr/>
      </vt:variant>
      <vt:variant>
        <vt:i4>393281</vt:i4>
      </vt:variant>
      <vt:variant>
        <vt:i4>954</vt:i4>
      </vt:variant>
      <vt:variant>
        <vt:i4>0</vt:i4>
      </vt:variant>
      <vt:variant>
        <vt:i4>5</vt:i4>
      </vt:variant>
      <vt:variant>
        <vt:lpwstr>http://eagri.cz/public/web/mze/farmar/registr-podpor-de-minimis/</vt:lpwstr>
      </vt:variant>
      <vt:variant>
        <vt:lpwstr/>
      </vt:variant>
      <vt:variant>
        <vt:i4>1048581</vt:i4>
      </vt:variant>
      <vt:variant>
        <vt:i4>951</vt:i4>
      </vt:variant>
      <vt:variant>
        <vt:i4>0</vt:i4>
      </vt:variant>
      <vt:variant>
        <vt:i4>5</vt:i4>
      </vt:variant>
      <vt:variant>
        <vt:lpwstr>http://www.uohs.cz/cs/verejna-podpora/manualy-metodiky-a-dalsi-dokumenty.html</vt:lpwstr>
      </vt:variant>
      <vt:variant>
        <vt:lpwstr/>
      </vt:variant>
      <vt:variant>
        <vt:i4>7012387</vt:i4>
      </vt:variant>
      <vt:variant>
        <vt:i4>948</vt:i4>
      </vt:variant>
      <vt:variant>
        <vt:i4>0</vt:i4>
      </vt:variant>
      <vt:variant>
        <vt:i4>5</vt:i4>
      </vt:variant>
      <vt:variant>
        <vt:lpwstr>http://www.mfcr.cz/cs/legislativa/metodiky/2014/metodika-financnich-toku-a-kontroly-prog-17121</vt:lpwstr>
      </vt:variant>
      <vt:variant>
        <vt:lpwstr/>
      </vt:variant>
      <vt:variant>
        <vt:i4>8061042</vt:i4>
      </vt:variant>
      <vt:variant>
        <vt:i4>945</vt:i4>
      </vt:variant>
      <vt:variant>
        <vt:i4>0</vt:i4>
      </vt:variant>
      <vt:variant>
        <vt:i4>5</vt:i4>
      </vt:variant>
      <vt:variant>
        <vt:lpwstr>http://www.uohs.cz/cs/legislativa/verejna-podpora.html</vt:lpwstr>
      </vt:variant>
      <vt:variant>
        <vt:lpwstr/>
      </vt:variant>
      <vt:variant>
        <vt:i4>6029387</vt:i4>
      </vt:variant>
      <vt:variant>
        <vt:i4>942</vt:i4>
      </vt:variant>
      <vt:variant>
        <vt:i4>0</vt:i4>
      </vt:variant>
      <vt:variant>
        <vt:i4>5</vt:i4>
      </vt:variant>
      <vt:variant>
        <vt:lpwstr>http://www.portal-vz.cz/cs/Spoluprace-a-vymena-informaci/Info-forum/Otazky-a-odpovedi</vt:lpwstr>
      </vt:variant>
      <vt:variant>
        <vt:lpwstr/>
      </vt:variant>
      <vt:variant>
        <vt:i4>6946918</vt:i4>
      </vt:variant>
      <vt:variant>
        <vt:i4>939</vt:i4>
      </vt:variant>
      <vt:variant>
        <vt:i4>0</vt:i4>
      </vt:variant>
      <vt:variant>
        <vt:i4>5</vt:i4>
      </vt:variant>
      <vt:variant>
        <vt:lpwstr>http://www.vestnikverejnychzakazek.cz/</vt:lpwstr>
      </vt:variant>
      <vt:variant>
        <vt:lpwstr/>
      </vt:variant>
      <vt:variant>
        <vt:i4>6160476</vt:i4>
      </vt:variant>
      <vt:variant>
        <vt:i4>936</vt:i4>
      </vt:variant>
      <vt:variant>
        <vt:i4>0</vt:i4>
      </vt:variant>
      <vt:variant>
        <vt:i4>5</vt:i4>
      </vt:variant>
      <vt:variant>
        <vt:lpwstr>http://www.portal-vz.cz/cs/Jak-na-zadavani-verejnych-zakazek/Metodiky-stanoviska/Metodicke-pokyny</vt:lpwstr>
      </vt:variant>
      <vt:variant>
        <vt:lpwstr/>
      </vt:variant>
      <vt:variant>
        <vt:i4>7143463</vt:i4>
      </vt:variant>
      <vt:variant>
        <vt:i4>933</vt:i4>
      </vt:variant>
      <vt:variant>
        <vt:i4>0</vt:i4>
      </vt:variant>
      <vt:variant>
        <vt:i4>5</vt:i4>
      </vt:variant>
      <vt:variant>
        <vt:lpwstr>http://www.portal-vz.cz/cs/Jak-na-zadavani-verejnych-zakazek/Legislativa-a-Judikatura/Legislativa/Narodni-legislativa-aktualni-a-uplne-zneni-z-(1)</vt:lpwstr>
      </vt:variant>
      <vt:variant>
        <vt:lpwstr/>
      </vt:variant>
      <vt:variant>
        <vt:i4>7798907</vt:i4>
      </vt:variant>
      <vt:variant>
        <vt:i4>930</vt:i4>
      </vt:variant>
      <vt:variant>
        <vt:i4>0</vt:i4>
      </vt:variant>
      <vt:variant>
        <vt:i4>5</vt:i4>
      </vt:variant>
      <vt:variant>
        <vt:lpwstr>http://www.strukturalni-fondy.cz/cs/Fondy-EU/Narodni-organ-pro-koordinaci/Dokumenty</vt:lpwstr>
      </vt:variant>
      <vt:variant>
        <vt:lpwstr/>
      </vt:variant>
      <vt:variant>
        <vt:i4>5242944</vt:i4>
      </vt:variant>
      <vt:variant>
        <vt:i4>927</vt:i4>
      </vt:variant>
      <vt:variant>
        <vt:i4>0</vt:i4>
      </vt:variant>
      <vt:variant>
        <vt:i4>5</vt:i4>
      </vt:variant>
      <vt:variant>
        <vt:lpwstr>http://www.portal-vz.cz/cs/Jak-na-zadavani-verejnych-zakazek/Metodiky-stanoviska</vt:lpwstr>
      </vt:variant>
      <vt:variant>
        <vt:lpwstr/>
      </vt:variant>
      <vt:variant>
        <vt:i4>7143463</vt:i4>
      </vt:variant>
      <vt:variant>
        <vt:i4>924</vt:i4>
      </vt:variant>
      <vt:variant>
        <vt:i4>0</vt:i4>
      </vt:variant>
      <vt:variant>
        <vt:i4>5</vt:i4>
      </vt:variant>
      <vt:variant>
        <vt:lpwstr>http://www.portal-vz.cz/cs/Jak-na-zadavani-verejnych-zakazek/Legislativa-a-Judikatura/Legislativa/Narodni-legislativa-aktualni-a-uplne-zneni-z-(1)</vt:lpwstr>
      </vt:variant>
      <vt:variant>
        <vt:lpwstr/>
      </vt:variant>
      <vt:variant>
        <vt:i4>8060984</vt:i4>
      </vt:variant>
      <vt:variant>
        <vt:i4>921</vt:i4>
      </vt:variant>
      <vt:variant>
        <vt:i4>0</vt:i4>
      </vt:variant>
      <vt:variant>
        <vt:i4>5</vt:i4>
      </vt:variant>
      <vt:variant>
        <vt:lpwstr>http://www.vlada.cz/cz/ppov/vvzpo/dokumenty/narodni-plan-vytvareni-rovnych-prilezitosti-pro-osoby-se-zdravotnim-postizenim-na-obdobi-2010---2014-70026/</vt:lpwstr>
      </vt:variant>
      <vt:variant>
        <vt:lpwstr/>
      </vt:variant>
      <vt:variant>
        <vt:i4>2490407</vt:i4>
      </vt:variant>
      <vt:variant>
        <vt:i4>918</vt:i4>
      </vt:variant>
      <vt:variant>
        <vt:i4>0</vt:i4>
      </vt:variant>
      <vt:variant>
        <vt:i4>5</vt:i4>
      </vt:variant>
      <vt:variant>
        <vt:lpwstr>http://www.vlada.cz/cz/ppov/vvzpo/dokumenty/zprava-o-plneni-opatreni-narodniho-planu-vytvareni-rovnych-prilezitosti-pro-osoby-se-zdravotnim-postizenim-na-obdobi-2010-2014-v-roce-2012-110987/</vt:lpwstr>
      </vt:variant>
      <vt:variant>
        <vt:lpwstr/>
      </vt:variant>
      <vt:variant>
        <vt:i4>8060984</vt:i4>
      </vt:variant>
      <vt:variant>
        <vt:i4>915</vt:i4>
      </vt:variant>
      <vt:variant>
        <vt:i4>0</vt:i4>
      </vt:variant>
      <vt:variant>
        <vt:i4>5</vt:i4>
      </vt:variant>
      <vt:variant>
        <vt:lpwstr>http://www.vlada.cz/cz/ppov/vvzpo/dokumenty/narodni-plan-vytvareni-rovnych-prilezitosti-pro-osoby-se-zdravotnim-postizenim-na-obdobi-2010---2014-70026/</vt:lpwstr>
      </vt:variant>
      <vt:variant>
        <vt:lpwstr/>
      </vt:variant>
      <vt:variant>
        <vt:i4>2752617</vt:i4>
      </vt:variant>
      <vt:variant>
        <vt:i4>912</vt:i4>
      </vt:variant>
      <vt:variant>
        <vt:i4>0</vt:i4>
      </vt:variant>
      <vt:variant>
        <vt:i4>5</vt:i4>
      </vt:variant>
      <vt:variant>
        <vt:lpwstr>http://www.mpsv.cz/cs/12152</vt:lpwstr>
      </vt:variant>
      <vt:variant>
        <vt:lpwstr/>
      </vt:variant>
      <vt:variant>
        <vt:i4>6029333</vt:i4>
      </vt:variant>
      <vt:variant>
        <vt:i4>909</vt:i4>
      </vt:variant>
      <vt:variant>
        <vt:i4>0</vt:i4>
      </vt:variant>
      <vt:variant>
        <vt:i4>5</vt:i4>
      </vt:variant>
      <vt:variant>
        <vt:lpwstr>http://www.ochrance.cz/en/discrimination/</vt:lpwstr>
      </vt:variant>
      <vt:variant>
        <vt:lpwstr/>
      </vt:variant>
      <vt:variant>
        <vt:i4>6029333</vt:i4>
      </vt:variant>
      <vt:variant>
        <vt:i4>906</vt:i4>
      </vt:variant>
      <vt:variant>
        <vt:i4>0</vt:i4>
      </vt:variant>
      <vt:variant>
        <vt:i4>5</vt:i4>
      </vt:variant>
      <vt:variant>
        <vt:lpwstr>http://www.ochrance.cz/en/discrimination/</vt:lpwstr>
      </vt:variant>
      <vt:variant>
        <vt:lpwstr/>
      </vt:variant>
      <vt:variant>
        <vt:i4>3145831</vt:i4>
      </vt:variant>
      <vt:variant>
        <vt:i4>888</vt:i4>
      </vt:variant>
      <vt:variant>
        <vt:i4>0</vt:i4>
      </vt:variant>
      <vt:variant>
        <vt:i4>5</vt:i4>
      </vt:variant>
      <vt:variant>
        <vt:lpwstr>http://eur-lex.europa.eu/LexUriServ/LexUriServ.do?uri=CONSLEG:2006R1828:20091013:EN:HTML</vt:lpwstr>
      </vt:variant>
      <vt:variant>
        <vt:lpwstr>E0079#E0079</vt:lpwstr>
      </vt:variant>
      <vt:variant>
        <vt:i4>1507389</vt:i4>
      </vt:variant>
      <vt:variant>
        <vt:i4>704</vt:i4>
      </vt:variant>
      <vt:variant>
        <vt:i4>0</vt:i4>
      </vt:variant>
      <vt:variant>
        <vt:i4>5</vt:i4>
      </vt:variant>
      <vt:variant>
        <vt:lpwstr/>
      </vt:variant>
      <vt:variant>
        <vt:lpwstr>_Toc390179910</vt:lpwstr>
      </vt:variant>
      <vt:variant>
        <vt:i4>1441853</vt:i4>
      </vt:variant>
      <vt:variant>
        <vt:i4>698</vt:i4>
      </vt:variant>
      <vt:variant>
        <vt:i4>0</vt:i4>
      </vt:variant>
      <vt:variant>
        <vt:i4>5</vt:i4>
      </vt:variant>
      <vt:variant>
        <vt:lpwstr/>
      </vt:variant>
      <vt:variant>
        <vt:lpwstr>_Toc390179909</vt:lpwstr>
      </vt:variant>
      <vt:variant>
        <vt:i4>1441853</vt:i4>
      </vt:variant>
      <vt:variant>
        <vt:i4>692</vt:i4>
      </vt:variant>
      <vt:variant>
        <vt:i4>0</vt:i4>
      </vt:variant>
      <vt:variant>
        <vt:i4>5</vt:i4>
      </vt:variant>
      <vt:variant>
        <vt:lpwstr/>
      </vt:variant>
      <vt:variant>
        <vt:lpwstr>_Toc390179908</vt:lpwstr>
      </vt:variant>
      <vt:variant>
        <vt:i4>1441853</vt:i4>
      </vt:variant>
      <vt:variant>
        <vt:i4>686</vt:i4>
      </vt:variant>
      <vt:variant>
        <vt:i4>0</vt:i4>
      </vt:variant>
      <vt:variant>
        <vt:i4>5</vt:i4>
      </vt:variant>
      <vt:variant>
        <vt:lpwstr/>
      </vt:variant>
      <vt:variant>
        <vt:lpwstr>_Toc390179907</vt:lpwstr>
      </vt:variant>
      <vt:variant>
        <vt:i4>1441853</vt:i4>
      </vt:variant>
      <vt:variant>
        <vt:i4>680</vt:i4>
      </vt:variant>
      <vt:variant>
        <vt:i4>0</vt:i4>
      </vt:variant>
      <vt:variant>
        <vt:i4>5</vt:i4>
      </vt:variant>
      <vt:variant>
        <vt:lpwstr/>
      </vt:variant>
      <vt:variant>
        <vt:lpwstr>_Toc390179906</vt:lpwstr>
      </vt:variant>
      <vt:variant>
        <vt:i4>1441853</vt:i4>
      </vt:variant>
      <vt:variant>
        <vt:i4>674</vt:i4>
      </vt:variant>
      <vt:variant>
        <vt:i4>0</vt:i4>
      </vt:variant>
      <vt:variant>
        <vt:i4>5</vt:i4>
      </vt:variant>
      <vt:variant>
        <vt:lpwstr/>
      </vt:variant>
      <vt:variant>
        <vt:lpwstr>_Toc390179905</vt:lpwstr>
      </vt:variant>
      <vt:variant>
        <vt:i4>1441853</vt:i4>
      </vt:variant>
      <vt:variant>
        <vt:i4>668</vt:i4>
      </vt:variant>
      <vt:variant>
        <vt:i4>0</vt:i4>
      </vt:variant>
      <vt:variant>
        <vt:i4>5</vt:i4>
      </vt:variant>
      <vt:variant>
        <vt:lpwstr/>
      </vt:variant>
      <vt:variant>
        <vt:lpwstr>_Toc390179904</vt:lpwstr>
      </vt:variant>
      <vt:variant>
        <vt:i4>1441853</vt:i4>
      </vt:variant>
      <vt:variant>
        <vt:i4>662</vt:i4>
      </vt:variant>
      <vt:variant>
        <vt:i4>0</vt:i4>
      </vt:variant>
      <vt:variant>
        <vt:i4>5</vt:i4>
      </vt:variant>
      <vt:variant>
        <vt:lpwstr/>
      </vt:variant>
      <vt:variant>
        <vt:lpwstr>_Toc390179903</vt:lpwstr>
      </vt:variant>
      <vt:variant>
        <vt:i4>1441853</vt:i4>
      </vt:variant>
      <vt:variant>
        <vt:i4>656</vt:i4>
      </vt:variant>
      <vt:variant>
        <vt:i4>0</vt:i4>
      </vt:variant>
      <vt:variant>
        <vt:i4>5</vt:i4>
      </vt:variant>
      <vt:variant>
        <vt:lpwstr/>
      </vt:variant>
      <vt:variant>
        <vt:lpwstr>_Toc390179902</vt:lpwstr>
      </vt:variant>
      <vt:variant>
        <vt:i4>1441853</vt:i4>
      </vt:variant>
      <vt:variant>
        <vt:i4>650</vt:i4>
      </vt:variant>
      <vt:variant>
        <vt:i4>0</vt:i4>
      </vt:variant>
      <vt:variant>
        <vt:i4>5</vt:i4>
      </vt:variant>
      <vt:variant>
        <vt:lpwstr/>
      </vt:variant>
      <vt:variant>
        <vt:lpwstr>_Toc390179901</vt:lpwstr>
      </vt:variant>
      <vt:variant>
        <vt:i4>1441853</vt:i4>
      </vt:variant>
      <vt:variant>
        <vt:i4>644</vt:i4>
      </vt:variant>
      <vt:variant>
        <vt:i4>0</vt:i4>
      </vt:variant>
      <vt:variant>
        <vt:i4>5</vt:i4>
      </vt:variant>
      <vt:variant>
        <vt:lpwstr/>
      </vt:variant>
      <vt:variant>
        <vt:lpwstr>_Toc390179900</vt:lpwstr>
      </vt:variant>
      <vt:variant>
        <vt:i4>2031676</vt:i4>
      </vt:variant>
      <vt:variant>
        <vt:i4>638</vt:i4>
      </vt:variant>
      <vt:variant>
        <vt:i4>0</vt:i4>
      </vt:variant>
      <vt:variant>
        <vt:i4>5</vt:i4>
      </vt:variant>
      <vt:variant>
        <vt:lpwstr/>
      </vt:variant>
      <vt:variant>
        <vt:lpwstr>_Toc390179899</vt:lpwstr>
      </vt:variant>
      <vt:variant>
        <vt:i4>2031676</vt:i4>
      </vt:variant>
      <vt:variant>
        <vt:i4>632</vt:i4>
      </vt:variant>
      <vt:variant>
        <vt:i4>0</vt:i4>
      </vt:variant>
      <vt:variant>
        <vt:i4>5</vt:i4>
      </vt:variant>
      <vt:variant>
        <vt:lpwstr/>
      </vt:variant>
      <vt:variant>
        <vt:lpwstr>_Toc390179898</vt:lpwstr>
      </vt:variant>
      <vt:variant>
        <vt:i4>2031676</vt:i4>
      </vt:variant>
      <vt:variant>
        <vt:i4>626</vt:i4>
      </vt:variant>
      <vt:variant>
        <vt:i4>0</vt:i4>
      </vt:variant>
      <vt:variant>
        <vt:i4>5</vt:i4>
      </vt:variant>
      <vt:variant>
        <vt:lpwstr/>
      </vt:variant>
      <vt:variant>
        <vt:lpwstr>_Toc390179897</vt:lpwstr>
      </vt:variant>
      <vt:variant>
        <vt:i4>2031676</vt:i4>
      </vt:variant>
      <vt:variant>
        <vt:i4>620</vt:i4>
      </vt:variant>
      <vt:variant>
        <vt:i4>0</vt:i4>
      </vt:variant>
      <vt:variant>
        <vt:i4>5</vt:i4>
      </vt:variant>
      <vt:variant>
        <vt:lpwstr/>
      </vt:variant>
      <vt:variant>
        <vt:lpwstr>_Toc390179896</vt:lpwstr>
      </vt:variant>
      <vt:variant>
        <vt:i4>2031676</vt:i4>
      </vt:variant>
      <vt:variant>
        <vt:i4>614</vt:i4>
      </vt:variant>
      <vt:variant>
        <vt:i4>0</vt:i4>
      </vt:variant>
      <vt:variant>
        <vt:i4>5</vt:i4>
      </vt:variant>
      <vt:variant>
        <vt:lpwstr/>
      </vt:variant>
      <vt:variant>
        <vt:lpwstr>_Toc390179895</vt:lpwstr>
      </vt:variant>
      <vt:variant>
        <vt:i4>2031676</vt:i4>
      </vt:variant>
      <vt:variant>
        <vt:i4>608</vt:i4>
      </vt:variant>
      <vt:variant>
        <vt:i4>0</vt:i4>
      </vt:variant>
      <vt:variant>
        <vt:i4>5</vt:i4>
      </vt:variant>
      <vt:variant>
        <vt:lpwstr/>
      </vt:variant>
      <vt:variant>
        <vt:lpwstr>_Toc390179894</vt:lpwstr>
      </vt:variant>
      <vt:variant>
        <vt:i4>2031676</vt:i4>
      </vt:variant>
      <vt:variant>
        <vt:i4>602</vt:i4>
      </vt:variant>
      <vt:variant>
        <vt:i4>0</vt:i4>
      </vt:variant>
      <vt:variant>
        <vt:i4>5</vt:i4>
      </vt:variant>
      <vt:variant>
        <vt:lpwstr/>
      </vt:variant>
      <vt:variant>
        <vt:lpwstr>_Toc390179893</vt:lpwstr>
      </vt:variant>
      <vt:variant>
        <vt:i4>2031676</vt:i4>
      </vt:variant>
      <vt:variant>
        <vt:i4>596</vt:i4>
      </vt:variant>
      <vt:variant>
        <vt:i4>0</vt:i4>
      </vt:variant>
      <vt:variant>
        <vt:i4>5</vt:i4>
      </vt:variant>
      <vt:variant>
        <vt:lpwstr/>
      </vt:variant>
      <vt:variant>
        <vt:lpwstr>_Toc390179892</vt:lpwstr>
      </vt:variant>
      <vt:variant>
        <vt:i4>2031676</vt:i4>
      </vt:variant>
      <vt:variant>
        <vt:i4>590</vt:i4>
      </vt:variant>
      <vt:variant>
        <vt:i4>0</vt:i4>
      </vt:variant>
      <vt:variant>
        <vt:i4>5</vt:i4>
      </vt:variant>
      <vt:variant>
        <vt:lpwstr/>
      </vt:variant>
      <vt:variant>
        <vt:lpwstr>_Toc390179891</vt:lpwstr>
      </vt:variant>
      <vt:variant>
        <vt:i4>2031676</vt:i4>
      </vt:variant>
      <vt:variant>
        <vt:i4>584</vt:i4>
      </vt:variant>
      <vt:variant>
        <vt:i4>0</vt:i4>
      </vt:variant>
      <vt:variant>
        <vt:i4>5</vt:i4>
      </vt:variant>
      <vt:variant>
        <vt:lpwstr/>
      </vt:variant>
      <vt:variant>
        <vt:lpwstr>_Toc390179890</vt:lpwstr>
      </vt:variant>
      <vt:variant>
        <vt:i4>1966140</vt:i4>
      </vt:variant>
      <vt:variant>
        <vt:i4>578</vt:i4>
      </vt:variant>
      <vt:variant>
        <vt:i4>0</vt:i4>
      </vt:variant>
      <vt:variant>
        <vt:i4>5</vt:i4>
      </vt:variant>
      <vt:variant>
        <vt:lpwstr/>
      </vt:variant>
      <vt:variant>
        <vt:lpwstr>_Toc390179889</vt:lpwstr>
      </vt:variant>
      <vt:variant>
        <vt:i4>1966140</vt:i4>
      </vt:variant>
      <vt:variant>
        <vt:i4>572</vt:i4>
      </vt:variant>
      <vt:variant>
        <vt:i4>0</vt:i4>
      </vt:variant>
      <vt:variant>
        <vt:i4>5</vt:i4>
      </vt:variant>
      <vt:variant>
        <vt:lpwstr/>
      </vt:variant>
      <vt:variant>
        <vt:lpwstr>_Toc390179888</vt:lpwstr>
      </vt:variant>
      <vt:variant>
        <vt:i4>1966140</vt:i4>
      </vt:variant>
      <vt:variant>
        <vt:i4>566</vt:i4>
      </vt:variant>
      <vt:variant>
        <vt:i4>0</vt:i4>
      </vt:variant>
      <vt:variant>
        <vt:i4>5</vt:i4>
      </vt:variant>
      <vt:variant>
        <vt:lpwstr/>
      </vt:variant>
      <vt:variant>
        <vt:lpwstr>_Toc390179887</vt:lpwstr>
      </vt:variant>
      <vt:variant>
        <vt:i4>1966140</vt:i4>
      </vt:variant>
      <vt:variant>
        <vt:i4>560</vt:i4>
      </vt:variant>
      <vt:variant>
        <vt:i4>0</vt:i4>
      </vt:variant>
      <vt:variant>
        <vt:i4>5</vt:i4>
      </vt:variant>
      <vt:variant>
        <vt:lpwstr/>
      </vt:variant>
      <vt:variant>
        <vt:lpwstr>_Toc390179886</vt:lpwstr>
      </vt:variant>
      <vt:variant>
        <vt:i4>1966140</vt:i4>
      </vt:variant>
      <vt:variant>
        <vt:i4>554</vt:i4>
      </vt:variant>
      <vt:variant>
        <vt:i4>0</vt:i4>
      </vt:variant>
      <vt:variant>
        <vt:i4>5</vt:i4>
      </vt:variant>
      <vt:variant>
        <vt:lpwstr/>
      </vt:variant>
      <vt:variant>
        <vt:lpwstr>_Toc390179885</vt:lpwstr>
      </vt:variant>
      <vt:variant>
        <vt:i4>1966140</vt:i4>
      </vt:variant>
      <vt:variant>
        <vt:i4>548</vt:i4>
      </vt:variant>
      <vt:variant>
        <vt:i4>0</vt:i4>
      </vt:variant>
      <vt:variant>
        <vt:i4>5</vt:i4>
      </vt:variant>
      <vt:variant>
        <vt:lpwstr/>
      </vt:variant>
      <vt:variant>
        <vt:lpwstr>_Toc390179884</vt:lpwstr>
      </vt:variant>
      <vt:variant>
        <vt:i4>1966140</vt:i4>
      </vt:variant>
      <vt:variant>
        <vt:i4>542</vt:i4>
      </vt:variant>
      <vt:variant>
        <vt:i4>0</vt:i4>
      </vt:variant>
      <vt:variant>
        <vt:i4>5</vt:i4>
      </vt:variant>
      <vt:variant>
        <vt:lpwstr/>
      </vt:variant>
      <vt:variant>
        <vt:lpwstr>_Toc390179883</vt:lpwstr>
      </vt:variant>
      <vt:variant>
        <vt:i4>1966140</vt:i4>
      </vt:variant>
      <vt:variant>
        <vt:i4>536</vt:i4>
      </vt:variant>
      <vt:variant>
        <vt:i4>0</vt:i4>
      </vt:variant>
      <vt:variant>
        <vt:i4>5</vt:i4>
      </vt:variant>
      <vt:variant>
        <vt:lpwstr/>
      </vt:variant>
      <vt:variant>
        <vt:lpwstr>_Toc390179882</vt:lpwstr>
      </vt:variant>
      <vt:variant>
        <vt:i4>1966140</vt:i4>
      </vt:variant>
      <vt:variant>
        <vt:i4>530</vt:i4>
      </vt:variant>
      <vt:variant>
        <vt:i4>0</vt:i4>
      </vt:variant>
      <vt:variant>
        <vt:i4>5</vt:i4>
      </vt:variant>
      <vt:variant>
        <vt:lpwstr/>
      </vt:variant>
      <vt:variant>
        <vt:lpwstr>_Toc390179881</vt:lpwstr>
      </vt:variant>
      <vt:variant>
        <vt:i4>1966140</vt:i4>
      </vt:variant>
      <vt:variant>
        <vt:i4>524</vt:i4>
      </vt:variant>
      <vt:variant>
        <vt:i4>0</vt:i4>
      </vt:variant>
      <vt:variant>
        <vt:i4>5</vt:i4>
      </vt:variant>
      <vt:variant>
        <vt:lpwstr/>
      </vt:variant>
      <vt:variant>
        <vt:lpwstr>_Toc390179880</vt:lpwstr>
      </vt:variant>
      <vt:variant>
        <vt:i4>1114172</vt:i4>
      </vt:variant>
      <vt:variant>
        <vt:i4>518</vt:i4>
      </vt:variant>
      <vt:variant>
        <vt:i4>0</vt:i4>
      </vt:variant>
      <vt:variant>
        <vt:i4>5</vt:i4>
      </vt:variant>
      <vt:variant>
        <vt:lpwstr/>
      </vt:variant>
      <vt:variant>
        <vt:lpwstr>_Toc390179879</vt:lpwstr>
      </vt:variant>
      <vt:variant>
        <vt:i4>1114172</vt:i4>
      </vt:variant>
      <vt:variant>
        <vt:i4>512</vt:i4>
      </vt:variant>
      <vt:variant>
        <vt:i4>0</vt:i4>
      </vt:variant>
      <vt:variant>
        <vt:i4>5</vt:i4>
      </vt:variant>
      <vt:variant>
        <vt:lpwstr/>
      </vt:variant>
      <vt:variant>
        <vt:lpwstr>_Toc390179878</vt:lpwstr>
      </vt:variant>
      <vt:variant>
        <vt:i4>1114172</vt:i4>
      </vt:variant>
      <vt:variant>
        <vt:i4>506</vt:i4>
      </vt:variant>
      <vt:variant>
        <vt:i4>0</vt:i4>
      </vt:variant>
      <vt:variant>
        <vt:i4>5</vt:i4>
      </vt:variant>
      <vt:variant>
        <vt:lpwstr/>
      </vt:variant>
      <vt:variant>
        <vt:lpwstr>_Toc390179877</vt:lpwstr>
      </vt:variant>
      <vt:variant>
        <vt:i4>1114172</vt:i4>
      </vt:variant>
      <vt:variant>
        <vt:i4>500</vt:i4>
      </vt:variant>
      <vt:variant>
        <vt:i4>0</vt:i4>
      </vt:variant>
      <vt:variant>
        <vt:i4>5</vt:i4>
      </vt:variant>
      <vt:variant>
        <vt:lpwstr/>
      </vt:variant>
      <vt:variant>
        <vt:lpwstr>_Toc390179876</vt:lpwstr>
      </vt:variant>
      <vt:variant>
        <vt:i4>1114172</vt:i4>
      </vt:variant>
      <vt:variant>
        <vt:i4>494</vt:i4>
      </vt:variant>
      <vt:variant>
        <vt:i4>0</vt:i4>
      </vt:variant>
      <vt:variant>
        <vt:i4>5</vt:i4>
      </vt:variant>
      <vt:variant>
        <vt:lpwstr/>
      </vt:variant>
      <vt:variant>
        <vt:lpwstr>_Toc390179875</vt:lpwstr>
      </vt:variant>
      <vt:variant>
        <vt:i4>1114172</vt:i4>
      </vt:variant>
      <vt:variant>
        <vt:i4>488</vt:i4>
      </vt:variant>
      <vt:variant>
        <vt:i4>0</vt:i4>
      </vt:variant>
      <vt:variant>
        <vt:i4>5</vt:i4>
      </vt:variant>
      <vt:variant>
        <vt:lpwstr/>
      </vt:variant>
      <vt:variant>
        <vt:lpwstr>_Toc390179874</vt:lpwstr>
      </vt:variant>
      <vt:variant>
        <vt:i4>1114172</vt:i4>
      </vt:variant>
      <vt:variant>
        <vt:i4>482</vt:i4>
      </vt:variant>
      <vt:variant>
        <vt:i4>0</vt:i4>
      </vt:variant>
      <vt:variant>
        <vt:i4>5</vt:i4>
      </vt:variant>
      <vt:variant>
        <vt:lpwstr/>
      </vt:variant>
      <vt:variant>
        <vt:lpwstr>_Toc390179873</vt:lpwstr>
      </vt:variant>
      <vt:variant>
        <vt:i4>1114172</vt:i4>
      </vt:variant>
      <vt:variant>
        <vt:i4>476</vt:i4>
      </vt:variant>
      <vt:variant>
        <vt:i4>0</vt:i4>
      </vt:variant>
      <vt:variant>
        <vt:i4>5</vt:i4>
      </vt:variant>
      <vt:variant>
        <vt:lpwstr/>
      </vt:variant>
      <vt:variant>
        <vt:lpwstr>_Toc390179872</vt:lpwstr>
      </vt:variant>
      <vt:variant>
        <vt:i4>1114172</vt:i4>
      </vt:variant>
      <vt:variant>
        <vt:i4>470</vt:i4>
      </vt:variant>
      <vt:variant>
        <vt:i4>0</vt:i4>
      </vt:variant>
      <vt:variant>
        <vt:i4>5</vt:i4>
      </vt:variant>
      <vt:variant>
        <vt:lpwstr/>
      </vt:variant>
      <vt:variant>
        <vt:lpwstr>_Toc390179871</vt:lpwstr>
      </vt:variant>
      <vt:variant>
        <vt:i4>1114172</vt:i4>
      </vt:variant>
      <vt:variant>
        <vt:i4>464</vt:i4>
      </vt:variant>
      <vt:variant>
        <vt:i4>0</vt:i4>
      </vt:variant>
      <vt:variant>
        <vt:i4>5</vt:i4>
      </vt:variant>
      <vt:variant>
        <vt:lpwstr/>
      </vt:variant>
      <vt:variant>
        <vt:lpwstr>_Toc390179870</vt:lpwstr>
      </vt:variant>
      <vt:variant>
        <vt:i4>1048636</vt:i4>
      </vt:variant>
      <vt:variant>
        <vt:i4>458</vt:i4>
      </vt:variant>
      <vt:variant>
        <vt:i4>0</vt:i4>
      </vt:variant>
      <vt:variant>
        <vt:i4>5</vt:i4>
      </vt:variant>
      <vt:variant>
        <vt:lpwstr/>
      </vt:variant>
      <vt:variant>
        <vt:lpwstr>_Toc390179869</vt:lpwstr>
      </vt:variant>
      <vt:variant>
        <vt:i4>1048636</vt:i4>
      </vt:variant>
      <vt:variant>
        <vt:i4>452</vt:i4>
      </vt:variant>
      <vt:variant>
        <vt:i4>0</vt:i4>
      </vt:variant>
      <vt:variant>
        <vt:i4>5</vt:i4>
      </vt:variant>
      <vt:variant>
        <vt:lpwstr/>
      </vt:variant>
      <vt:variant>
        <vt:lpwstr>_Toc390179868</vt:lpwstr>
      </vt:variant>
      <vt:variant>
        <vt:i4>1048636</vt:i4>
      </vt:variant>
      <vt:variant>
        <vt:i4>446</vt:i4>
      </vt:variant>
      <vt:variant>
        <vt:i4>0</vt:i4>
      </vt:variant>
      <vt:variant>
        <vt:i4>5</vt:i4>
      </vt:variant>
      <vt:variant>
        <vt:lpwstr/>
      </vt:variant>
      <vt:variant>
        <vt:lpwstr>_Toc390179867</vt:lpwstr>
      </vt:variant>
      <vt:variant>
        <vt:i4>1048636</vt:i4>
      </vt:variant>
      <vt:variant>
        <vt:i4>440</vt:i4>
      </vt:variant>
      <vt:variant>
        <vt:i4>0</vt:i4>
      </vt:variant>
      <vt:variant>
        <vt:i4>5</vt:i4>
      </vt:variant>
      <vt:variant>
        <vt:lpwstr/>
      </vt:variant>
      <vt:variant>
        <vt:lpwstr>_Toc390179866</vt:lpwstr>
      </vt:variant>
      <vt:variant>
        <vt:i4>1048636</vt:i4>
      </vt:variant>
      <vt:variant>
        <vt:i4>434</vt:i4>
      </vt:variant>
      <vt:variant>
        <vt:i4>0</vt:i4>
      </vt:variant>
      <vt:variant>
        <vt:i4>5</vt:i4>
      </vt:variant>
      <vt:variant>
        <vt:lpwstr/>
      </vt:variant>
      <vt:variant>
        <vt:lpwstr>_Toc390179865</vt:lpwstr>
      </vt:variant>
      <vt:variant>
        <vt:i4>1048636</vt:i4>
      </vt:variant>
      <vt:variant>
        <vt:i4>428</vt:i4>
      </vt:variant>
      <vt:variant>
        <vt:i4>0</vt:i4>
      </vt:variant>
      <vt:variant>
        <vt:i4>5</vt:i4>
      </vt:variant>
      <vt:variant>
        <vt:lpwstr/>
      </vt:variant>
      <vt:variant>
        <vt:lpwstr>_Toc390179864</vt:lpwstr>
      </vt:variant>
      <vt:variant>
        <vt:i4>1048636</vt:i4>
      </vt:variant>
      <vt:variant>
        <vt:i4>422</vt:i4>
      </vt:variant>
      <vt:variant>
        <vt:i4>0</vt:i4>
      </vt:variant>
      <vt:variant>
        <vt:i4>5</vt:i4>
      </vt:variant>
      <vt:variant>
        <vt:lpwstr/>
      </vt:variant>
      <vt:variant>
        <vt:lpwstr>_Toc390179863</vt:lpwstr>
      </vt:variant>
      <vt:variant>
        <vt:i4>1048636</vt:i4>
      </vt:variant>
      <vt:variant>
        <vt:i4>416</vt:i4>
      </vt:variant>
      <vt:variant>
        <vt:i4>0</vt:i4>
      </vt:variant>
      <vt:variant>
        <vt:i4>5</vt:i4>
      </vt:variant>
      <vt:variant>
        <vt:lpwstr/>
      </vt:variant>
      <vt:variant>
        <vt:lpwstr>_Toc390179862</vt:lpwstr>
      </vt:variant>
      <vt:variant>
        <vt:i4>1048636</vt:i4>
      </vt:variant>
      <vt:variant>
        <vt:i4>410</vt:i4>
      </vt:variant>
      <vt:variant>
        <vt:i4>0</vt:i4>
      </vt:variant>
      <vt:variant>
        <vt:i4>5</vt:i4>
      </vt:variant>
      <vt:variant>
        <vt:lpwstr/>
      </vt:variant>
      <vt:variant>
        <vt:lpwstr>_Toc390179861</vt:lpwstr>
      </vt:variant>
      <vt:variant>
        <vt:i4>1048636</vt:i4>
      </vt:variant>
      <vt:variant>
        <vt:i4>404</vt:i4>
      </vt:variant>
      <vt:variant>
        <vt:i4>0</vt:i4>
      </vt:variant>
      <vt:variant>
        <vt:i4>5</vt:i4>
      </vt:variant>
      <vt:variant>
        <vt:lpwstr/>
      </vt:variant>
      <vt:variant>
        <vt:lpwstr>_Toc390179860</vt:lpwstr>
      </vt:variant>
      <vt:variant>
        <vt:i4>1245244</vt:i4>
      </vt:variant>
      <vt:variant>
        <vt:i4>398</vt:i4>
      </vt:variant>
      <vt:variant>
        <vt:i4>0</vt:i4>
      </vt:variant>
      <vt:variant>
        <vt:i4>5</vt:i4>
      </vt:variant>
      <vt:variant>
        <vt:lpwstr/>
      </vt:variant>
      <vt:variant>
        <vt:lpwstr>_Toc390179859</vt:lpwstr>
      </vt:variant>
      <vt:variant>
        <vt:i4>1245244</vt:i4>
      </vt:variant>
      <vt:variant>
        <vt:i4>392</vt:i4>
      </vt:variant>
      <vt:variant>
        <vt:i4>0</vt:i4>
      </vt:variant>
      <vt:variant>
        <vt:i4>5</vt:i4>
      </vt:variant>
      <vt:variant>
        <vt:lpwstr/>
      </vt:variant>
      <vt:variant>
        <vt:lpwstr>_Toc390179858</vt:lpwstr>
      </vt:variant>
      <vt:variant>
        <vt:i4>1245244</vt:i4>
      </vt:variant>
      <vt:variant>
        <vt:i4>386</vt:i4>
      </vt:variant>
      <vt:variant>
        <vt:i4>0</vt:i4>
      </vt:variant>
      <vt:variant>
        <vt:i4>5</vt:i4>
      </vt:variant>
      <vt:variant>
        <vt:lpwstr/>
      </vt:variant>
      <vt:variant>
        <vt:lpwstr>_Toc390179857</vt:lpwstr>
      </vt:variant>
      <vt:variant>
        <vt:i4>1245244</vt:i4>
      </vt:variant>
      <vt:variant>
        <vt:i4>380</vt:i4>
      </vt:variant>
      <vt:variant>
        <vt:i4>0</vt:i4>
      </vt:variant>
      <vt:variant>
        <vt:i4>5</vt:i4>
      </vt:variant>
      <vt:variant>
        <vt:lpwstr/>
      </vt:variant>
      <vt:variant>
        <vt:lpwstr>_Toc390179856</vt:lpwstr>
      </vt:variant>
      <vt:variant>
        <vt:i4>1245244</vt:i4>
      </vt:variant>
      <vt:variant>
        <vt:i4>374</vt:i4>
      </vt:variant>
      <vt:variant>
        <vt:i4>0</vt:i4>
      </vt:variant>
      <vt:variant>
        <vt:i4>5</vt:i4>
      </vt:variant>
      <vt:variant>
        <vt:lpwstr/>
      </vt:variant>
      <vt:variant>
        <vt:lpwstr>_Toc390179855</vt:lpwstr>
      </vt:variant>
      <vt:variant>
        <vt:i4>1245244</vt:i4>
      </vt:variant>
      <vt:variant>
        <vt:i4>368</vt:i4>
      </vt:variant>
      <vt:variant>
        <vt:i4>0</vt:i4>
      </vt:variant>
      <vt:variant>
        <vt:i4>5</vt:i4>
      </vt:variant>
      <vt:variant>
        <vt:lpwstr/>
      </vt:variant>
      <vt:variant>
        <vt:lpwstr>_Toc390179854</vt:lpwstr>
      </vt:variant>
      <vt:variant>
        <vt:i4>1245244</vt:i4>
      </vt:variant>
      <vt:variant>
        <vt:i4>362</vt:i4>
      </vt:variant>
      <vt:variant>
        <vt:i4>0</vt:i4>
      </vt:variant>
      <vt:variant>
        <vt:i4>5</vt:i4>
      </vt:variant>
      <vt:variant>
        <vt:lpwstr/>
      </vt:variant>
      <vt:variant>
        <vt:lpwstr>_Toc390179853</vt:lpwstr>
      </vt:variant>
      <vt:variant>
        <vt:i4>1245244</vt:i4>
      </vt:variant>
      <vt:variant>
        <vt:i4>356</vt:i4>
      </vt:variant>
      <vt:variant>
        <vt:i4>0</vt:i4>
      </vt:variant>
      <vt:variant>
        <vt:i4>5</vt:i4>
      </vt:variant>
      <vt:variant>
        <vt:lpwstr/>
      </vt:variant>
      <vt:variant>
        <vt:lpwstr>_Toc390179852</vt:lpwstr>
      </vt:variant>
      <vt:variant>
        <vt:i4>1245244</vt:i4>
      </vt:variant>
      <vt:variant>
        <vt:i4>350</vt:i4>
      </vt:variant>
      <vt:variant>
        <vt:i4>0</vt:i4>
      </vt:variant>
      <vt:variant>
        <vt:i4>5</vt:i4>
      </vt:variant>
      <vt:variant>
        <vt:lpwstr/>
      </vt:variant>
      <vt:variant>
        <vt:lpwstr>_Toc390179851</vt:lpwstr>
      </vt:variant>
      <vt:variant>
        <vt:i4>1245244</vt:i4>
      </vt:variant>
      <vt:variant>
        <vt:i4>344</vt:i4>
      </vt:variant>
      <vt:variant>
        <vt:i4>0</vt:i4>
      </vt:variant>
      <vt:variant>
        <vt:i4>5</vt:i4>
      </vt:variant>
      <vt:variant>
        <vt:lpwstr/>
      </vt:variant>
      <vt:variant>
        <vt:lpwstr>_Toc390179850</vt:lpwstr>
      </vt:variant>
      <vt:variant>
        <vt:i4>1179708</vt:i4>
      </vt:variant>
      <vt:variant>
        <vt:i4>338</vt:i4>
      </vt:variant>
      <vt:variant>
        <vt:i4>0</vt:i4>
      </vt:variant>
      <vt:variant>
        <vt:i4>5</vt:i4>
      </vt:variant>
      <vt:variant>
        <vt:lpwstr/>
      </vt:variant>
      <vt:variant>
        <vt:lpwstr>_Toc390179849</vt:lpwstr>
      </vt:variant>
      <vt:variant>
        <vt:i4>1179708</vt:i4>
      </vt:variant>
      <vt:variant>
        <vt:i4>332</vt:i4>
      </vt:variant>
      <vt:variant>
        <vt:i4>0</vt:i4>
      </vt:variant>
      <vt:variant>
        <vt:i4>5</vt:i4>
      </vt:variant>
      <vt:variant>
        <vt:lpwstr/>
      </vt:variant>
      <vt:variant>
        <vt:lpwstr>_Toc390179848</vt:lpwstr>
      </vt:variant>
      <vt:variant>
        <vt:i4>1179708</vt:i4>
      </vt:variant>
      <vt:variant>
        <vt:i4>326</vt:i4>
      </vt:variant>
      <vt:variant>
        <vt:i4>0</vt:i4>
      </vt:variant>
      <vt:variant>
        <vt:i4>5</vt:i4>
      </vt:variant>
      <vt:variant>
        <vt:lpwstr/>
      </vt:variant>
      <vt:variant>
        <vt:lpwstr>_Toc390179847</vt:lpwstr>
      </vt:variant>
      <vt:variant>
        <vt:i4>1179708</vt:i4>
      </vt:variant>
      <vt:variant>
        <vt:i4>320</vt:i4>
      </vt:variant>
      <vt:variant>
        <vt:i4>0</vt:i4>
      </vt:variant>
      <vt:variant>
        <vt:i4>5</vt:i4>
      </vt:variant>
      <vt:variant>
        <vt:lpwstr/>
      </vt:variant>
      <vt:variant>
        <vt:lpwstr>_Toc390179846</vt:lpwstr>
      </vt:variant>
      <vt:variant>
        <vt:i4>1179708</vt:i4>
      </vt:variant>
      <vt:variant>
        <vt:i4>314</vt:i4>
      </vt:variant>
      <vt:variant>
        <vt:i4>0</vt:i4>
      </vt:variant>
      <vt:variant>
        <vt:i4>5</vt:i4>
      </vt:variant>
      <vt:variant>
        <vt:lpwstr/>
      </vt:variant>
      <vt:variant>
        <vt:lpwstr>_Toc390179845</vt:lpwstr>
      </vt:variant>
      <vt:variant>
        <vt:i4>1179708</vt:i4>
      </vt:variant>
      <vt:variant>
        <vt:i4>308</vt:i4>
      </vt:variant>
      <vt:variant>
        <vt:i4>0</vt:i4>
      </vt:variant>
      <vt:variant>
        <vt:i4>5</vt:i4>
      </vt:variant>
      <vt:variant>
        <vt:lpwstr/>
      </vt:variant>
      <vt:variant>
        <vt:lpwstr>_Toc390179844</vt:lpwstr>
      </vt:variant>
      <vt:variant>
        <vt:i4>1179708</vt:i4>
      </vt:variant>
      <vt:variant>
        <vt:i4>302</vt:i4>
      </vt:variant>
      <vt:variant>
        <vt:i4>0</vt:i4>
      </vt:variant>
      <vt:variant>
        <vt:i4>5</vt:i4>
      </vt:variant>
      <vt:variant>
        <vt:lpwstr/>
      </vt:variant>
      <vt:variant>
        <vt:lpwstr>_Toc390179843</vt:lpwstr>
      </vt:variant>
      <vt:variant>
        <vt:i4>1179708</vt:i4>
      </vt:variant>
      <vt:variant>
        <vt:i4>296</vt:i4>
      </vt:variant>
      <vt:variant>
        <vt:i4>0</vt:i4>
      </vt:variant>
      <vt:variant>
        <vt:i4>5</vt:i4>
      </vt:variant>
      <vt:variant>
        <vt:lpwstr/>
      </vt:variant>
      <vt:variant>
        <vt:lpwstr>_Toc390179842</vt:lpwstr>
      </vt:variant>
      <vt:variant>
        <vt:i4>1179708</vt:i4>
      </vt:variant>
      <vt:variant>
        <vt:i4>290</vt:i4>
      </vt:variant>
      <vt:variant>
        <vt:i4>0</vt:i4>
      </vt:variant>
      <vt:variant>
        <vt:i4>5</vt:i4>
      </vt:variant>
      <vt:variant>
        <vt:lpwstr/>
      </vt:variant>
      <vt:variant>
        <vt:lpwstr>_Toc390179841</vt:lpwstr>
      </vt:variant>
      <vt:variant>
        <vt:i4>1179708</vt:i4>
      </vt:variant>
      <vt:variant>
        <vt:i4>284</vt:i4>
      </vt:variant>
      <vt:variant>
        <vt:i4>0</vt:i4>
      </vt:variant>
      <vt:variant>
        <vt:i4>5</vt:i4>
      </vt:variant>
      <vt:variant>
        <vt:lpwstr/>
      </vt:variant>
      <vt:variant>
        <vt:lpwstr>_Toc390179840</vt:lpwstr>
      </vt:variant>
      <vt:variant>
        <vt:i4>1376316</vt:i4>
      </vt:variant>
      <vt:variant>
        <vt:i4>278</vt:i4>
      </vt:variant>
      <vt:variant>
        <vt:i4>0</vt:i4>
      </vt:variant>
      <vt:variant>
        <vt:i4>5</vt:i4>
      </vt:variant>
      <vt:variant>
        <vt:lpwstr/>
      </vt:variant>
      <vt:variant>
        <vt:lpwstr>_Toc390179839</vt:lpwstr>
      </vt:variant>
      <vt:variant>
        <vt:i4>1376316</vt:i4>
      </vt:variant>
      <vt:variant>
        <vt:i4>272</vt:i4>
      </vt:variant>
      <vt:variant>
        <vt:i4>0</vt:i4>
      </vt:variant>
      <vt:variant>
        <vt:i4>5</vt:i4>
      </vt:variant>
      <vt:variant>
        <vt:lpwstr/>
      </vt:variant>
      <vt:variant>
        <vt:lpwstr>_Toc390179838</vt:lpwstr>
      </vt:variant>
      <vt:variant>
        <vt:i4>1376316</vt:i4>
      </vt:variant>
      <vt:variant>
        <vt:i4>266</vt:i4>
      </vt:variant>
      <vt:variant>
        <vt:i4>0</vt:i4>
      </vt:variant>
      <vt:variant>
        <vt:i4>5</vt:i4>
      </vt:variant>
      <vt:variant>
        <vt:lpwstr/>
      </vt:variant>
      <vt:variant>
        <vt:lpwstr>_Toc390179837</vt:lpwstr>
      </vt:variant>
      <vt:variant>
        <vt:i4>1376316</vt:i4>
      </vt:variant>
      <vt:variant>
        <vt:i4>260</vt:i4>
      </vt:variant>
      <vt:variant>
        <vt:i4>0</vt:i4>
      </vt:variant>
      <vt:variant>
        <vt:i4>5</vt:i4>
      </vt:variant>
      <vt:variant>
        <vt:lpwstr/>
      </vt:variant>
      <vt:variant>
        <vt:lpwstr>_Toc390179836</vt:lpwstr>
      </vt:variant>
      <vt:variant>
        <vt:i4>1376316</vt:i4>
      </vt:variant>
      <vt:variant>
        <vt:i4>254</vt:i4>
      </vt:variant>
      <vt:variant>
        <vt:i4>0</vt:i4>
      </vt:variant>
      <vt:variant>
        <vt:i4>5</vt:i4>
      </vt:variant>
      <vt:variant>
        <vt:lpwstr/>
      </vt:variant>
      <vt:variant>
        <vt:lpwstr>_Toc390179835</vt:lpwstr>
      </vt:variant>
      <vt:variant>
        <vt:i4>1376316</vt:i4>
      </vt:variant>
      <vt:variant>
        <vt:i4>248</vt:i4>
      </vt:variant>
      <vt:variant>
        <vt:i4>0</vt:i4>
      </vt:variant>
      <vt:variant>
        <vt:i4>5</vt:i4>
      </vt:variant>
      <vt:variant>
        <vt:lpwstr/>
      </vt:variant>
      <vt:variant>
        <vt:lpwstr>_Toc390179834</vt:lpwstr>
      </vt:variant>
      <vt:variant>
        <vt:i4>1376316</vt:i4>
      </vt:variant>
      <vt:variant>
        <vt:i4>242</vt:i4>
      </vt:variant>
      <vt:variant>
        <vt:i4>0</vt:i4>
      </vt:variant>
      <vt:variant>
        <vt:i4>5</vt:i4>
      </vt:variant>
      <vt:variant>
        <vt:lpwstr/>
      </vt:variant>
      <vt:variant>
        <vt:lpwstr>_Toc390179833</vt:lpwstr>
      </vt:variant>
      <vt:variant>
        <vt:i4>1376316</vt:i4>
      </vt:variant>
      <vt:variant>
        <vt:i4>236</vt:i4>
      </vt:variant>
      <vt:variant>
        <vt:i4>0</vt:i4>
      </vt:variant>
      <vt:variant>
        <vt:i4>5</vt:i4>
      </vt:variant>
      <vt:variant>
        <vt:lpwstr/>
      </vt:variant>
      <vt:variant>
        <vt:lpwstr>_Toc390179832</vt:lpwstr>
      </vt:variant>
      <vt:variant>
        <vt:i4>1376316</vt:i4>
      </vt:variant>
      <vt:variant>
        <vt:i4>230</vt:i4>
      </vt:variant>
      <vt:variant>
        <vt:i4>0</vt:i4>
      </vt:variant>
      <vt:variant>
        <vt:i4>5</vt:i4>
      </vt:variant>
      <vt:variant>
        <vt:lpwstr/>
      </vt:variant>
      <vt:variant>
        <vt:lpwstr>_Toc390179831</vt:lpwstr>
      </vt:variant>
      <vt:variant>
        <vt:i4>1376316</vt:i4>
      </vt:variant>
      <vt:variant>
        <vt:i4>224</vt:i4>
      </vt:variant>
      <vt:variant>
        <vt:i4>0</vt:i4>
      </vt:variant>
      <vt:variant>
        <vt:i4>5</vt:i4>
      </vt:variant>
      <vt:variant>
        <vt:lpwstr/>
      </vt:variant>
      <vt:variant>
        <vt:lpwstr>_Toc390179830</vt:lpwstr>
      </vt:variant>
      <vt:variant>
        <vt:i4>1310780</vt:i4>
      </vt:variant>
      <vt:variant>
        <vt:i4>218</vt:i4>
      </vt:variant>
      <vt:variant>
        <vt:i4>0</vt:i4>
      </vt:variant>
      <vt:variant>
        <vt:i4>5</vt:i4>
      </vt:variant>
      <vt:variant>
        <vt:lpwstr/>
      </vt:variant>
      <vt:variant>
        <vt:lpwstr>_Toc390179829</vt:lpwstr>
      </vt:variant>
      <vt:variant>
        <vt:i4>1310780</vt:i4>
      </vt:variant>
      <vt:variant>
        <vt:i4>212</vt:i4>
      </vt:variant>
      <vt:variant>
        <vt:i4>0</vt:i4>
      </vt:variant>
      <vt:variant>
        <vt:i4>5</vt:i4>
      </vt:variant>
      <vt:variant>
        <vt:lpwstr/>
      </vt:variant>
      <vt:variant>
        <vt:lpwstr>_Toc390179828</vt:lpwstr>
      </vt:variant>
      <vt:variant>
        <vt:i4>1310780</vt:i4>
      </vt:variant>
      <vt:variant>
        <vt:i4>206</vt:i4>
      </vt:variant>
      <vt:variant>
        <vt:i4>0</vt:i4>
      </vt:variant>
      <vt:variant>
        <vt:i4>5</vt:i4>
      </vt:variant>
      <vt:variant>
        <vt:lpwstr/>
      </vt:variant>
      <vt:variant>
        <vt:lpwstr>_Toc390179827</vt:lpwstr>
      </vt:variant>
      <vt:variant>
        <vt:i4>1310780</vt:i4>
      </vt:variant>
      <vt:variant>
        <vt:i4>200</vt:i4>
      </vt:variant>
      <vt:variant>
        <vt:i4>0</vt:i4>
      </vt:variant>
      <vt:variant>
        <vt:i4>5</vt:i4>
      </vt:variant>
      <vt:variant>
        <vt:lpwstr/>
      </vt:variant>
      <vt:variant>
        <vt:lpwstr>_Toc390179826</vt:lpwstr>
      </vt:variant>
      <vt:variant>
        <vt:i4>1310780</vt:i4>
      </vt:variant>
      <vt:variant>
        <vt:i4>194</vt:i4>
      </vt:variant>
      <vt:variant>
        <vt:i4>0</vt:i4>
      </vt:variant>
      <vt:variant>
        <vt:i4>5</vt:i4>
      </vt:variant>
      <vt:variant>
        <vt:lpwstr/>
      </vt:variant>
      <vt:variant>
        <vt:lpwstr>_Toc390179825</vt:lpwstr>
      </vt:variant>
      <vt:variant>
        <vt:i4>1310780</vt:i4>
      </vt:variant>
      <vt:variant>
        <vt:i4>188</vt:i4>
      </vt:variant>
      <vt:variant>
        <vt:i4>0</vt:i4>
      </vt:variant>
      <vt:variant>
        <vt:i4>5</vt:i4>
      </vt:variant>
      <vt:variant>
        <vt:lpwstr/>
      </vt:variant>
      <vt:variant>
        <vt:lpwstr>_Toc390179824</vt:lpwstr>
      </vt:variant>
      <vt:variant>
        <vt:i4>1310780</vt:i4>
      </vt:variant>
      <vt:variant>
        <vt:i4>182</vt:i4>
      </vt:variant>
      <vt:variant>
        <vt:i4>0</vt:i4>
      </vt:variant>
      <vt:variant>
        <vt:i4>5</vt:i4>
      </vt:variant>
      <vt:variant>
        <vt:lpwstr/>
      </vt:variant>
      <vt:variant>
        <vt:lpwstr>_Toc390179823</vt:lpwstr>
      </vt:variant>
      <vt:variant>
        <vt:i4>1310780</vt:i4>
      </vt:variant>
      <vt:variant>
        <vt:i4>176</vt:i4>
      </vt:variant>
      <vt:variant>
        <vt:i4>0</vt:i4>
      </vt:variant>
      <vt:variant>
        <vt:i4>5</vt:i4>
      </vt:variant>
      <vt:variant>
        <vt:lpwstr/>
      </vt:variant>
      <vt:variant>
        <vt:lpwstr>_Toc390179822</vt:lpwstr>
      </vt:variant>
      <vt:variant>
        <vt:i4>1310780</vt:i4>
      </vt:variant>
      <vt:variant>
        <vt:i4>170</vt:i4>
      </vt:variant>
      <vt:variant>
        <vt:i4>0</vt:i4>
      </vt:variant>
      <vt:variant>
        <vt:i4>5</vt:i4>
      </vt:variant>
      <vt:variant>
        <vt:lpwstr/>
      </vt:variant>
      <vt:variant>
        <vt:lpwstr>_Toc390179821</vt:lpwstr>
      </vt:variant>
      <vt:variant>
        <vt:i4>1310780</vt:i4>
      </vt:variant>
      <vt:variant>
        <vt:i4>164</vt:i4>
      </vt:variant>
      <vt:variant>
        <vt:i4>0</vt:i4>
      </vt:variant>
      <vt:variant>
        <vt:i4>5</vt:i4>
      </vt:variant>
      <vt:variant>
        <vt:lpwstr/>
      </vt:variant>
      <vt:variant>
        <vt:lpwstr>_Toc390179820</vt:lpwstr>
      </vt:variant>
      <vt:variant>
        <vt:i4>1507388</vt:i4>
      </vt:variant>
      <vt:variant>
        <vt:i4>158</vt:i4>
      </vt:variant>
      <vt:variant>
        <vt:i4>0</vt:i4>
      </vt:variant>
      <vt:variant>
        <vt:i4>5</vt:i4>
      </vt:variant>
      <vt:variant>
        <vt:lpwstr/>
      </vt:variant>
      <vt:variant>
        <vt:lpwstr>_Toc390179819</vt:lpwstr>
      </vt:variant>
      <vt:variant>
        <vt:i4>1507388</vt:i4>
      </vt:variant>
      <vt:variant>
        <vt:i4>152</vt:i4>
      </vt:variant>
      <vt:variant>
        <vt:i4>0</vt:i4>
      </vt:variant>
      <vt:variant>
        <vt:i4>5</vt:i4>
      </vt:variant>
      <vt:variant>
        <vt:lpwstr/>
      </vt:variant>
      <vt:variant>
        <vt:lpwstr>_Toc390179818</vt:lpwstr>
      </vt:variant>
      <vt:variant>
        <vt:i4>1507388</vt:i4>
      </vt:variant>
      <vt:variant>
        <vt:i4>146</vt:i4>
      </vt:variant>
      <vt:variant>
        <vt:i4>0</vt:i4>
      </vt:variant>
      <vt:variant>
        <vt:i4>5</vt:i4>
      </vt:variant>
      <vt:variant>
        <vt:lpwstr/>
      </vt:variant>
      <vt:variant>
        <vt:lpwstr>_Toc390179817</vt:lpwstr>
      </vt:variant>
      <vt:variant>
        <vt:i4>1507388</vt:i4>
      </vt:variant>
      <vt:variant>
        <vt:i4>140</vt:i4>
      </vt:variant>
      <vt:variant>
        <vt:i4>0</vt:i4>
      </vt:variant>
      <vt:variant>
        <vt:i4>5</vt:i4>
      </vt:variant>
      <vt:variant>
        <vt:lpwstr/>
      </vt:variant>
      <vt:variant>
        <vt:lpwstr>_Toc390179816</vt:lpwstr>
      </vt:variant>
      <vt:variant>
        <vt:i4>1507388</vt:i4>
      </vt:variant>
      <vt:variant>
        <vt:i4>134</vt:i4>
      </vt:variant>
      <vt:variant>
        <vt:i4>0</vt:i4>
      </vt:variant>
      <vt:variant>
        <vt:i4>5</vt:i4>
      </vt:variant>
      <vt:variant>
        <vt:lpwstr/>
      </vt:variant>
      <vt:variant>
        <vt:lpwstr>_Toc390179815</vt:lpwstr>
      </vt:variant>
      <vt:variant>
        <vt:i4>1507388</vt:i4>
      </vt:variant>
      <vt:variant>
        <vt:i4>128</vt:i4>
      </vt:variant>
      <vt:variant>
        <vt:i4>0</vt:i4>
      </vt:variant>
      <vt:variant>
        <vt:i4>5</vt:i4>
      </vt:variant>
      <vt:variant>
        <vt:lpwstr/>
      </vt:variant>
      <vt:variant>
        <vt:lpwstr>_Toc390179814</vt:lpwstr>
      </vt:variant>
      <vt:variant>
        <vt:i4>1507388</vt:i4>
      </vt:variant>
      <vt:variant>
        <vt:i4>122</vt:i4>
      </vt:variant>
      <vt:variant>
        <vt:i4>0</vt:i4>
      </vt:variant>
      <vt:variant>
        <vt:i4>5</vt:i4>
      </vt:variant>
      <vt:variant>
        <vt:lpwstr/>
      </vt:variant>
      <vt:variant>
        <vt:lpwstr>_Toc390179813</vt:lpwstr>
      </vt:variant>
      <vt:variant>
        <vt:i4>1507388</vt:i4>
      </vt:variant>
      <vt:variant>
        <vt:i4>116</vt:i4>
      </vt:variant>
      <vt:variant>
        <vt:i4>0</vt:i4>
      </vt:variant>
      <vt:variant>
        <vt:i4>5</vt:i4>
      </vt:variant>
      <vt:variant>
        <vt:lpwstr/>
      </vt:variant>
      <vt:variant>
        <vt:lpwstr>_Toc390179812</vt:lpwstr>
      </vt:variant>
      <vt:variant>
        <vt:i4>1507388</vt:i4>
      </vt:variant>
      <vt:variant>
        <vt:i4>110</vt:i4>
      </vt:variant>
      <vt:variant>
        <vt:i4>0</vt:i4>
      </vt:variant>
      <vt:variant>
        <vt:i4>5</vt:i4>
      </vt:variant>
      <vt:variant>
        <vt:lpwstr/>
      </vt:variant>
      <vt:variant>
        <vt:lpwstr>_Toc390179811</vt:lpwstr>
      </vt:variant>
      <vt:variant>
        <vt:i4>1507388</vt:i4>
      </vt:variant>
      <vt:variant>
        <vt:i4>104</vt:i4>
      </vt:variant>
      <vt:variant>
        <vt:i4>0</vt:i4>
      </vt:variant>
      <vt:variant>
        <vt:i4>5</vt:i4>
      </vt:variant>
      <vt:variant>
        <vt:lpwstr/>
      </vt:variant>
      <vt:variant>
        <vt:lpwstr>_Toc390179810</vt:lpwstr>
      </vt:variant>
      <vt:variant>
        <vt:i4>1441852</vt:i4>
      </vt:variant>
      <vt:variant>
        <vt:i4>98</vt:i4>
      </vt:variant>
      <vt:variant>
        <vt:i4>0</vt:i4>
      </vt:variant>
      <vt:variant>
        <vt:i4>5</vt:i4>
      </vt:variant>
      <vt:variant>
        <vt:lpwstr/>
      </vt:variant>
      <vt:variant>
        <vt:lpwstr>_Toc390179809</vt:lpwstr>
      </vt:variant>
      <vt:variant>
        <vt:i4>1441852</vt:i4>
      </vt:variant>
      <vt:variant>
        <vt:i4>92</vt:i4>
      </vt:variant>
      <vt:variant>
        <vt:i4>0</vt:i4>
      </vt:variant>
      <vt:variant>
        <vt:i4>5</vt:i4>
      </vt:variant>
      <vt:variant>
        <vt:lpwstr/>
      </vt:variant>
      <vt:variant>
        <vt:lpwstr>_Toc390179808</vt:lpwstr>
      </vt:variant>
      <vt:variant>
        <vt:i4>1441852</vt:i4>
      </vt:variant>
      <vt:variant>
        <vt:i4>86</vt:i4>
      </vt:variant>
      <vt:variant>
        <vt:i4>0</vt:i4>
      </vt:variant>
      <vt:variant>
        <vt:i4>5</vt:i4>
      </vt:variant>
      <vt:variant>
        <vt:lpwstr/>
      </vt:variant>
      <vt:variant>
        <vt:lpwstr>_Toc390179807</vt:lpwstr>
      </vt:variant>
      <vt:variant>
        <vt:i4>1441852</vt:i4>
      </vt:variant>
      <vt:variant>
        <vt:i4>80</vt:i4>
      </vt:variant>
      <vt:variant>
        <vt:i4>0</vt:i4>
      </vt:variant>
      <vt:variant>
        <vt:i4>5</vt:i4>
      </vt:variant>
      <vt:variant>
        <vt:lpwstr/>
      </vt:variant>
      <vt:variant>
        <vt:lpwstr>_Toc390179806</vt:lpwstr>
      </vt:variant>
      <vt:variant>
        <vt:i4>1441852</vt:i4>
      </vt:variant>
      <vt:variant>
        <vt:i4>74</vt:i4>
      </vt:variant>
      <vt:variant>
        <vt:i4>0</vt:i4>
      </vt:variant>
      <vt:variant>
        <vt:i4>5</vt:i4>
      </vt:variant>
      <vt:variant>
        <vt:lpwstr/>
      </vt:variant>
      <vt:variant>
        <vt:lpwstr>_Toc390179805</vt:lpwstr>
      </vt:variant>
      <vt:variant>
        <vt:i4>1441852</vt:i4>
      </vt:variant>
      <vt:variant>
        <vt:i4>68</vt:i4>
      </vt:variant>
      <vt:variant>
        <vt:i4>0</vt:i4>
      </vt:variant>
      <vt:variant>
        <vt:i4>5</vt:i4>
      </vt:variant>
      <vt:variant>
        <vt:lpwstr/>
      </vt:variant>
      <vt:variant>
        <vt:lpwstr>_Toc390179804</vt:lpwstr>
      </vt:variant>
      <vt:variant>
        <vt:i4>1441852</vt:i4>
      </vt:variant>
      <vt:variant>
        <vt:i4>62</vt:i4>
      </vt:variant>
      <vt:variant>
        <vt:i4>0</vt:i4>
      </vt:variant>
      <vt:variant>
        <vt:i4>5</vt:i4>
      </vt:variant>
      <vt:variant>
        <vt:lpwstr/>
      </vt:variant>
      <vt:variant>
        <vt:lpwstr>_Toc390179803</vt:lpwstr>
      </vt:variant>
      <vt:variant>
        <vt:i4>1441852</vt:i4>
      </vt:variant>
      <vt:variant>
        <vt:i4>56</vt:i4>
      </vt:variant>
      <vt:variant>
        <vt:i4>0</vt:i4>
      </vt:variant>
      <vt:variant>
        <vt:i4>5</vt:i4>
      </vt:variant>
      <vt:variant>
        <vt:lpwstr/>
      </vt:variant>
      <vt:variant>
        <vt:lpwstr>_Toc390179802</vt:lpwstr>
      </vt:variant>
      <vt:variant>
        <vt:i4>1441852</vt:i4>
      </vt:variant>
      <vt:variant>
        <vt:i4>50</vt:i4>
      </vt:variant>
      <vt:variant>
        <vt:i4>0</vt:i4>
      </vt:variant>
      <vt:variant>
        <vt:i4>5</vt:i4>
      </vt:variant>
      <vt:variant>
        <vt:lpwstr/>
      </vt:variant>
      <vt:variant>
        <vt:lpwstr>_Toc390179801</vt:lpwstr>
      </vt:variant>
      <vt:variant>
        <vt:i4>1441852</vt:i4>
      </vt:variant>
      <vt:variant>
        <vt:i4>44</vt:i4>
      </vt:variant>
      <vt:variant>
        <vt:i4>0</vt:i4>
      </vt:variant>
      <vt:variant>
        <vt:i4>5</vt:i4>
      </vt:variant>
      <vt:variant>
        <vt:lpwstr/>
      </vt:variant>
      <vt:variant>
        <vt:lpwstr>_Toc390179800</vt:lpwstr>
      </vt:variant>
      <vt:variant>
        <vt:i4>2031667</vt:i4>
      </vt:variant>
      <vt:variant>
        <vt:i4>38</vt:i4>
      </vt:variant>
      <vt:variant>
        <vt:i4>0</vt:i4>
      </vt:variant>
      <vt:variant>
        <vt:i4>5</vt:i4>
      </vt:variant>
      <vt:variant>
        <vt:lpwstr/>
      </vt:variant>
      <vt:variant>
        <vt:lpwstr>_Toc390179799</vt:lpwstr>
      </vt:variant>
      <vt:variant>
        <vt:i4>2031667</vt:i4>
      </vt:variant>
      <vt:variant>
        <vt:i4>32</vt:i4>
      </vt:variant>
      <vt:variant>
        <vt:i4>0</vt:i4>
      </vt:variant>
      <vt:variant>
        <vt:i4>5</vt:i4>
      </vt:variant>
      <vt:variant>
        <vt:lpwstr/>
      </vt:variant>
      <vt:variant>
        <vt:lpwstr>_Toc390179798</vt:lpwstr>
      </vt:variant>
      <vt:variant>
        <vt:i4>2031667</vt:i4>
      </vt:variant>
      <vt:variant>
        <vt:i4>26</vt:i4>
      </vt:variant>
      <vt:variant>
        <vt:i4>0</vt:i4>
      </vt:variant>
      <vt:variant>
        <vt:i4>5</vt:i4>
      </vt:variant>
      <vt:variant>
        <vt:lpwstr/>
      </vt:variant>
      <vt:variant>
        <vt:lpwstr>_Toc390179797</vt:lpwstr>
      </vt:variant>
      <vt:variant>
        <vt:i4>2031667</vt:i4>
      </vt:variant>
      <vt:variant>
        <vt:i4>20</vt:i4>
      </vt:variant>
      <vt:variant>
        <vt:i4>0</vt:i4>
      </vt:variant>
      <vt:variant>
        <vt:i4>5</vt:i4>
      </vt:variant>
      <vt:variant>
        <vt:lpwstr/>
      </vt:variant>
      <vt:variant>
        <vt:lpwstr>_Toc390179796</vt:lpwstr>
      </vt:variant>
      <vt:variant>
        <vt:i4>2031667</vt:i4>
      </vt:variant>
      <vt:variant>
        <vt:i4>14</vt:i4>
      </vt:variant>
      <vt:variant>
        <vt:i4>0</vt:i4>
      </vt:variant>
      <vt:variant>
        <vt:i4>5</vt:i4>
      </vt:variant>
      <vt:variant>
        <vt:lpwstr/>
      </vt:variant>
      <vt:variant>
        <vt:lpwstr>_Toc390179795</vt:lpwstr>
      </vt:variant>
      <vt:variant>
        <vt:i4>2031667</vt:i4>
      </vt:variant>
      <vt:variant>
        <vt:i4>8</vt:i4>
      </vt:variant>
      <vt:variant>
        <vt:i4>0</vt:i4>
      </vt:variant>
      <vt:variant>
        <vt:i4>5</vt:i4>
      </vt:variant>
      <vt:variant>
        <vt:lpwstr/>
      </vt:variant>
      <vt:variant>
        <vt:lpwstr>_Toc390179794</vt:lpwstr>
      </vt:variant>
      <vt:variant>
        <vt:i4>2031667</vt:i4>
      </vt:variant>
      <vt:variant>
        <vt:i4>2</vt:i4>
      </vt:variant>
      <vt:variant>
        <vt:i4>0</vt:i4>
      </vt:variant>
      <vt:variant>
        <vt:i4>5</vt:i4>
      </vt:variant>
      <vt:variant>
        <vt:lpwstr/>
      </vt:variant>
      <vt:variant>
        <vt:lpwstr>_Toc390179793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PRŮMYSLU A OBCHODU</dc:title>
  <dc:creator>MPO</dc:creator>
  <cp:lastModifiedBy>Tůma Petr</cp:lastModifiedBy>
  <cp:revision>566</cp:revision>
  <cp:lastPrinted>2015-04-09T10:47:00Z</cp:lastPrinted>
  <dcterms:created xsi:type="dcterms:W3CDTF">2015-01-09T13:46:00Z</dcterms:created>
  <dcterms:modified xsi:type="dcterms:W3CDTF">2018-07-27T06:58:00Z</dcterms:modified>
</cp:coreProperties>
</file>